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Kicker"/>
        <w:spacing w:before="1340" w:after="560"/>
      </w:pPr>
      <w:r>
        <w:t>O INVESTIGAȚIE AGNOSTICĂ</w:t>
      </w:r>
    </w:p>
    <w:p>
      <w:pPr>
        <w:spacing w:after="420" w:line="252" w:lineRule="auto"/>
        <w:ind w:firstLine="0"/>
        <w:jc w:val="left"/>
      </w:pPr>
      <w:r>
        <w:rPr>
          <w:rFonts w:ascii="Lato" w:hAnsi="Lato"/>
          <w:b/>
          <w:color w:val="16333D"/>
          <w:sz w:val="82"/>
        </w:rPr>
        <w:t>ÎNTRE</w:t>
        <w:br/>
        <w:t>CREDINȚĂ</w:t>
        <w:br/>
        <w:t>ȘI DOVADĂ</w:t>
      </w:r>
    </w:p>
    <w:p>
      <w:pPr>
        <w:spacing w:after="440"/>
        <w:ind w:firstLine="0"/>
      </w:pPr>
      <w:r>
        <w:rPr>
          <w:rFonts w:ascii="Noto Serif" w:hAnsi="Noto Serif"/>
          <w:color w:val="276168"/>
          <w:sz w:val="36"/>
        </w:rPr>
        <w:t>Știința, religia și tentația certitudinii</w:t>
      </w:r>
    </w:p>
    <w:p>
      <w:pPr>
        <w:pStyle w:val="BookSmall"/>
        <w:spacing w:after="400"/>
      </w:pPr>
      <w:r>
        <w:t>25 de dosare istorice</w:t>
        <w:br/>
        <w:t>Argumente, limite și responsabilitatea educației</w:t>
      </w:r>
    </w:p>
    <w:p>
      <w:pPr>
        <w:pStyle w:val="BookSmall"/>
        <w:spacing w:before="1120"/>
      </w:pPr>
      <w:r>
        <w:t>O teoremă nu are confesiune.</w:t>
        <w:br/>
        <w:t>O biografie nu este o demonstrație.</w:t>
        <w:br/>
        <w:t>Incertitudinea nu înseamnă că toate ideile sunt egale.</w:t>
      </w:r>
    </w:p>
    <w:p>
      <w:pPr>
        <w:pStyle w:val="BookKicker"/>
        <w:spacing w:before="540"/>
      </w:pPr>
      <w:r>
        <w:t>EDIȚIE ÎN LIMBA ROMÂNĂ · SEPTEMBRIE 2026</w:t>
      </w:r>
    </w:p>
    <w:p>
      <w:bookmarkStart w:id="101" w:name="cuprins"/>
      <w:pPr>
        <w:pStyle w:val="Heading1"/>
      </w:pPr>
      <w:r>
        <w:t>Cuprins</w:t>
      </w:r>
      <w:bookmarkEnd w:id="101"/>
    </w:p>
    <w:p>
      <w:pPr>
        <w:pStyle w:val="BookSmall"/>
      </w:pPr>
      <w:r>
        <w:t>Capitolele și anexele sunt accesibile prin legăturile de mai jos.</w:t>
      </w:r>
    </w:p>
    <w:p>
      <w:pPr>
        <w:pStyle w:val="BookTOC"/>
        <w:spacing w:after="200"/>
      </w:pPr>
      <w:hyperlink w:anchor="chapter_0">
        <w:r>
          <w:rPr>
            <w:color w:val="16333D"/>
          </w:rPr>
          <w:t xml:space="preserve">Prefață — O carte fără certificat de apartenență</w:t>
        </w:r>
      </w:hyperlink>
    </w:p>
    <w:p>
      <w:pPr>
        <w:pStyle w:val="BookTOC"/>
        <w:spacing w:after="200"/>
      </w:pPr>
      <w:hyperlink w:anchor="chapter_1">
        <w:r>
          <w:rPr>
            <w:color w:val="16333D"/>
          </w:rPr>
          <w:t xml:space="preserve">1. Teorema nu are confesiune</w:t>
        </w:r>
      </w:hyperlink>
    </w:p>
    <w:p>
      <w:pPr>
        <w:pStyle w:val="BookTOC"/>
        <w:spacing w:after="200"/>
      </w:pPr>
      <w:hyperlink w:anchor="chapter_2">
        <w:r>
          <w:rPr>
            <w:color w:val="16333D"/>
          </w:rPr>
          <w:t xml:space="preserve">2. Materialism, ateism, agnosticism: harta înaintea disputei</w:t>
        </w:r>
      </w:hyperlink>
    </w:p>
    <w:p>
      <w:pPr>
        <w:pStyle w:val="BookTOC"/>
        <w:spacing w:after="200"/>
      </w:pPr>
      <w:hyperlink w:anchor="chapter_3">
        <w:r>
          <w:rPr>
            <w:color w:val="16333D"/>
          </w:rPr>
          <w:t xml:space="preserve">3. Numere, zei și visuri: de la Thales la Leibniz</w:t>
        </w:r>
      </w:hyperlink>
    </w:p>
    <w:p>
      <w:pPr>
        <w:pStyle w:val="BookTOC"/>
        <w:spacing w:after="200"/>
      </w:pPr>
      <w:hyperlink w:anchor="chapter_4">
        <w:r>
          <w:rPr>
            <w:color w:val="16333D"/>
          </w:rPr>
          <w:t xml:space="preserve">4. Infinitul nu votează: Euler, Cantor și Gödel</w:t>
        </w:r>
      </w:hyperlink>
    </w:p>
    <w:p>
      <w:pPr>
        <w:pStyle w:val="BookTOC"/>
        <w:spacing w:after="200"/>
      </w:pPr>
      <w:hyperlink w:anchor="chapter_5">
        <w:r>
          <w:rPr>
            <w:color w:val="16333D"/>
          </w:rPr>
          <w:t xml:space="preserve">5. Cerul, credința și corectarea erorilor</w:t>
        </w:r>
      </w:hyperlink>
    </w:p>
    <w:p>
      <w:pPr>
        <w:pStyle w:val="BookTOC"/>
        <w:spacing w:after="200"/>
      </w:pPr>
      <w:hyperlink w:anchor="chapter_6">
        <w:r>
          <w:rPr>
            <w:color w:val="16333D"/>
          </w:rPr>
          <w:t xml:space="preserve">6. Credința în laborator</w:t>
        </w:r>
      </w:hyperlink>
    </w:p>
    <w:p>
      <w:pPr>
        <w:pStyle w:val="BookTOC"/>
        <w:spacing w:after="200"/>
      </w:pPr>
      <w:hyperlink w:anchor="chapter_7">
        <w:r>
          <w:rPr>
            <w:color w:val="16333D"/>
          </w:rPr>
          <w:t xml:space="preserve">7. Cuantica nu este o revelație</w:t>
        </w:r>
      </w:hyperlink>
    </w:p>
    <w:p>
      <w:pPr>
        <w:pStyle w:val="BookTOC"/>
        <w:spacing w:after="200"/>
      </w:pPr>
      <w:hyperlink w:anchor="chapter_8">
        <w:r>
          <w:rPr>
            <w:color w:val="16333D"/>
          </w:rPr>
          <w:t xml:space="preserve">8. De la alchimie la microbiologie</w:t>
        </w:r>
      </w:hyperlink>
    </w:p>
    <w:p>
      <w:pPr>
        <w:pStyle w:val="BookTOC"/>
        <w:spacing w:after="200"/>
      </w:pPr>
      <w:hyperlink w:anchor="chapter_9">
        <w:r>
          <w:rPr>
            <w:color w:val="16333D"/>
          </w:rPr>
          <w:t xml:space="preserve">9. Dumnezeu ca problemă filosofică, nu ca premiu de prestigiu</w:t>
        </w:r>
      </w:hyperlink>
    </w:p>
    <w:p>
      <w:pPr>
        <w:pStyle w:val="BookTOC"/>
        <w:spacing w:after="200"/>
      </w:pPr>
      <w:hyperlink w:anchor="chapter_10">
        <w:r>
          <w:rPr>
            <w:color w:val="16333D"/>
          </w:rPr>
          <w:t xml:space="preserve">10. Când ateismul devine dogmă — și când nu</w:t>
        </w:r>
      </w:hyperlink>
    </w:p>
    <w:p>
      <w:pPr>
        <w:pStyle w:val="BookTOC"/>
        <w:spacing w:after="200"/>
      </w:pPr>
      <w:hyperlink w:anchor="chapter_11">
        <w:r>
          <w:rPr>
            <w:color w:val="16333D"/>
          </w:rPr>
          <w:t xml:space="preserve">11. Experiența spirituală: realitate trăită și interpretare</w:t>
        </w:r>
      </w:hyperlink>
    </w:p>
    <w:p>
      <w:pPr>
        <w:pStyle w:val="BookTOC"/>
        <w:spacing w:after="200"/>
      </w:pPr>
      <w:hyperlink w:anchor="chapter_12">
        <w:r>
          <w:rPr>
            <w:color w:val="16333D"/>
          </w:rPr>
          <w:t xml:space="preserve">12. Anatomia unei narațiuni conspiraționiste</w:t>
        </w:r>
      </w:hyperlink>
    </w:p>
    <w:p>
      <w:pPr>
        <w:pStyle w:val="BookTOC"/>
        <w:spacing w:after="200"/>
      </w:pPr>
      <w:hyperlink w:anchor="chapter_13">
        <w:r>
          <w:rPr>
            <w:color w:val="16333D"/>
          </w:rPr>
          <w:t xml:space="preserve">13. O școală care educă fără să convertească</w:t>
        </w:r>
      </w:hyperlink>
    </w:p>
    <w:p>
      <w:pPr>
        <w:pStyle w:val="BookTOC"/>
        <w:spacing w:after="200"/>
      </w:pPr>
      <w:hyperlink w:anchor="chapter_14">
        <w:r>
          <w:rPr>
            <w:color w:val="16333D"/>
          </w:rPr>
          <w:t xml:space="preserve">14. O disciplină a incertitudinii</w:t>
        </w:r>
      </w:hyperlink>
    </w:p>
    <w:p>
      <w:pPr>
        <w:pStyle w:val="BookTOC"/>
        <w:spacing w:after="200"/>
      </w:pPr>
      <w:hyperlink w:anchor="chapter_15">
        <w:r>
          <w:rPr>
            <w:color w:val="16333D"/>
          </w:rPr>
          <w:t xml:space="preserve">Anexa A. Registrul celor 25 de dosare</w:t>
        </w:r>
      </w:hyperlink>
    </w:p>
    <w:p>
      <w:pPr>
        <w:pStyle w:val="BookTOC"/>
        <w:spacing w:after="200"/>
      </w:pPr>
      <w:hyperlink w:anchor="chapter_16">
        <w:r>
          <w:rPr>
            <w:color w:val="16333D"/>
          </w:rPr>
          <w:t xml:space="preserve">Anexa B. Mic glosar al distincțiilor decisive</w:t>
        </w:r>
      </w:hyperlink>
    </w:p>
    <w:p>
      <w:pPr>
        <w:pStyle w:val="BookTOC"/>
      </w:pPr>
      <w:hyperlink w:anchor="bibliografie">
        <w:r>
          <w:rPr>
            <w:color w:val="16333D"/>
          </w:rPr>
          <w:t xml:space="preserve">Surse și note bibliografice</w:t>
        </w:r>
      </w:hyperlink>
    </w:p>
    <w:p>
      <w:bookmarkStart w:id="102" w:name="chapter_0"/>
      <w:pPr>
        <w:pStyle w:val="Heading1"/>
      </w:pPr>
      <w:r>
        <w:t>Prefață — O carte fără certificat de apartenență</w:t>
      </w:r>
      <w:bookmarkEnd w:id="102"/>
    </w:p>
    <w:p>
      <w:pPr>
        <w:pStyle w:val="BookOpening"/>
      </w:pPr>
      <w:r>
        <w:t>Poate un om să creadă în Dumnezeu și să descopere ceva adevărat despre natură? Fără îndoială. Poate un om să nu creadă în Dumnezeu și să descopere ceva adevărat despre natură? De asemenea. Întrebarea dificilă începe abia după aceste două răspunsuri: ce anume face descoperirea adevărată? Credința cercetătorului, absența ei, prestigiul său, sau argumentele și probele care pot fi examinate și de cineva care nu îi împărtășește convingerile?</w:t>
      </w:r>
    </w:p>
    <w:p>
      <w:pPr/>
      <w:r>
        <w:t>Această carte pornește de la un text polemic care invocă douăzeci și cinci de personalități pentru a acuza școala de îndoctrinare materialistă. Miza lui declarată este recuperarea dimensiunii spirituale a istoriei științei. Miza noastră este mai exigentă: recuperarea istoriei fără înlocuirea unei caricaturi cu alta. Vom păstra religiozitatea acolo unde este documentată, vom refuza să transformăm speculația filosofică în rezultat experimental și vom examina atât aroganța religioasă, cât și siguranța excesivă a unor discursuri antireligioase.</w:t>
      </w:r>
    </w:p>
    <w:p>
      <w:pPr/>
      <w:r>
        <w:t>Nu vom încerca să facem fiecărei tabere același număr de reproșuri. Echilibrul nu este contabilitate. Dacă o afirmație este falsă, nu îi putem oferi jumătate din statutul unui fapt pentru a părea politicoși. Dacă o credință este sinceră și importantă istoric, nu o putem șterge pentru a obține un trecut mai convenabil. Iar dacă nu avem suficiente probe, nu vom acoperi golul cu un verdict sonor.</w:t>
      </w:r>
    </w:p>
    <w:p>
      <w:pPr/>
      <w:r>
        <w:t xml:space="preserve">Poziția acestei cărți este agnostică în sens critic: nu consideră demonstrată nici existența unei divinități prin lista de savanți invocată, nici inexistența tuturor formelor posibile de divinitate prin succesul științei. Această rezervă nu transformă orice ipoteză în rival egal al teoriilor bine confirmate. Agnosticismul despre temeiul ultim al realității este compatibil cu acceptarea fermă a geometriei, a microbiologiei și a probelor fizicii. Despre unele lucruri știm mult; despre altele avem argumente disputate; despre altele încă nu știm nici cum să punem întrebarea satisfăcător. </w:t>
      </w:r>
      <w:r>
        <w:t>[</w:t>
      </w:r>
      <w:hyperlink w:anchor="ref_1">
        <w:r>
          <w:rPr>
            <w:color w:val="276168"/>
            <w:sz w:val="19"/>
          </w:rPr>
          <w:t xml:space="preserve">1</w:t>
        </w:r>
      </w:hyperlink>
      <w:r>
        <w:t xml:space="preserve">, </w:t>
      </w:r>
      <w:hyperlink w:anchor="ref_2">
        <w:r>
          <w:rPr>
            <w:color w:val="276168"/>
            <w:sz w:val="19"/>
          </w:rPr>
          <w:t xml:space="preserve">2</w:t>
        </w:r>
      </w:hyperlink>
      <w:r>
        <w:t>]</w:t>
      </w:r>
      <w:r/>
    </w:p>
    <w:p>
      <w:pPr/>
      <w:r>
        <w:t>Cititorului religios îi cerem să suporte posibilitatea ca un argument favorabil credinței sale să fie prost, fără ca aceasta să îi anuleze întreaga viață interioară. Cititorului ateu îi cerem să suporte posibilitatea ca un om religios să fie inteligent, onest și uneori filosofic convingător, fără ca aceasta să constituie o amenințare la adresa cercetării. Ambilor le cerem același lucru: să nu folosească adevărul ca nume festiv pentru loialitatea față de grup.</w:t>
      </w:r>
    </w:p>
    <w:p>
      <w:pPr>
        <w:pStyle w:val="Heading2"/>
      </w:pPr>
      <w:r>
        <w:t>Cum trebuie citită documentația</w:t>
      </w:r>
    </w:p>
    <w:p>
      <w:pPr>
        <w:pStyle w:val="BookOpening"/>
      </w:pPr>
      <w:r>
        <w:t>Lucrarea este o sinteză documentară și filosofică, nu o ediție critică a tuturor manuscriselor și nici un studiu empiric original despre școlile românești. Documentarea online a fost încheiată la 11 septembrie 2026. Sunt folosite texte primare accesibile, arhive universitare, studii și sinteze academice. Unde a fost accesibilă numai o prezentare editorială, această limită este precizată. Referințele numerotate conduc la bibliografia finală, care indică și natura sursei.</w:t>
      </w:r>
    </w:p>
    <w:p>
      <w:pPr/>
      <w:r>
        <w:t>Textul polemic analizat a fost furnizat fără identificarea autorului, fără legătură către publicarea inițială și fără data apariției. Îl tratăm ca document de argumentare, nu ca probă despre intențiile sau identitatea unei persoane. Nu examinăm conținutul celor două cărți promovate, pe care nu le avem. Nu afirmăm că o propoziție este falsă numai fiindcă servește promovării comerciale.</w:t>
      </w:r>
    </w:p>
    <w:p>
      <w:pPr/>
      <w:r>
        <w:t>Pentru fiecare dintre cele douăzeci și cinci de cazuri deosebim un nucleu documentat, detaliile care cer verificare și concluzia care poate sau nu poate fi dedusă. „Neconfirmat în documentarea consultată” nu înseamnă „demonstrat fals”. O sentință definitivă despre proveniența unui citat poate cere colacionarea edițiilor, consultarea unui fond arhivistic și verificarea limbii originale. Când această muncă nu a fost făcută, citatul nu este folosit ca probă decisivă.</w:t>
      </w:r>
    </w:p>
    <w:p>
      <w:pPr/>
      <w:r>
        <w:t>Repartizarea materiilor pe clase din postare nu este certificată aici. Ea amestecă gimnaziul, liceul, facultatea, mențiunile culturale și predarea tehnică a unor teorii. Verificarea unei programe cere identificarea țării, anului, profilului, documentului oficial și a conținutului efectiv predat. Evaluarea noastră privește mai ales inferența centrală: rezultă din credințele savanților că predarea științei fără adoptarea acelor credințe este o minciună? Răspunsul argumentat este nu.</w:t>
      </w:r>
    </w:p>
    <w:p>
      <w:bookmarkStart w:id="103" w:name="chapter_1"/>
      <w:pPr>
        <w:pStyle w:val="Heading1"/>
      </w:pPr>
      <w:r>
        <w:t>1. Teorema nu are confesiune</w:t>
      </w:r>
      <w:bookmarkEnd w:id="103"/>
    </w:p>
    <w:p>
      <w:pPr>
        <w:pStyle w:val="BookOpening"/>
      </w:pPr>
      <w:r>
        <w:t>Să ne imaginăm o clasă în care profesorul desenează un triunghi dreptunghic. Un elev spune că relația dintre laturi îl face să se gândească la ordinea unei creații divine. Altul spune că vede o proprietate a spațiului euclidian și nu simte nevoia unei interpretări religioase. Un al treilea nu are o opinie despre Dumnezeu. Ce ar trebui să îi permită profesorului să îi evalueze corect pe toți trei?</w:t>
      </w:r>
    </w:p>
    <w:p>
      <w:pPr/>
      <w:r>
        <w:t xml:space="preserve">Răspunsul nu este că trebuie să creadă același lucru despre originea universului. Trebuie să înțeleagă ipotezele problemei și pașii demonstrației. Când verificăm relația a² + b² = c² într-un triunghi dreptunghic euclidian, nu verificăm, în aceeași operație, adevărul unei cosmologii sacre. În tradiția geometrică, o demonstrație a propoziției se găsește în cartea I, propoziția 47, a Elementelor lui Euclid. </w:t>
      </w:r>
      <w:r>
        <w:t>[</w:t>
      </w:r>
      <w:hyperlink w:anchor="ref_3">
        <w:r>
          <w:rPr>
            <w:color w:val="276168"/>
            <w:sz w:val="19"/>
          </w:rPr>
          <w:t xml:space="preserve">3</w:t>
        </w:r>
      </w:hyperlink>
      <w:r>
        <w:t>]</w:t>
      </w:r>
      <w:r/>
    </w:p>
    <w:p>
      <w:pPr/>
      <w:r>
        <w:t>Nici interpretarea religioasă a primului elev, nici rezerva celui de-al doilea nu modifică pasul prin care o egalitate de arii este justificată. Această independență nu este o insultă la adresa spiritualității. Este condiția care face posibil ca oameni cu spiritualități diferite să învețe împreună.</w:t>
      </w:r>
    </w:p>
    <w:p>
      <w:pPr>
        <w:pStyle w:val="Heading2"/>
      </w:pPr>
      <w:r>
        <w:t>Trei întrebări pe care polemica le amestecă</w:t>
      </w:r>
    </w:p>
    <w:p>
      <w:pPr>
        <w:pStyle w:val="BookOpening"/>
      </w:pPr>
      <w:r>
        <w:t>Prima întrebare este istorică: în ce lume intelectuală a apărut o idee? A doua este epistemică: ce motive avem să o considerăm adevărată sau bine confirmată? A treia este existențială: ce semnificație îi atribuie cineva în propria viață? O bună educație poate trata toate aceste întrebări, dar trebuie să evite substituirea uneia prin alta.</w:t>
      </w:r>
    </w:p>
    <w:p>
      <w:pPr/>
      <w:r>
        <w:t>Un savant poate căuta regularități fiindcă vede universul drept creație rațională. Acesta este un fapt despre motivația cercetării. Poate apoi propune o formulă care prezice corect rezultate observabile. Acesta este un fapt despre performanța formulei. Poate interpreta succesul ca pe o întâlnire cu ordinea divină. Aceasta este o interpretare filosofică sau religioasă. Din existența primului și a celui de-al doilea fapt nu rezultă automat adevărul interpretării finale.</w:t>
      </w:r>
    </w:p>
    <w:p>
      <w:pPr/>
      <w:r>
        <w:t>Simetric, un cercetător poate fi motivat de dorința de a arăta că natura nu are nevoie de intervenții divine. Dacă obține rezultate bune, acestea nu devin false din cauza intenției lui. Dar nici intenția nu se transformă, prin succes local, în demonstrația că nu există nicio realitate transcendentă. Ceea ce contează este întinderea concluziei pe care o autorizează datele.</w:t>
      </w:r>
    </w:p>
    <w:p>
      <w:pPr/>
      <w:r>
        <w:t>Distincția dintre geneza și justificarea unei idei nu presupune că istoria este irelevantă. Istoria poate explica de ce s-a formulat o problemă, ce instrumente erau disponibile, ce presupuneri au fost ignorate și ce instituții au permis ori au împiedicat cercetarea. Ea poate descoperi chiar erori în pretinsa justificare. Dar faptul că istoria este relevantă nu înseamnă că orice element biografic trebuie introdus în fiecare demonstrație.</w:t>
      </w:r>
    </w:p>
    <w:p>
      <w:pPr>
        <w:pStyle w:val="Heading2"/>
      </w:pPr>
      <w:r>
        <w:t>Omisiunea nu este întotdeauna falsificare</w:t>
      </w:r>
    </w:p>
    <w:p>
      <w:pPr>
        <w:pStyle w:val="BookOpening"/>
      </w:pPr>
      <w:r>
        <w:t>Un manual de geometrie nu este o biografie completă. Un capitol despre inducție electromagnetică nu poate deveni simultan o istorie a comunităților religioase britanice. Orice predare selectează. Dacă selectarea ar constitui prin definiție minciună, niciun curs finit nu ar putea fi adevărat, pentru că trecutul fiecărui concept depășește timpul disponibil.</w:t>
      </w:r>
    </w:p>
    <w:p>
      <w:pPr/>
      <w:r>
        <w:t xml:space="preserve">Omisiunea devine intelectual problematică atunci când produce o reprezentare falsă relevantă pentru scopul lecției. A spune că Newton a fost un ateu care a eliminat orice interes teologic din cercetare ar falsifica istoria. A explica legea gravitației fără a discuta cronologia biblică nu falsifică formula. A preda un curs despre concepția newtoniană asupra naturii fără a menționa teologia ar fi însă o omisiune serioasă. Conținutul legitim al lecției depinde de obiectivul ei. </w:t>
      </w:r>
      <w:r>
        <w:t>[</w:t>
      </w:r>
      <w:hyperlink w:anchor="ref_4">
        <w:r>
          <w:rPr>
            <w:color w:val="276168"/>
            <w:sz w:val="19"/>
          </w:rPr>
          <w:t xml:space="preserve">4</w:t>
        </w:r>
      </w:hyperlink>
      <w:r>
        <w:t xml:space="preserve">, </w:t>
      </w:r>
      <w:hyperlink w:anchor="ref_5">
        <w:r>
          <w:rPr>
            <w:color w:val="276168"/>
            <w:sz w:val="19"/>
          </w:rPr>
          <w:t xml:space="preserve">5</w:t>
        </w:r>
      </w:hyperlink>
      <w:r>
        <w:t>]</w:t>
      </w:r>
      <w:r/>
    </w:p>
    <w:p>
      <w:pPr/>
      <w:r>
        <w:t>Acesta este criteriul care lipsește din acuzația virală. Ea transformă orice absență a unei teme religioase într-o dovadă de ostilitate. Dar absența poate avea explicații mult mai simple: nivelul elevilor, timpul, scopul exercițiului sau structurarea disciplinelor. Aceste explicații nu trebuie acceptate automat; trebuie comparate cu proba unei intenții ideologice, nu eliminate prin indignare.</w:t>
      </w:r>
    </w:p>
    <w:p>
      <w:pPr/>
      <w:r>
        <w:t>Un exemplu arată și limita opusă. Dacă un profesor răspunde unei întrebări despre credința lui Maxwell spunând că „oamenii de știință adevărați nu cred asemenea lucruri”, el nu mai face selecție didactică. Face o afirmație istorică falsă și o evaluare identitară a elevilor. Critica acestei conduite este legitimă. Totuși, un asemenea episod nu dovedește singur că toate programele au fost proiectate de o minoritate ocultă.</w:t>
      </w:r>
    </w:p>
    <w:p>
      <w:pPr>
        <w:pStyle w:val="Heading2"/>
      </w:pPr>
      <w:r>
        <w:t>Autoritatea are domeniu de competență</w:t>
      </w:r>
    </w:p>
    <w:p>
      <w:pPr>
        <w:pStyle w:val="BookOpening"/>
      </w:pPr>
      <w:r>
        <w:t>Prestigiul unui matematician poate fi un motiv bun să îi luăm în serios o demonstrație. Nu este un motiv suficient să acceptăm orice opinie a sa despre viața de după moarte. Transferul automat al autorității de la un domeniu la altul este tentant tocmai când persoana a realizat lucruri extraordinare. Pare improbabil ca o minte atât de mare să poată greși într-o chestiune esențială. Dar o performanță excepțională nu produce infailibilitate generală.</w:t>
      </w:r>
    </w:p>
    <w:p>
      <w:pPr/>
      <w:r>
        <w:t>Aceasta nu înseamnă că savantul trebuie redus la specialitatea lui sau că opiniile sale filosofice nu merită citite. Înseamnă că trebuie citite ca argumente, nu ca decorații care se substituie argumentului. Un fizician poate avea observații excelente despre metafizică. Pentru a le evalua, vom întreba ce premise folosește și dacă răspunde obiecțiilor relevante. Nu vom verifica doar premiile din biografie.</w:t>
      </w:r>
    </w:p>
    <w:p>
      <w:pPr/>
      <w:r>
        <w:t>Aceeași regulă îl privește pe savantul ateu. Un laureat care spune că religia este imposibilă nu primește un pașaport către certitudine universală. De asemenea, un teolog nu poate decide prin autoritate confesională ce rezultate va produce un experiment. Competența nu este inutilă în afara granițelor ei, dar trebuie însoțită de argumente potrivite noului domeniu.</w:t>
      </w:r>
    </w:p>
    <w:p>
      <w:pPr>
        <w:pStyle w:val="Heading2"/>
      </w:pPr>
      <w:r>
        <w:t>Ce rămâne adevărat din protest</w:t>
      </w:r>
    </w:p>
    <w:p>
      <w:pPr>
        <w:pStyle w:val="BookOpening"/>
      </w:pPr>
      <w:r>
        <w:t xml:space="preserve">Rămâne adevărat că istoria științei poate fi predată într-un mod prea sărac: o succesiune de formule, date și nume din care au dispărut întrebările, conflictele și speranțele oamenilor. Rămâne adevărat că religia, filosofia, arta și practicile astăzi separate au făcut parte din mediile în care a crescut cunoașterea. Istoricii resping, în general, reducerea relației dintre știință și religie la un război unic și permanent. </w:t>
      </w:r>
      <w:r>
        <w:t>[</w:t>
      </w:r>
      <w:hyperlink w:anchor="ref_1">
        <w:r>
          <w:rPr>
            <w:color w:val="276168"/>
            <w:sz w:val="19"/>
          </w:rPr>
          <w:t xml:space="preserve">1</w:t>
        </w:r>
      </w:hyperlink>
      <w:r>
        <w:t>]</w:t>
      </w:r>
      <w:r/>
    </w:p>
    <w:p>
      <w:pPr/>
      <w:r>
        <w:t>Dar aceste observații susțin o concluzie mai modestă și mai folositoare decât cea a postării: educația ar beneficia de istorie intelectuală mai bună. Nu susțin obligativitatea unei doctrine spirituale unificate și nu arată că școala distruge suflete. O critică a predării mecanice poate fi puternică fără a deveni o acuzație metafizică împotriva profesorilor.</w:t>
      </w:r>
    </w:p>
    <w:p>
      <w:pPr/>
      <w:r>
        <w:t>De fapt, a recupera savantul întreg înseamnă a recupera și contradicțiile lui, și ipotezele abandonate, și convingerile incompatibile cu ale altor savanți. Cel care dorește numai episoadele favorabile propriei doctrine nu recuperează contextul. Selectează alt context. Nu se opune propagandei prin istorie, ci printr-o propagandă concurentă.</w:t>
      </w:r>
    </w:p>
    <w:p>
      <w:pPr/>
      <w:r>
        <w:t>La sfârșitul lecției, cei trei elevi pot rămâne în dezacord despre Dumnezeu. Dacă înțeleg de ce teorema este demonstrată și de ce interpretările lor suplimentare nu sunt aceeași demonstrație, lecția a reușit. Nu i-a separat de gândirea lor. I-a învățat să distingă între ceea ce pot împărtăși prin argument și ceea ce continuă să cerceteze prin alte forme de reflecție.</w:t>
      </w:r>
    </w:p>
    <w:p>
      <w:bookmarkStart w:id="104" w:name="chapter_2"/>
      <w:pPr>
        <w:pStyle w:val="Heading1"/>
      </w:pPr>
      <w:r>
        <w:t>2. Materialism, ateism, agnosticism: harta înaintea disputei</w:t>
      </w:r>
      <w:bookmarkEnd w:id="104"/>
    </w:p>
    <w:p>
      <w:pPr>
        <w:pStyle w:val="BookOpening"/>
      </w:pPr>
      <w:r>
        <w:t>O dezbatere poate părea enormă fiindcă folosește un cuvânt mic pentru mai multe probleme diferite. În postarea analizată, „materialism” desemnează când metodele fizicii, când absența religiei dintr-o lecție, când o concepție despre tot ceea ce există, când o presupusă insensibilitate morală. Dacă sensurile se schimbă de la un paragraf la altul, concluzia poate părea demonstrată fără ca vreo teză precisă să fi fost examinată.</w:t>
      </w:r>
    </w:p>
    <w:p>
      <w:pPr/>
      <w:r>
        <w:t>Avem nevoie de o hartă, nu pentru a complica discuția, ci pentru a evita să ne certăm cu o poziție pe care interlocutorul nu o susține. Harta nu pretinde că toate tradițiile filosofice folosesc identic termenii. Fixează sensurile în care îi vom folosi aici.</w:t>
      </w:r>
    </w:p>
    <w:p>
      <w:pPr>
        <w:pStyle w:val="Heading2"/>
      </w:pPr>
      <w:r>
        <w:t>O metodă nu este încă o ontologie</w:t>
      </w:r>
    </w:p>
    <w:p>
      <w:pPr>
        <w:pStyle w:val="BookOpening"/>
      </w:pPr>
      <w:r>
        <w:t xml:space="preserve">Naturalismul metodologic este, într-o formulare de lucru, căutarea explicațiilor prin mecanisme și regularități care pot fi investigate public. Cercetătorul nu încheie o analiză spunând doar că rezultatul se datorează unei intenții supranaturale inaccesibile verificării. El caută condiții, diferențe măsurabile, consecințe și modalități prin care explicația ar putea eșua. Naturalismul metafizic este o teză suplimentară despre realitate: nu există decât natura, în sensul relevant al termenului. Distincția dintre ele este fundamentală în filosofia relației dintre religie și știință. </w:t>
      </w:r>
      <w:r>
        <w:t>[</w:t>
      </w:r>
      <w:hyperlink w:anchor="ref_1">
        <w:r>
          <w:rPr>
            <w:color w:val="276168"/>
            <w:sz w:val="19"/>
          </w:rPr>
          <w:t xml:space="preserve">1</w:t>
        </w:r>
      </w:hyperlink>
      <w:r>
        <w:t>]</w:t>
      </w:r>
      <w:r/>
    </w:p>
    <w:p>
      <w:pPr/>
      <w:r>
        <w:t>Un laborator poate funcționa prin prima regulă fără ca fiecare participant să accepte a doua teză. Un cercetător creștin poate considera că regularitățile naturale exprimă fidelitatea unei creații. Un cercetător ateu poate considera că ele sunt tot ceea ce este necesar. Atât timp cât verifică aceleași rezultate prin proceduri comparabile, diferența lor metafizică nu trebuie soluționată înaintea experimentului.</w:t>
      </w:r>
    </w:p>
    <w:p>
      <w:pPr/>
      <w:r>
        <w:t>Totuși, ar fi excesiv să declarăm că metodele științifice sunt complet lipsite de presupuneri filosofice. Ele se sprijină pe încredere critică în observație, raționament, instrumente, memorie, cooperare și anumite continuități ale lumii. Aceste angajamente pot fi discutate filosofic. Diferența este că ele sunt evaluate și prin capacitatea lor de a permite verificări, predicții și corectarea greșelilor, nu doar prin autoritatea unei tradiții.</w:t>
      </w:r>
    </w:p>
    <w:p>
      <w:pPr/>
      <w:r>
        <w:t>De asemenea, succesul repetat al explicațiilor naturale poate furniza un argument inductiv sau abductiv pentru un naturalist: lumea pare să se lase explicată fără intervențiile propuse de unele doctrine. Acesta este un argument real, nu trebuie ascuns. Dar trecerea de la „această intervenție nu este necesară în explicația fenomenului” la „nicio divinitate nu există” cere premise suplimentare. Puterea argumentului depinde de ce fel de divinitate și de ce fel de intervenție sunt discutate.</w:t>
      </w:r>
    </w:p>
    <w:p>
      <w:pPr>
        <w:pStyle w:val="Heading2"/>
      </w:pPr>
      <w:r>
        <w:t>Materia nu înseamnă doar bile solide</w:t>
      </w:r>
    </w:p>
    <w:p>
      <w:pPr>
        <w:pStyle w:val="BookOpening"/>
      </w:pPr>
      <w:r>
        <w:t xml:space="preserve">Materialismul contemporan, adesea discutat sub numele de fizicalism, nu se reduce la imaginea unor corpusculi duri care se lovesc mecanic. Poate admite câmpuri, structuri, proprietăți emergente și diferite raporturi dintre fenomenele mentale și cele fizice. Există fizicalisme reductive și nereductive, iar sensul exact al cuvântului „fizic” este el însuși disputat. </w:t>
      </w:r>
      <w:r>
        <w:t>[</w:t>
      </w:r>
      <w:hyperlink w:anchor="ref_6">
        <w:r>
          <w:rPr>
            <w:color w:val="276168"/>
            <w:sz w:val="19"/>
          </w:rPr>
          <w:t xml:space="preserve">6</w:t>
        </w:r>
      </w:hyperlink>
      <w:r>
        <w:t>]</w:t>
      </w:r>
      <w:r/>
    </w:p>
    <w:p>
      <w:pPr/>
      <w:r>
        <w:t>De aceea, descoperirea că atomii nu sunt bile solide sau că mecanica clasică are limite nu infirmă automat orice formă de fizicalism. Ea infirmă ori modifică anumite modele ale naturii. Pentru a respinge o teză filosofică modernă, trebuie să confruntăm forma ei cea mai bună, nu imaginea care produce cel mai ușor un efect retoric.</w:t>
      </w:r>
    </w:p>
    <w:p>
      <w:pPr/>
      <w:r>
        <w:t>La rândul său, fizicalistul nu poate rezolva orice dificultate declarând că „fizic” înseamnă pur și simplu orice se va dovedi real. Dacă termenul este extins astfel încât orice descoperire posibilă îl confirmă prin definiție, teza riscă să devină neinformativă. O poziție serioasă trebuie să explice ce exclude, ce ar conta împotriva ei și ce raport propune între fizică și experiența conștientă.</w:t>
      </w:r>
    </w:p>
    <w:p>
      <w:pPr/>
      <w:r>
        <w:t>„Materialist” mai poate desemna, în vorbirea obișnuită, o persoană preocupată exclusiv de bani și bunuri. Acesta este un sens moral sau sociologic, nu teza ontologică a fizicalismului. Din convingerea că mintea depinde de creier nu rezultă că iubirea este lipsită de valoare. Din credința într-un suflet nemuritor nu rezultă că cineva va fi generos. Amestecarea celor două sensuri permite insultarea morală a unei poziții filosofice fără a o discuta.</w:t>
      </w:r>
    </w:p>
    <w:p>
      <w:pPr>
        <w:pStyle w:val="Heading2"/>
      </w:pPr>
      <w:r>
        <w:t>A nu crede nu este același lucru cu a demonstra contrariul</w:t>
      </w:r>
    </w:p>
    <w:p>
      <w:pPr>
        <w:pStyle w:val="BookOpening"/>
      </w:pPr>
      <w:r>
        <w:t xml:space="preserve">În unele utilizări, ateismul desemnează afirmația că nu există Dumnezeu. În altele, desemnează absența credinței în zei. Cele două nu sunt identice. Cine spune „nu sunt convins că această propoziție este adevărată” nu afirmă obligatoriu „știu sigur că propoziția este falsă”. Distincțiile dintre ateism, agnosticism și diferitele sensuri ale credinței sunt discutate explicit în literatura filosofică. </w:t>
      </w:r>
      <w:r>
        <w:t>[</w:t>
      </w:r>
      <w:hyperlink w:anchor="ref_2">
        <w:r>
          <w:rPr>
            <w:color w:val="276168"/>
            <w:sz w:val="19"/>
          </w:rPr>
          <w:t xml:space="preserve">2</w:t>
        </w:r>
      </w:hyperlink>
      <w:r>
        <w:t>]</w:t>
      </w:r>
      <w:r/>
    </w:p>
    <w:p>
      <w:pPr/>
      <w:r>
        <w:t>Prin urmare, formula „ateismul este și el o religie” este prea grosieră. Absența unui angajament religios nu creează, de una singură, ritualuri, revelație, instituție și dogmă. Nici afirmația pozitivă că Dumnezeu nu există nu este automat irațională. Ea poate fi apărată prin argumente despre incoerența unor atribute, problema răului sau absența unor dovezi așteptate.</w:t>
      </w:r>
    </w:p>
    <w:p>
      <w:pPr/>
      <w:r>
        <w:t>Există însă un ateism dogmatic în sens comportamental și epistemic: refuză să formuleze clar ce neagă, prezintă metafizica sa ca rezultat de laborator, îi disprețuiește global pe credincioși și nu admite posibilitatea unei revizuiri. Critica acestui stil este legitimă. Ea nu justifică transferarea calificativului asupra tuturor persoanelor atee.</w:t>
      </w:r>
    </w:p>
    <w:p>
      <w:pPr/>
      <w:r>
        <w:t>Și „credință” are cel puțin două utilizări importante. Poate însemna acceptarea unei propoziții, inclusiv a uneia bine întemeiate: cred că podul a fost verificat. Poate însemna încredere religioasă, adeziune existențială sau fidelitate. Dacă spunem că „și ateul are credințe” în primul sens, am enunțat o banalitate despre gândirea umană. Nu am demonstrat că el are credință religioasă în al doilea sens.</w:t>
      </w:r>
    </w:p>
    <w:p>
      <w:pPr>
        <w:pStyle w:val="Heading2"/>
      </w:pPr>
      <w:r>
        <w:t>Agnosticismul nu este o medie aritmetică</w:t>
      </w:r>
    </w:p>
    <w:p>
      <w:pPr>
        <w:pStyle w:val="BookOpening"/>
      </w:pPr>
      <w:r>
        <w:t>Agnosticul nu este obligat să acorde probabilități egale tuturor concepțiilor. Nici nu trebuie să răspundă „nu știm” la o problemă pentru care există dovezi foarte bune. Poate respinge o anumită poveste despre un eveniment natural și poate suspenda judecata despre existența unui temei transcendent al lumii. Obiectele acestor judecăți sunt diferite.</w:t>
      </w:r>
    </w:p>
    <w:p>
      <w:pPr/>
      <w:r>
        <w:t>Să presupunem că cineva susține simultan că există o inteligență creatoare și că un anumit ritual produce de fiecare dată un efect măsurabil. A doua afirmație poate fi testată. Eșecul repetat al efectului ar contrazice acea afirmație concretă, fără a demonstra, prin el însuși, inexistența oricărei inteligențe creatoare. Dacă autorul retrage efectul testabil și rămâne numai cu o interpretare generală, a schimbat statutul afirmației. Are dreptul să o facă, dar trebuie să recunoască schimbarea.</w:t>
      </w:r>
    </w:p>
    <w:p>
      <w:pPr/>
      <w:r>
        <w:t>Agnosticismul critic nu este superioritate morală automată. Poate deveni și el o formă de confort: refuzul de a evalua argumente, teama de a lua poziție sau falsa echidistanță între cercetare și invenție. A spune că o chestiune rămâne deschisă este justificat numai după ce precizăm în ce sens și în raport cu ce dovezi.</w:t>
      </w:r>
    </w:p>
    <w:p>
      <w:pPr/>
      <w:r>
        <w:t>Poziția adoptată aici are, așadar, o disciplină pozitivă. Acceptăm concluziile bine susținute, delimităm inferențele filosofice și păstrăm revizuibile judecățile pentru care dovezile nu sunt decisive. Nu cerem nimănui să renunțe la speranță. Cerem să nu îi schimbe numele în „demonstrație” atunci când solicită acordul tuturor.</w:t>
      </w:r>
    </w:p>
    <w:p>
      <w:pPr>
        <w:pStyle w:val="Heading2"/>
      </w:pPr>
      <w:r>
        <w:t>Spiritualitatea nu formează un bloc</w:t>
      </w:r>
    </w:p>
    <w:p>
      <w:pPr>
        <w:pStyle w:val="BookOpening"/>
      </w:pPr>
      <w:r>
        <w:t>O viață spirituală poate cuprinde rugăciune, meditație, reflecție asupra morții, sentimentul apartenenței, experiență estetică sau disciplină morală. Unele dintre aceste practici presupun o doctrină supranaturală, altele nu. Spiritismul, în schimb, formulează de regulă pretenții despre comunicarea cu morții ori despre fenomene paranormale. Platonismul matematic privește statutul obiectelor abstracte. Monoteismul privește existența unui Dumnezeu. Acestea nu sunt sinonime.</w:t>
      </w:r>
    </w:p>
    <w:p>
      <w:pPr/>
      <w:r>
        <w:t>Lista virală devine aparent omogenă numai după ce diferențele sunt eliminate. Dar Dumnezeu personal, monadele, sufletul pitagoreic, complementaritatea și o realitate psihofizică unitară nu pot fi adunate ca douăzeci și cinci de măsurători ale aceleiași mărimi. Înainte de orice calcul al sprijinului, trebuie stabilit ce ipoteză susține fiecare exemplu. Uneori singura propoziție comună este că oamenii de știință au avut și interese care depășeau disciplina lor. Această propoziție este importantă, dar mult mai modestă decât concluzia polemicii.</w:t>
      </w:r>
    </w:p>
    <w:p>
      <w:bookmarkStart w:id="105" w:name="chapter_3"/>
      <w:pPr>
        <w:pStyle w:val="Heading1"/>
      </w:pPr>
      <w:r>
        <w:t>3. Numere, zei și visuri: de la Thales la Leibniz</w:t>
      </w:r>
      <w:bookmarkEnd w:id="105"/>
    </w:p>
    <w:p>
      <w:pPr>
        <w:pStyle w:val="BookOpening"/>
      </w:pPr>
      <w:r>
        <w:t>Dacă am intra în lumea unui gânditor antic cerându-i să bifeze una dintre căsuțele „știință”, „religie” și „pseudoștiință”, am risca să aflăm mai multe despre formularul nostru decât despre gânditor. Distincțiile actuale sunt folositoare pentru evaluarea prezentă, dar nu trebuie proiectate fără precauție asupra trecutului. Tot atât de greșit ar fi să presupunem că, deoarece vechile preocupări se amestecau, trebuie să păstrăm astăzi toate concluziile lor la același nivel de autoritate.</w:t>
      </w:r>
    </w:p>
    <w:p>
      <w:pPr>
        <w:pStyle w:val="Heading2"/>
      </w:pPr>
      <w:r>
        <w:t>Dosarul 1. Thales: ce înseamnă o lume „plină de zei”?</w:t>
      </w:r>
    </w:p>
    <w:p>
      <w:pPr>
        <w:pStyle w:val="BookOpening"/>
      </w:pPr>
      <w:r>
        <w:t xml:space="preserve">Există un nucleu istoric real. Aristotel îi atribuie lui Thales ideea că toate lucrurile sunt pline de zei; relatarea apare în discuția despre suflet. Nu avem însă un tratat păstrat al lui Thales care să explice exact ce voia să spună. Ne aflăm în fața unei mărturii ulterioare și a unei interpretări a acesteia. Istoria presocraticilor cere tocmai acest tip de precauție: ceea ce știm este transmis prin alți autori, care aveau propriile întrebări filosofice. </w:t>
      </w:r>
      <w:r>
        <w:t>[</w:t>
      </w:r>
      <w:hyperlink w:anchor="ref_7">
        <w:r>
          <w:rPr>
            <w:color w:val="276168"/>
            <w:sz w:val="19"/>
          </w:rPr>
          <w:t xml:space="preserve">7</w:t>
        </w:r>
      </w:hyperlink>
      <w:r>
        <w:t xml:space="preserve">, </w:t>
      </w:r>
      <w:hyperlink w:anchor="ref_8">
        <w:r>
          <w:rPr>
            <w:color w:val="276168"/>
            <w:sz w:val="19"/>
          </w:rPr>
          <w:t xml:space="preserve">8</w:t>
        </w:r>
      </w:hyperlink>
      <w:r>
        <w:t>]</w:t>
      </w:r>
      <w:r/>
    </w:p>
    <w:p>
      <w:pPr/>
      <w:r>
        <w:t>Din formula antică nu rezultă fără rest concepția modernă că un „spirit divin” omniprezent pătrunde materia, cu sensul teologic sugerat de postare. „Zeii”, „sufletul”, puterea de mișcare și principiul naturii puteau avea raporturi diferite de cele asumate într-o doctrină creștină ulterioară. O interpretare posibilă trebuie prezentată ca interpretare, nu ca traducere transparentă peste două milenii și jumătate.</w:t>
      </w:r>
    </w:p>
    <w:p>
      <w:pPr/>
      <w:r>
        <w:t xml:space="preserve">Și atribuțiile matematice trebuie formulate prudent. Tradiția îl leagă de mai multe rezultate geometrice, dar biografia și prioritățile lui nu pot fi reconstruite cu precizia unui dosar modern de brevet. A spune că „teorema lui Thales” poartă acest nume în tradiția didactică nu dovedește că știm cum a fost formulată prima oară, în ce lecție sau sub ce justificare religioasă. </w:t>
      </w:r>
      <w:r>
        <w:t>[</w:t>
      </w:r>
      <w:hyperlink w:anchor="ref_9">
        <w:r>
          <w:rPr>
            <w:color w:val="276168"/>
            <w:sz w:val="19"/>
          </w:rPr>
          <w:t xml:space="preserve">9</w:t>
        </w:r>
      </w:hyperlink>
      <w:r>
        <w:t>]</w:t>
      </w:r>
      <w:r/>
    </w:p>
    <w:p>
      <w:pPr/>
      <w:r>
        <w:t>Un profesor ar putea folosi cazul pentru a arăta cum începe investigația naturii în interiorul unei lumi care nu separă rigid divinul de natural. Ar putea spune și că istoricul lucrează cu mărturii, nu cu acces direct la mintea unui autor. Aceasta ar adăuga profunzime lecției. Nu ar obliga elevul să accepte o doctrină despre sufletul materiei înainte de a înțelege asemănarea triunghiurilor.</w:t>
      </w:r>
    </w:p>
    <w:p>
      <w:pPr>
        <w:pStyle w:val="BookVerdict"/>
      </w:pPr>
      <w:r>
        <w:t>Verdictul este dublu: mărturia despre zei este autentică în tradiția aristotelică; interpretarea ei ca dovadă pentru o spiritualitate unică și obligatorie este nejustificată. Postarea pornește de la un indiciu real și îl face mai precis decât permit documentele.</w:t>
      </w:r>
    </w:p>
    <w:p>
      <w:pPr>
        <w:pStyle w:val="Heading2"/>
      </w:pPr>
      <w:r>
        <w:t>Dosarul 2. Pitagora: între comunitate religioasă și legendă retrospectivă</w:t>
      </w:r>
    </w:p>
    <w:p>
      <w:pPr>
        <w:pStyle w:val="BookOpening"/>
      </w:pPr>
      <w:r>
        <w:t xml:space="preserve">Pitagora este unul dintre cazurile în care corectarea unei istorii prea seculare este necesară. Tradițiile antice îl asociază cu un mod de viață, cu purificarea și cu transmigrația sufletului. Dar sursele despre el sunt dificile, uneori târzii, și trebuie deosebit personajul istoric de dezvoltările pitagoreismului ulterior. Nu avem dovezi sigure că el însuși a demonstrat teorema care îi poartă numele; relații numerice de tip pitagoreic erau cunoscute în matematica babiloniană înaintea lui. </w:t>
      </w:r>
      <w:r>
        <w:t>[</w:t>
      </w:r>
      <w:hyperlink w:anchor="ref_10">
        <w:r>
          <w:rPr>
            <w:color w:val="276168"/>
            <w:sz w:val="19"/>
          </w:rPr>
          <w:t xml:space="preserve">10</w:t>
        </w:r>
      </w:hyperlink>
      <w:r>
        <w:t>]</w:t>
      </w:r>
      <w:r/>
    </w:p>
    <w:p>
      <w:pPr/>
      <w:r>
        <w:t>Afirmația că teorema a fost „elaborată în interiorul Școlii de Mistere” prezintă ca episod verificat ceea ce este, cel mult, o reconstrucție sugestivă. Denumirea poate face cititorul să își imagineze o instituție cu program și scenă de descoperire cunoscute, deși documentarea nu oferă acea transparență. Mai mult, nu orice idee atribuită pitagoreicilor poate fi transferată fără rest lui Pitagora însuși.</w:t>
      </w:r>
    </w:p>
    <w:p>
      <w:pPr/>
      <w:r>
        <w:t>Această corecție nu face matematica antică mai puțin interesantă. O face mai interesantă, fiindcă ne arată că ideile au circulat, au fost transformate și au primit ulterior nume prestigioase. Istoria nu este o galerie de inventatori singuratici care au produs, fiecare, un obiect definitiv. Este și istoria transmiterii, a reconstituirii și a mitologizării.</w:t>
      </w:r>
    </w:p>
    <w:p>
      <w:pPr/>
      <w:r>
        <w:t>Afirmația că o demonstrație contemporană ar fi doar o „carcasă goală” dacă nu include sacralitatea numerelor confundă identitatea matematică a rezultatului cu întreaga experiență culturală a unui grup. Un acord muzical poate fi explicat prin raporturi numerice și poate avea pentru cineva semnificație sacră. Explicația raporturilor nu e falsă pentru că nu conține acea semnificație. Nici semnificația nu devine ridicolă doar pentru că nu figurează în calcul.</w:t>
      </w:r>
    </w:p>
    <w:p>
      <w:pPr/>
      <w:r>
        <w:t>Există chiar o ironie filosofică: matematica nu este în mod evident „materialistă” doar pentru că nu invocă zei. Statutul numerelor, al obiectelor abstracte și al adevărurilor matematice este disputat între poziții filosofice diferite. O demonstrație nu rezolvă automat această dispută. Folosirea ei într-o clasă nu îi face, prin definiție, pe elevi adepții unei ontologii a materiei.</w:t>
      </w:r>
    </w:p>
    <w:p>
      <w:pPr>
        <w:pStyle w:val="BookVerdict"/>
      </w:pPr>
      <w:r>
        <w:t>Verdict: dimensiunea religioasă a tradiției pitagoreice merită predată; scena sigură a descoperirii în cadrul unei școli de mistere nu este documentată suficient; validitatea teoremei nu depinde de adoptarea metafizicii numerelor sacre.</w:t>
      </w:r>
    </w:p>
    <w:p>
      <w:pPr>
        <w:pStyle w:val="Heading2"/>
      </w:pPr>
      <w:r>
        <w:t>Dosarul 3. Descartes: îndoiala metodică și certitudinea visului</w:t>
      </w:r>
    </w:p>
    <w:p>
      <w:pPr>
        <w:pStyle w:val="BookOpening"/>
      </w:pPr>
      <w:r>
        <w:t xml:space="preserve">Relatarea celor trei vise din noaptea de 10 noiembrie 1619 face parte din biografia intelectuală a lui Descartes. Literatura academică păstrează însă precauții inclusiv despre loc: Ulm sau, posibil, Neuburg. Proiectul său filosofic a inclus argumente pentru existența lui Dumnezeu și distincția dintre minte și corp. Metoda nu începe pur și simplu în 1641: Discursul asupra metodei fusese publicat în 1637, iar alte preocupări metodologice sunt anterioare. </w:t>
      </w:r>
      <w:r>
        <w:t>[</w:t>
      </w:r>
      <w:hyperlink w:anchor="ref_11">
        <w:r>
          <w:rPr>
            <w:color w:val="276168"/>
            <w:sz w:val="19"/>
          </w:rPr>
          <w:t xml:space="preserve">11</w:t>
        </w:r>
      </w:hyperlink>
      <w:r>
        <w:t>]</w:t>
      </w:r>
      <w:r/>
    </w:p>
    <w:p>
      <w:pPr/>
      <w:r>
        <w:t>Aceasta este o istorie fertilă pentru o întrebare: poate un proiect rațional să fie stimulat de o experiență pe care autorul o interpretează religios? Evident că da. Dar din acest fapt nu rezultă că experiența este autoritatea prin care metoda trebuie acceptată. Dacă un elev este convins de o demonstrație carteziană, el poate examina argumentul. Nu trebuie să retrăiască visele lui Descartes.</w:t>
      </w:r>
    </w:p>
    <w:p>
      <w:pPr/>
      <w:r>
        <w:t>Postarea folosește verbul „demonstrează” fără a preciza diferența dintre o demonstrație propusă de un filosof și o concluzie acceptată fără controversă. Descartes susține că argumentele sale ajung la Dumnezeu. Criticii pot contesta premisele, trecerile sau raportul dintre certitudinea ideilor și garantarea lor divină. A relata fidel istoria înseamnă „Descartes a formulat argumente pe care le considera demonstrative”, nu „existența lui Dumnezeu a fost stabilită definitiv în 1641”.</w:t>
      </w:r>
    </w:p>
    <w:p>
      <w:pPr/>
      <w:r>
        <w:t xml:space="preserve">Mai există un inconvenient pentru diviziunea simplă dintre materialism și spiritualitate. Descartes putea apăra simultan un Dumnezeu creator, un suflet necorporal și explicații mecanice foarte ambițioase ale naturii. Pozițiile care astăzi sunt distribuite automat în tabere adverse puteau coexista în aceeași construcție filosofică. </w:t>
      </w:r>
      <w:r>
        <w:t>[</w:t>
      </w:r>
      <w:hyperlink w:anchor="ref_11">
        <w:r>
          <w:rPr>
            <w:color w:val="276168"/>
            <w:sz w:val="19"/>
          </w:rPr>
          <w:t xml:space="preserve">11</w:t>
        </w:r>
      </w:hyperlink>
      <w:r>
        <w:t>]</w:t>
      </w:r>
      <w:r/>
    </w:p>
    <w:p>
      <w:pPr/>
      <w:r>
        <w:t>Lecția utilă nu este că rațiunea ar fi falsă fiindcă un vis a precedat-o. Aceasta ar fi eroarea simetrică a unui antireligios grăbit. Lecția este că inspirația nu decide validitatea. Putem respecta biografia fără a împrumuta concluziilor ei certitudinea unor rezultate matematice.</w:t>
      </w:r>
    </w:p>
    <w:p>
      <w:pPr>
        <w:pStyle w:val="BookVerdict"/>
      </w:pPr>
      <w:r>
        <w:t>Verdict: religiozitatea și visele au un temei documentar; precizia unor detalii din postare este exagerată; existența argumentelor carteziene pentru Dumnezeu este un fapt istoric, nu dovada că problema a fost închisă.</w:t>
      </w:r>
    </w:p>
    <w:p>
      <w:pPr>
        <w:pStyle w:val="Heading2"/>
      </w:pPr>
      <w:r>
        <w:t>Dosarul 4. Pascal: o experiență autentică, un pariu contestabil</w:t>
      </w:r>
    </w:p>
    <w:p>
      <w:pPr>
        <w:pStyle w:val="BookOpening"/>
      </w:pPr>
      <w:r>
        <w:t xml:space="preserve">Pascal a avut o viață religioasă intensă. Experiența din 23 noiembrie 1654 și Memorialul care o consemnează aparțin nucleului bine cunoscut al biografiei lui. Ele nu sunt invenții necesare unei campanii contemporane. Matematica probabilităților, studiile asupra presiunii și reflecția religioasă au coexistat în viața sa. </w:t>
      </w:r>
      <w:r>
        <w:t>[</w:t>
      </w:r>
      <w:hyperlink w:anchor="ref_12">
        <w:r>
          <w:rPr>
            <w:color w:val="276168"/>
            <w:sz w:val="19"/>
          </w:rPr>
          <w:t xml:space="preserve">12</w:t>
        </w:r>
      </w:hyperlink>
      <w:r>
        <w:t>]</w:t>
      </w:r>
      <w:r/>
    </w:p>
    <w:p>
      <w:pPr/>
      <w:r>
        <w:t xml:space="preserve">Pariul este însă altceva decât dovada că Dumnezeu există. Într-o reconstrucție simplificată, el compară consecințele alegerii de a crede sau de a nu crede, în condiții de incertitudine. Dacă acordăm o probabilitate pozitivă unei răsplăți infinite și tratăm anumite costuri ca finite, alegerea religioasă poate părea dominantă în calculul așteptărilor. Disputa filosofică privește tocmai premisele și sensul acestui calcul. </w:t>
      </w:r>
      <w:r>
        <w:t>[</w:t>
      </w:r>
      <w:hyperlink w:anchor="ref_13">
        <w:r>
          <w:rPr>
            <w:color w:val="276168"/>
            <w:sz w:val="19"/>
          </w:rPr>
          <w:t xml:space="preserve">13</w:t>
        </w:r>
      </w:hyperlink>
      <w:r>
        <w:t>]</w:t>
      </w:r>
      <w:r/>
    </w:p>
    <w:p>
      <w:pPr/>
      <w:r>
        <w:t>Să înlocuim expresiile grandioase cu o situație obișnuită. O persoană îți spune că ai putea câștiga un beneficiu nemăsurat dacă accepți o anumită autoritate, dar că mai multe autorități cer lucruri incompatibile. Nu este suficient să răspunzi că beneficiul posibil este enorm. Trebuie să întrebi de ce această promisiune, ce probabilitate are, cum se compară cu promisiunile concurente și dacă recompensa presupune sinceritate, nu doar calcul strategic.</w:t>
      </w:r>
    </w:p>
    <w:p>
      <w:pPr/>
      <w:r>
        <w:t>Mai există problema controlului asupra credinței. Putem decide să participăm la o practică sau să cercetăm o tradiție. Nu este evident că putem decide direct să considerăm adevărată orice propoziție care ne-ar avantaja. Un pariu poate recomanda o conduită exploratorie, dar nu transformă instantaneu alegerea în convingere autentică.</w:t>
      </w:r>
    </w:p>
    <w:p>
      <w:pPr/>
      <w:r>
        <w:t>Criticul ateu nu trebuie totuși să reducă Pascal la un vânzător de asigurări cosmice. Pariul se înscrie într-o reflecție despre fragilitatea omului, limitele rațiunii și imposibilitatea de a trăi fără alegeri. Chiar dacă argumentul nu este concludent, întrebarea lui rămâne serioasă: cum decidem când problema este importantă, dovezile sunt incomplete și inacțiunea este ea însăși un fel de alegere?</w:t>
      </w:r>
    </w:p>
    <w:p>
      <w:pPr/>
      <w:r>
        <w:t>Răspunsul nostru este că importanța existențială nu autorizează modificarea standardului de adevăr. Putem lua o decizie sub incertitudine și putem recunoaște că nu am demonstrat ontologia care ar justifica-o deplin. Această recunoaștere este mai matură decât transformarea prudenței practice într-o certitudine metafizică.</w:t>
      </w:r>
    </w:p>
    <w:p>
      <w:pPr>
        <w:pStyle w:val="BookVerdict"/>
      </w:pPr>
      <w:r>
        <w:t>Verdict: experiența religioasă și pariul sunt reale; afirmația că pariul demonstrează universal superioritatea rațională a credinței asupra ateismului este prea puternică.</w:t>
      </w:r>
    </w:p>
    <w:p>
      <w:pPr>
        <w:pStyle w:val="Heading2"/>
      </w:pPr>
      <w:r>
        <w:t>Dosarul 5. Leibniz: când 0 și 1 devin simboluri ale creației</w:t>
      </w:r>
    </w:p>
    <w:p>
      <w:pPr>
        <w:pStyle w:val="BookOpening"/>
      </w:pPr>
      <w:r>
        <w:t xml:space="preserve">Leibniz nu a fost numai un inovator matematic. Metafizica sa cuprinde substanțe simple, monade, și o armonie întemeiată în Dumnezeu. Monadele nu trebuie imaginate ca particule materiale foarte mici și nici descrise, fără explicații, ca niște fantome. Ele aparțin unei teorii filosofice sofisticate despre unitate, percepție și structura realității. </w:t>
      </w:r>
      <w:r>
        <w:t>[</w:t>
      </w:r>
      <w:hyperlink w:anchor="ref_14">
        <w:r>
          <w:rPr>
            <w:color w:val="276168"/>
            <w:sz w:val="19"/>
          </w:rPr>
          <w:t xml:space="preserve">14</w:t>
        </w:r>
      </w:hyperlink>
      <w:r>
        <w:t>]</w:t>
      </w:r>
      <w:r/>
    </w:p>
    <w:p>
      <w:pPr/>
      <w:r>
        <w:t xml:space="preserve">În cercetările sale asupra aritmeticii binare, Leibniz a asociat 1 și 0 cu o simbolistică teologică a creației și a discutat corespondența cu figurile chinezești transmise de Joachim Bouvet. Textul său despre aritmetica binară leagă explicit calculul de interpretarea figurilor lui Fuxi. Aceasta este o parte reală a proiectului său intelectual, nu doar o ornamentație adăugată astăzi. Prioritățile istorice privind reprezentările binare sunt însă mai complexe decât formula „a inventat sistemul binar”. </w:t>
      </w:r>
      <w:r>
        <w:t>[</w:t>
      </w:r>
      <w:hyperlink w:anchor="ref_15">
        <w:r>
          <w:rPr>
            <w:color w:val="276168"/>
            <w:sz w:val="19"/>
          </w:rPr>
          <w:t xml:space="preserve">15</w:t>
        </w:r>
      </w:hyperlink>
      <w:r>
        <w:t>]</w:t>
      </w:r>
      <w:r/>
    </w:p>
    <w:p>
      <w:pPr/>
      <w:r>
        <w:t>Dintr-o corespondență între două sisteme de semne nu rezultă că ele au aceeași semnificație religioasă. O linie continuă și una întreruptă pot fi mapate pe două valori, dar interpretarea cosmologică a ansamblului cere alte argumente. Matematica unei reprezentări și sensul ei cultural nu sunt identice.</w:t>
      </w:r>
    </w:p>
    <w:p>
      <w:pPr/>
      <w:r>
        <w:t>Putem înțelege entuziasmul lui Leibniz fără a transforma entuziasmul în probă. Într-un proiect de limbaj universal, descoperirea unei structuri comune putea părea un semn că rațiunea traversează culturi. Aceasta poate fi o intuiție filosofică fertilă. Dar pentru a demonstra o revelație comună sau existența lui Dumnezeu ar trebui excluse explicațiile alternative: proprietăți combinatorice simple, dezvoltări independente sau traduceri interpretative prea generoase.</w:t>
      </w:r>
    </w:p>
    <w:p>
      <w:pPr/>
      <w:r>
        <w:t>Nici calculatoarele contemporane nu poartă, prin utilizarea reprezentărilor binare, o mărturisire de credință leibniziană. Un simbol poate avea o istorie religioasă și o funcționare tehnică independentă. Cunoașterea istoriei îi mărește bogăția culturală; nu schimbă regulile adunării.</w:t>
      </w:r>
    </w:p>
    <w:p>
      <w:pPr>
        <w:pStyle w:val="BookVerdict"/>
      </w:pPr>
      <w:r>
        <w:t>Verdict: conexiunile dintre matematică și teologie sunt reale; analogia binară nu este o demonstrație teologică, iar formula modernă a descoperitorului unic simplifică o istorie mai lungă.</w:t>
      </w:r>
    </w:p>
    <w:p>
      <w:bookmarkStart w:id="106" w:name="chapter_4"/>
      <w:pPr>
        <w:pStyle w:val="Heading1"/>
      </w:pPr>
      <w:r>
        <w:t>4. Infinitul nu votează: Euler, Cantor și Gödel</w:t>
      </w:r>
      <w:bookmarkEnd w:id="106"/>
    </w:p>
    <w:p>
      <w:pPr>
        <w:pStyle w:val="BookOpening"/>
      </w:pPr>
      <w:r>
        <w:t>Când o postare spune „demonstrație matematică a existenței lui Dumnezeu”, două autorități se întâlnesc într-o singură expresie: prestigiul matematicii și forța existențială a religiei. Tocmai de aceea trebuie să întrebăm mai atent ce înseamnă demonstrație, ce sunt premisele și care este relația dintre sistemul formal și realitate.</w:t>
      </w:r>
    </w:p>
    <w:p>
      <w:pPr>
        <w:pStyle w:val="Heading2"/>
      </w:pPr>
      <w:r>
        <w:t>Dosarul 6. Euler: apologetica este reală, legenda duelului nu este probă</w:t>
      </w:r>
    </w:p>
    <w:p>
      <w:pPr>
        <w:pStyle w:val="BookOpening"/>
      </w:pPr>
      <w:r>
        <w:t xml:space="preserve">Euler a scris o apărare a revelației divine. Catalogul academic al operei sale identifică lucrarea din 1747, Rettung der Göttlichen Offenbahrung gegen die Einwürfe der Freygeister, cu numărul E92. Așadar, nu este nevoie de anecdote pentru a stabili că interesele și convingerile lui depășeau calculul. Avem o lucrare identificabilă, cu autor, dată și ediție. </w:t>
      </w:r>
      <w:r>
        <w:t>[</w:t>
      </w:r>
      <w:hyperlink w:anchor="ref_16">
        <w:r>
          <w:rPr>
            <w:color w:val="276168"/>
            <w:sz w:val="19"/>
          </w:rPr>
          <w:t xml:space="preserve">16</w:t>
        </w:r>
      </w:hyperlink>
      <w:r>
        <w:t>]</w:t>
      </w:r>
      <w:r/>
    </w:p>
    <w:p>
      <w:pPr/>
      <w:r>
        <w:t xml:space="preserve">Episodul în care ar fi fost pus să îl învingă public pe Diderot trebuie tratat separat. Povestea populară circulă și în varianta unei formule algebrice urmate de concluzia că Dumnezeu există. Nu folosim această tradiție anecdotică drept dovadă a unei confruntări istorice în forma descrisă. Nici premisa că Diderot ar fi fost neputincios în fața matematicii nu este credibilă: există lucrări matematice ale lui, inclusiv despre pendule și rezistența aerului. </w:t>
      </w:r>
      <w:r>
        <w:t>[</w:t>
      </w:r>
      <w:hyperlink w:anchor="ref_17">
        <w:r>
          <w:rPr>
            <w:color w:val="276168"/>
            <w:sz w:val="19"/>
          </w:rPr>
          <w:t xml:space="preserve">17</w:t>
        </w:r>
      </w:hyperlink>
      <w:r>
        <w:t>]</w:t>
      </w:r>
      <w:r/>
    </w:p>
    <w:p>
      <w:pPr/>
      <w:r>
        <w:t>Este important să nu exagerăm corecția. Din lipsa unei baze suficiente pentru scenariul teatral nu rezultă că doi oameni nu s-au întâlnit niciodată sau că nu au discutat religia. Rezultă că o anecdotă târzie ori insuficient documentată nu poate susține o acuzație privind școala actuală. Istoricul nu trebuie să înlocuiască „sigur s-a întâmplat” cu „sigur nu s-a putut întâmpla” fără probe.</w:t>
      </w:r>
    </w:p>
    <w:p>
      <w:pPr/>
      <w:r>
        <w:t>Mai importantă decât eventuala victorie de salon este diferența dintre genurile textuale. O lucrare de apologetică poate fi inteligentă, sinceră și argumentată. Ea trebuie citită pentru raționamentele sale. Faptul că autorul a demonstrat rezultate importante în analiză nu transformă automat apologetica în analiză matematică.</w:t>
      </w:r>
    </w:p>
    <w:p>
      <w:pPr/>
      <w:r>
        <w:t>Aceeași exigență ar funcționa dacă un matematician ar compune un pamflet ateu. S-ar cuveni să îl citim fără servilism și fără dispreț. Numele nu oferă concluziei un regim de excepție. Folosirea lui Euler ca trofeu religios și folosirea unui alt savant ca trofeu ateu sunt două variante ale aceleiași scurtături.</w:t>
      </w:r>
    </w:p>
    <w:p>
      <w:pPr>
        <w:pStyle w:val="BookVerdict"/>
      </w:pPr>
      <w:r>
        <w:t>Verdict: credința și apologetica lui Euler sunt documentate; scena confruntării cu Diderot nu este o bază istorică suficient de sigură; nicio formulă celebră nu transferă automat adevăr teologiei autorului.</w:t>
      </w:r>
    </w:p>
    <w:p>
      <w:pPr>
        <w:pStyle w:val="Heading2"/>
      </w:pPr>
      <w:r>
        <w:t>Dosarul 7. Cantor: infinitul matematic și Infinitul Absolut</w:t>
      </w:r>
    </w:p>
    <w:p>
      <w:pPr>
        <w:pStyle w:val="BookOpening"/>
      </w:pPr>
      <w:r>
        <w:t xml:space="preserve">Cantor a făcut din mulțimile infinite obiecte ale unei cercetări matematice sistematice. Dezvoltarea teoriei mulțimilor este documentată independent de acceptarea interpretărilor lui religioase. Faptul că putem compara mărimi infinite prin corespondențe și demonstra existența unor cardinalități diferite nu este o declarație despre credința celui care efectuează demonstrația. </w:t>
      </w:r>
      <w:r>
        <w:t>[</w:t>
      </w:r>
      <w:hyperlink w:anchor="ref_18">
        <w:r>
          <w:rPr>
            <w:color w:val="276168"/>
            <w:sz w:val="19"/>
          </w:rPr>
          <w:t xml:space="preserve">18</w:t>
        </w:r>
      </w:hyperlink>
      <w:r>
        <w:t>]</w:t>
      </w:r>
      <w:r/>
    </w:p>
    <w:p>
      <w:pPr/>
      <w:r>
        <w:t xml:space="preserve">Raportul său cu teologia este însă real. Literatura istorică discută distincția dintre transfinit și Absolut. Schimburile cu teologi, inclusiv cu cardinalul Johannes Franzelin, sunt relatate în surse secundare; manuscrisele acestei corespondențe nu au fost colacionate pentru prezenta carte. Acestea arată că, pentru Cantor, legitimitatea filosofică și religioasă a infinitului actual era o preocupare serioasă. Dar formularea că teoria i-a fost „comunicată direct de Dumnezeu” nu trebuie citită ca o constatare neutră a istoricului. Cel mult, ea poate descrie felul în care autorul și-a interpretat inspirația; citatul exact cere o scrisoare și o ediție identificabile. </w:t>
      </w:r>
      <w:r>
        <w:t>[</w:t>
      </w:r>
      <w:hyperlink w:anchor="ref_19">
        <w:r>
          <w:rPr>
            <w:color w:val="276168"/>
            <w:sz w:val="19"/>
          </w:rPr>
          <w:t xml:space="preserve">19</w:t>
        </w:r>
      </w:hyperlink>
      <w:r>
        <w:t>]</w:t>
      </w:r>
      <w:r/>
    </w:p>
    <w:p>
      <w:pPr/>
      <w:r>
        <w:t>Să vedem ce face o demonstrație simplă, fără a o încărca teologic. Dacă presupui că ai enumerat toate șirurile infinite formate din 0 și 1, construiești un nou șir schimbând al n-lea simbol al celui de-al n-lea șir din listă. Noul șir diferă de fiecare șir enumerat în cel puțin o poziție. Prin urmare, lista nu era completă. Aceasta este schema diagonală; concluzia se obține din construcție, nu dintr-o experiență religioasă.</w:t>
      </w:r>
    </w:p>
    <w:p>
      <w:pPr/>
      <w:r>
        <w:t>Nu rezultă de aici că toate aceste obiecte există fizic, că universul conține un anumit infinit realizat sau că un Absolut divin a fost măsurat. Statutul matematic al unei structuri și statutul ei ontologic sunt întrebări distincte. Matematica poate alimenta reflecția metafizică, dar nu o încheie prin simpla apariție a semnului infinit.</w:t>
      </w:r>
    </w:p>
    <w:p>
      <w:pPr/>
      <w:r>
        <w:t>Trebuie evitată și o nedreptate frecventă în direcția opusă: explicarea ideilor unui om exclusiv prin suferința sa psihică. O demonstrație nu este infirmată printr-un diagnostic, iar o convingere religioasă nu devine automat simptom. În acest dosar nu avem nevoie de speculații retrospective despre sănătate. Avem nevoie să verificăm argumentele matematice și documentele istorice.</w:t>
      </w:r>
    </w:p>
    <w:p>
      <w:pPr>
        <w:pStyle w:val="BookVerdict"/>
      </w:pPr>
      <w:r>
        <w:t>Verdict: legătura intelectuală cu teologia este reală; distincția dintre transfinit și Absolut nu echivalează cu o probă matematică a lui Dumnezeu; relatarea inspirației divine trebuie atribuită persoanei și documentată, nu adoptată ca fapt supranatural.</w:t>
      </w:r>
    </w:p>
    <w:p>
      <w:pPr>
        <w:pStyle w:val="Heading2"/>
      </w:pPr>
      <w:r>
        <w:t>Dosarul 8. Gödel: ce verifică de fapt un calculator când verifică o dovadă?</w:t>
      </w:r>
    </w:p>
    <w:p>
      <w:pPr>
        <w:pStyle w:val="BookOpening"/>
      </w:pPr>
      <w:r>
        <w:t xml:space="preserve">Gödel a elaborat un argument ontologic formal. Cercetări ulterioare au mecanizat variante ale lui în sisteme de demonstrare automată. Acesta este un subiect autentic al logicii și filosofiei, nu o legendă de internet. Dar verificarea privește relația dintre axiome, definiții, reguli de inferență și concluzie. Ea nu certifică, independent, că axiomele descriu realitatea. </w:t>
      </w:r>
      <w:r>
        <w:t>[</w:t>
      </w:r>
      <w:hyperlink w:anchor="ref_20">
        <w:r>
          <w:rPr>
            <w:color w:val="276168"/>
            <w:sz w:val="19"/>
          </w:rPr>
          <w:t xml:space="preserve">20</w:t>
        </w:r>
      </w:hyperlink>
      <w:r>
        <w:t>]</w:t>
      </w:r>
      <w:r/>
    </w:p>
    <w:p>
      <w:pPr/>
      <w:r>
        <w:t>Un exemplu elementar clarifică problema. Dacă un sistem admite premisele „toate entitățile cu proprietatea P există” și „o entitate divină are proprietatea P”, concluzia existenței poate urma formal. Disputa se mută asupra premiselor. Argumentele ontologice reale sunt mult mai sofisticate decât acest exemplu, dar nu se pot dispensa de evaluarea presupozițiilor lor.</w:t>
      </w:r>
    </w:p>
    <w:p>
      <w:pPr/>
      <w:r>
        <w:t>În familia argumentelor asociate lui Gödel apar proprietăți numite „pozitive”, existență necesară și o logică modală a posibilului și necesarului. Cuvântul „pozitiv” nu este un aparat experimental care detectează binele. El intră într-o structură axiomatică. Trebuie întrebat de ce accepți acea structură, dacă este consistentă și dacă ea are sensul teologic dorit.</w:t>
      </w:r>
    </w:p>
    <w:p>
      <w:pPr/>
      <w:r>
        <w:t xml:space="preserve">Cercetarea contemporană compară variante, identifică dificultăți și propune modificări. Unele versiuni produc consecințe nedorite, precum colapsul modal, în care distincția dintre adevăr contingent și adevăr necesar se restrânge radical. Există și variante construite pentru a evita asemenea efecte. O analiză computerizată poate îmbunătăți filosofia tocmai arătând unde diferă premisele și consecințele, nu declarând victoria definitivă a unei tabere. </w:t>
      </w:r>
      <w:r>
        <w:t>[</w:t>
      </w:r>
      <w:hyperlink w:anchor="ref_21">
        <w:r>
          <w:rPr>
            <w:color w:val="276168"/>
            <w:sz w:val="19"/>
          </w:rPr>
          <w:t xml:space="preserve">21</w:t>
        </w:r>
      </w:hyperlink>
      <w:r>
        <w:t>]</w:t>
      </w:r>
      <w:r/>
    </w:p>
    <w:p>
      <w:pPr/>
      <w:r>
        <w:t xml:space="preserve">Postarea adaugă convingerile lui Gödel despre viața de după moarte și presupuse cercetări paranormale universitare. Literatura biografică și corespondența publicată discută credința sa într-o viață viitoare. Nu folosim însă afirmația specifică despre un studiu serios al paranormalului „la Universitatea din Viena” drept fapt confirmat: lipsesc, în materialele verificate aici, identificarea investigației, perioada și documentele necesare. </w:t>
      </w:r>
      <w:r>
        <w:t>[</w:t>
      </w:r>
      <w:hyperlink w:anchor="ref_22">
        <w:r>
          <w:rPr>
            <w:color w:val="276168"/>
            <w:sz w:val="19"/>
          </w:rPr>
          <w:t xml:space="preserve">22</w:t>
        </w:r>
      </w:hyperlink>
      <w:r>
        <w:t>]</w:t>
      </w:r>
      <w:r/>
    </w:p>
    <w:p>
      <w:pPr/>
      <w:r>
        <w:t xml:space="preserve">La fel de nejustificată ar fi folosirea teoremelor incompletitudinii pentru a demonstra direct existența sufletului sau imposibilitatea oricărei explicații naturale a minții. Teoremele au ipoteze tehnice despre sisteme formale suficient de expresive și efectiv axiomatizate. Ele nu spun că orice credință care scapă unei demonstrații este adevărată și nici că mintea umană are acces infailibil la adevăruri din afara tuturor sistemelor. </w:t>
      </w:r>
      <w:r>
        <w:t>[</w:t>
      </w:r>
      <w:hyperlink w:anchor="ref_23">
        <w:r>
          <w:rPr>
            <w:color w:val="276168"/>
            <w:sz w:val="19"/>
          </w:rPr>
          <w:t xml:space="preserve">23</w:t>
        </w:r>
      </w:hyperlink>
      <w:r>
        <w:t>]</w:t>
      </w:r>
      <w:r/>
    </w:p>
    <w:p>
      <w:pPr>
        <w:pStyle w:val="BookVerdict"/>
      </w:pPr>
      <w:r>
        <w:t>Verdict: argumentul ontologic este real și important pentru logica filosofică; verificarea formală este condiționată de axiome; teologia, viața viitoare și paranormalul nu devin rezultate experimentale prin asocierea cu numele lui Gödel.</w:t>
      </w:r>
    </w:p>
    <w:p>
      <w:pPr>
        <w:pStyle w:val="Heading2"/>
      </w:pPr>
      <w:r>
        <w:t>O lecție comună: cuvântul „dovadă” are mai multe sarcini</w:t>
      </w:r>
    </w:p>
    <w:p>
      <w:pPr>
        <w:pStyle w:val="BookOpening"/>
      </w:pPr>
      <w:r>
        <w:t>În matematică, o demonstrație stabilește o concluzie în raport cu premise și reguli precise. În istorie, o probă poate fi o scrisoare autentică sau o mărturie independentă. În știința empirică, susținerea unei teorii vine din convergența observațiilor, testelor și capacității explicative. În viața personală, „am dovada” poate însemna că o experiență a fost profund convingătoare pentru cineva.</w:t>
      </w:r>
    </w:p>
    <w:p>
      <w:pPr/>
      <w:r>
        <w:t>Aceste sensuri pot dialoga, dar nu sunt interschimbabile. O scrisoare dovedește că cineva a susținut o idee, nu că ideea este adevărată. O demonstrație verificată nu dovedește singură aplicabilitatea fizică a axiomelor. O experiență transformatoare nu obligă automat persoana care nu a trăit-o. Tocmai respectul pentru fiecare formă de cunoaștere cere să nu îi atribuim competențele alteia.</w:t>
      </w:r>
    </w:p>
    <w:p>
      <w:bookmarkStart w:id="107" w:name="chapter_5"/>
      <w:pPr>
        <w:pStyle w:val="Heading1"/>
      </w:pPr>
      <w:r>
        <w:t>5. Cerul, credința și corectarea erorilor</w:t>
      </w:r>
      <w:bookmarkEnd w:id="107"/>
    </w:p>
    <w:p>
      <w:pPr>
        <w:pStyle w:val="BookOpening"/>
      </w:pPr>
      <w:r>
        <w:t xml:space="preserve">Când privim înapoi la revoluția astronomică, suntem tentați să vedem două armate deja constituite: știința, cu telescoapele sale, și religia, cu interdicțiile sale. Documentele arată un peisaj mai dificil. Oamenii care au modificat astronomia puteau fi profund religioși. Autoritățile religioase nu reacționau toate identic. Instituțiile puteau susține anumite cercetări și reprima anumite concluzii. Nici legenda armoniei perfecte, nici legenda războiului etern nu ne scutesc de investigarea cazurilor concrete. </w:t>
      </w:r>
      <w:r>
        <w:t>[</w:t>
      </w:r>
      <w:hyperlink w:anchor="ref_1">
        <w:r>
          <w:rPr>
            <w:color w:val="276168"/>
            <w:sz w:val="19"/>
          </w:rPr>
          <w:t xml:space="preserve">1</w:t>
        </w:r>
      </w:hyperlink>
      <w:r>
        <w:t>]</w:t>
      </w:r>
      <w:r/>
    </w:p>
    <w:p>
      <w:pPr/>
      <w:r>
        <w:t>Această complexitate nu trebuie folosită pentru a absolvi abuzul. Când o autoritate sancționează cercetarea fiindcă rezultatul contrazice interpretarea sa doctrinară, avem o problemă reală, chiar dacă savantul persecutat este el însuși credincios. Dar nici abuzul nu dovedește că orice convingere religioasă împiedică orice descoperire. Trebuie să distingem credințele oamenilor, practicile instituțiilor și criteriile de validare ale teoriilor.</w:t>
      </w:r>
    </w:p>
    <w:p>
      <w:pPr>
        <w:pStyle w:val="Heading2"/>
      </w:pPr>
      <w:r>
        <w:t>Dosarul 9. Copernic: un Soare central nu este o divinitate demonstrată</w:t>
      </w:r>
    </w:p>
    <w:p>
      <w:pPr>
        <w:pStyle w:val="BookOpening"/>
      </w:pPr>
      <w:r>
        <w:t xml:space="preserve">Copernic a fost canonic, iar opera sa aparține unei lumi în care preocupările astronomice, filosofia naturii și vocabularul religios nu erau compartimentele separate pe care ni le imaginăm astăzi. Prezentarea lui drept un militant al ateismului ar fi o falsificare. Dar afirmația din postare este mai specifică: teoria ar fi fost primită cu interes de „cercuri hermetice” care vedeau în Soare un simbol spiritual. Fără identificarea acelor cercuri, a textelor și a momentelor recepției, formularea rămâne prea vagă pentru a susține acuzația adresată școlii. </w:t>
      </w:r>
      <w:r>
        <w:t>[</w:t>
      </w:r>
      <w:hyperlink w:anchor="ref_24">
        <w:r>
          <w:rPr>
            <w:color w:val="276168"/>
            <w:sz w:val="19"/>
          </w:rPr>
          <w:t xml:space="preserve">24</w:t>
        </w:r>
      </w:hyperlink>
      <w:r>
        <w:t>]</w:t>
      </w:r>
      <w:r/>
    </w:p>
    <w:p>
      <w:pPr/>
      <w:r>
        <w:t>Chiar dacă o anumită comunitate ar fi interpretat heliocentrismul religios, ar trebui să deosebim patru lucruri: motivele autorului, argumentele astronomice, interpretările cititorilor și validarea ulterioară. Recepția unei teorii nu este identică cu teoria. Un poem despre Soare nu verifică pozițiile planetelor; o tabelă astronomică bună nu verifică o teologie solară.</w:t>
      </w:r>
    </w:p>
    <w:p>
      <w:pPr/>
      <w:r>
        <w:t>Mai mult, modelul istoric al lui Copernic nu coincide în toate detaliile cu astronomia actuală. Importanța lui nu presupune că fiecare mecanism propus de el trebuie păstrat. Această observație oferă un răspuns direct polemicii: predarea unei idei presupune uneori și separarea contribuției durabile de construcțiile abandonate. Nu este obligatoriu să conservăm integral sistemul autorului pentru a-i recunoaște meritul.</w:t>
      </w:r>
    </w:p>
    <w:p>
      <w:pPr/>
      <w:r>
        <w:t>Putem imagina o lecție onestă: „Copernic a fost un om al instituțiilor și culturii religioase a timpului său. A propus o reorganizare radicală a astronomiei. Vom analiza ce probleme rezolva modelul, ce dificultăți păstra și ce observații au devenit ulterior decisive.” Lecția recunoaște istoria fără a le cere elevilor să adopte metafizica vreunui protagonist.</w:t>
      </w:r>
    </w:p>
    <w:p>
      <w:pPr>
        <w:pStyle w:val="BookVerdict"/>
      </w:pPr>
      <w:r>
        <w:t>Verdict: contextul religios este real și relevant; propoziția despre recepția hermetică cere documente mai precise; heliocentrismul nu demonstrează nici sacralitatea Soarelui, nici inexistența divinității.</w:t>
      </w:r>
    </w:p>
    <w:p>
      <w:pPr>
        <w:pStyle w:val="Heading2"/>
      </w:pPr>
      <w:r>
        <w:t>Dosarul 10. Galileo: astrologia nu infirmă astronomia, iar persecuția nu dispare prin nuanțare</w:t>
      </w:r>
    </w:p>
    <w:p>
      <w:pPr>
        <w:pStyle w:val="BookOpening"/>
      </w:pPr>
      <w:r>
        <w:t xml:space="preserve">Galileo a lucrat într-o epocă în care astrologia făcea parte din peisajul intelectual și profesional. Activitățile sale astrologice nu justifică imaginea unui trecut complet desprins de asemenea practici. Totuși, postarea combină multe detalii distincte — predare, horoscoape, nume de destinatari, investigații ecleziastice — care trebuie verificate separat. Nu putem transforma verosimilitatea generală a contextului în certificarea fiecărei anecdote. În particular, acuzațiile din 1604 nu trebuie confundate cu procesul și condamnarea din 1633. </w:t>
      </w:r>
      <w:r>
        <w:t>[</w:t>
      </w:r>
      <w:hyperlink w:anchor="ref_25">
        <w:r>
          <w:rPr>
            <w:color w:val="276168"/>
            <w:sz w:val="19"/>
          </w:rPr>
          <w:t xml:space="preserve">25</w:t>
        </w:r>
      </w:hyperlink>
      <w:r>
        <w:t>]</w:t>
      </w:r>
      <w:r/>
    </w:p>
    <w:p>
      <w:pPr/>
      <w:r>
        <w:t>Pentru argumentul educațional, întrebarea decisivă este alta: dacă Galileo a întocmit horoscoape, rezultă că legile mișcării uniform accelerate sunt incomplete până le adăugăm astrologia? Nu. Ar rezulta numai că un om poate produce contribuții durabile într-un domeniu și poate participa la practici contestabile în altul. Același principiu trebuie acceptat când un savant religios greșește și când un savant ateu greșește.</w:t>
      </w:r>
    </w:p>
    <w:p>
      <w:pPr/>
      <w:r>
        <w:t>Nu este o strategie acceptabilă să folosim astrologia pentru a diminua, prin asociere, valoarea observațiilor sale astronomice. Aceasta ar fi eroarea în oglindă. Dar este la fel de greșit să folosim astronomia pentru a valida horoscoapele. Fiecare pretenție are nevoie de propriul lanț de justificare.</w:t>
      </w:r>
    </w:p>
    <w:p>
      <w:pPr/>
      <w:r>
        <w:t xml:space="preserve">Condamnarea din 1633 nu devine un episod neînsemnat deoarece Galileo nu era ateu sau deoarece istoria conflictului este mai complexă decât o scenă de film. O instituție a folosit autoritatea doctrinară și coercitivă într-o dispută despre natură. Complexitatea explică împrejurările; nu transformă coerciția în metodă de cunoaștere. Dacă vrem să salvăm adevărul din istoria religiei și științei, trebuie să salvăm și adevărurile incomode pentru instituțiile religioase. </w:t>
      </w:r>
      <w:r>
        <w:t>[</w:t>
      </w:r>
      <w:hyperlink w:anchor="ref_25">
        <w:r>
          <w:rPr>
            <w:color w:val="276168"/>
            <w:sz w:val="19"/>
          </w:rPr>
          <w:t xml:space="preserve">25</w:t>
        </w:r>
      </w:hyperlink>
      <w:r>
        <w:t>]</w:t>
      </w:r>
      <w:r/>
    </w:p>
    <w:p>
      <w:pPr/>
      <w:r>
        <w:t>O lecție fertilă ar pune elevii în fața a trei dosare diferite: o observație astronomică, o judecată astrologică și o decizie instituțională. Ce probe justifică fiecare? Cine are dreptul să decidă? Ce se întâmplă când prestigiul sau puterea înlocuiește examinarea? Astfel, istoria devine educație critică, nu colecție de eroi utilizabili de o tabără.</w:t>
      </w:r>
    </w:p>
    <w:p>
      <w:pPr>
        <w:pStyle w:val="BookVerdict"/>
      </w:pPr>
      <w:r>
        <w:t>Verdict: participarea la cultura astrologică nu trebuie ascunsă; detaliile anecdotic-biografice necesită verificare individuală; nici astrologia nu primește confirmare din succesul mecanicii, nici represiunea din 1633 nu este scuzată de religiozitatea savantului.</w:t>
      </w:r>
    </w:p>
    <w:p>
      <w:pPr>
        <w:pStyle w:val="Heading2"/>
      </w:pPr>
      <w:r>
        <w:t>Dosarul 11. Kepler: când ordinea dorită întâlnește datele incomode</w:t>
      </w:r>
    </w:p>
    <w:p>
      <w:pPr>
        <w:pStyle w:val="BookOpening"/>
      </w:pPr>
      <w:r>
        <w:t xml:space="preserve">Kepler oferă probabil unul dintre cele mai instructive cazuri. În Mysterium cosmographicum, din 1596, a încercat să explice organizarea planetelor prin cele cinci solide platonice. Convingerea că universul exprimă o ordine divină a contat în proiectul său. Cercetările lui au inclus și astrologia, dar raportarea sa la practicile astrologice existente era critică și selectivă, nu acceptarea oricărei predicții tradiționale. </w:t>
      </w:r>
      <w:r>
        <w:t>[</w:t>
      </w:r>
      <w:hyperlink w:anchor="ref_26">
        <w:r>
          <w:rPr>
            <w:color w:val="276168"/>
            <w:sz w:val="19"/>
          </w:rPr>
          <w:t xml:space="preserve">26</w:t>
        </w:r>
      </w:hyperlink>
      <w:r>
        <w:t xml:space="preserve">, </w:t>
      </w:r>
      <w:hyperlink w:anchor="ref_27">
        <w:r>
          <w:rPr>
            <w:color w:val="276168"/>
            <w:sz w:val="19"/>
          </w:rPr>
          <w:t xml:space="preserve">27</w:t>
        </w:r>
      </w:hyperlink>
      <w:r>
        <w:t>]</w:t>
      </w:r>
      <w:r/>
    </w:p>
    <w:p>
      <w:pPr/>
      <w:r>
        <w:t>Ar fi o eroare să reducem aceste preocupări la ambalaj fără importanță. Ele au orientat întrebările și căutarea proporțiilor. Dar ar fi o eroare și să transformăm întregul program într-o reușită. Construcția planetară bazată pe solidele platonice nu este modelul pe care îl folosim pentru a descrie sistemul solar. Legile mișcării planetare au o altă situație epistemică: ele au putut fi confruntate cu observații și integrate într-o mecanică mai largă.</w:t>
      </w:r>
    </w:p>
    <w:p>
      <w:pPr/>
      <w:r>
        <w:t>Lecția profundă nu este că religia a produs automat adevărul sau că știința a început numai după dispariția religiei. Este că o motivație metafizică poate produce ipoteze bune și ipoteze greșite. Ceea ce separă rezultatele durabile nu este intensitatea motivației, ci felul în care cercetătorul acceptă constrângerile problemei și ale datelor.</w:t>
      </w:r>
    </w:p>
    <w:p>
      <w:pPr/>
      <w:r>
        <w:t xml:space="preserve">Nu trebuie însă să inventăm o poveste prea comodă a convertirii la scepticism. Kepler nu a abandonat orice idee despre armonia divină după descoperirea orbitelor eliptice. În Harmonices mundi, din 1619, preocuparea pentru armonie continuă. Biografia lui arată o negociere între matematică, observație și convingeri de fundal, nu înlocuirea instantanee a unui om religios cu unul secular. </w:t>
      </w:r>
      <w:r>
        <w:t>[</w:t>
      </w:r>
      <w:hyperlink w:anchor="ref_27">
        <w:r>
          <w:rPr>
            <w:color w:val="276168"/>
            <w:sz w:val="19"/>
          </w:rPr>
          <w:t xml:space="preserve">27</w:t>
        </w:r>
      </w:hyperlink>
      <w:r>
        <w:t>]</w:t>
      </w:r>
      <w:r/>
    </w:p>
    <w:p>
      <w:pPr/>
      <w:r>
        <w:t>Să formulăm testul general. O viziune spirituală te conduce la o predicție precisă. Predicția eșuează. Ce faci? Modifici modelul, recunoști limita, sau declari că realitatea observată este prea inferioară pentru a-l judeca? Primul răspuns păstrează posibilitatea cercetării. Al doilea poate fi onest filosofic, dacă renunță la pretenția de confirmare empirică. Ultimul riscă să transforme teoria într-un obiect imposibil de corectat.</w:t>
      </w:r>
    </w:p>
    <w:p>
      <w:pPr>
        <w:pStyle w:val="BookVerdict"/>
      </w:pPr>
      <w:r>
        <w:t>Verdict: nucleul religios, geometric și astrologic este bine documentat; rezultatele astronomice nu validează integral cosmologia spirituală; cel mai valoros exemplu educațional este relația dintre inspirație, eroare și corectare.</w:t>
      </w:r>
    </w:p>
    <w:p>
      <w:pPr>
        <w:pStyle w:val="Heading2"/>
      </w:pPr>
      <w:r>
        <w:t>Dosarul 12. Newton: teologia nu este un zvon, dar gravitația nu este o cateheză</w:t>
      </w:r>
    </w:p>
    <w:p>
      <w:pPr>
        <w:pStyle w:val="BookOpening"/>
      </w:pPr>
      <w:r>
        <w:t xml:space="preserve">Newton a lăsat un volum amplu de manuscrise teologice și alchimice. Arhiva digitală Newton Project permite examinarea acestei diversități. Este, prin urmare, greșit să îl prezentăm ca pe un autor interesat exclusiv de mecanică și matematică. Totuși, formule precum „a scris mult mai mult” și totalurile rotunde de cuvinte depind de ce corpus numărăm, de atribuiri, transcrieri și categorii. Ele nu trebuie transformate în statistici precise fără o metodă de inventariere. </w:t>
      </w:r>
      <w:r>
        <w:t>[</w:t>
      </w:r>
      <w:hyperlink w:anchor="ref_4">
        <w:r>
          <w:rPr>
            <w:color w:val="276168"/>
            <w:sz w:val="19"/>
          </w:rPr>
          <w:t xml:space="preserve">4</w:t>
        </w:r>
      </w:hyperlink>
      <w:r>
        <w:t xml:space="preserve">, </w:t>
      </w:r>
      <w:hyperlink w:anchor="ref_5">
        <w:r>
          <w:rPr>
            <w:color w:val="276168"/>
            <w:sz w:val="19"/>
          </w:rPr>
          <w:t xml:space="preserve">5</w:t>
        </w:r>
      </w:hyperlink>
      <w:r>
        <w:t>]</w:t>
      </w:r>
      <w:r/>
    </w:p>
    <w:p>
      <w:pPr/>
      <w:r>
        <w:t xml:space="preserve">Avem și un document mai direct decât contabilitatea manuscriselor: Scholium generale, adăugat la Principia. Newton discută explicit despre Dumnezeu și ordinea lumii. Așadar, nu trebuie să pretindem că legătura dintre fizică și teologie ar fi fost numai un hobby privat, complet absent din opera natural-filosofică. În același timp, convingerile lui nu se suprapun pur și simplu peste ortodoxia creștină comună; cercetările asupra manuscriselor indică poziții antitrinitare. </w:t>
      </w:r>
      <w:r>
        <w:t>[</w:t>
      </w:r>
      <w:hyperlink w:anchor="ref_28">
        <w:r>
          <w:rPr>
            <w:color w:val="276168"/>
            <w:sz w:val="19"/>
          </w:rPr>
          <w:t xml:space="preserve">28</w:t>
        </w:r>
      </w:hyperlink>
      <w:r>
        <w:t xml:space="preserve">, </w:t>
      </w:r>
      <w:hyperlink w:anchor="ref_5">
        <w:r>
          <w:rPr>
            <w:color w:val="276168"/>
            <w:sz w:val="19"/>
          </w:rPr>
          <w:t xml:space="preserve">5</w:t>
        </w:r>
      </w:hyperlink>
      <w:r>
        <w:t>]</w:t>
      </w:r>
      <w:r/>
    </w:p>
    <w:p>
      <w:pPr/>
      <w:r>
        <w:t>Aceasta complică utilizarea sa ca martor religios universal. Când cineva spune „Newton credea”, trebuie să întrebe imediat: ce credea, în ce perioadă și cu ce diferențe față de doctrina pe care încercăm să o legitimăm? Un nume celebru nu este un cec teologic în alb.</w:t>
      </w:r>
    </w:p>
    <w:p>
      <w:pPr/>
      <w:r>
        <w:t>Dar ce se întâmplă cu legea gravitației când este predată separat? Nu își schimbă conținutul matematic prin absența unei discuții despre profeție. Profesorul explică o relație între mărimi, condițiile de aplicare și limitele modelului. Nu promite că a reconstituit întreaga concepție newtoniană asupra lumii. Dacă lecția susține că Newton ar fi respins orice divinitate, trebuie corectată. Dacă nu face asemenea afirmații, acuzația de minciună nu rezultă.</w:t>
      </w:r>
    </w:p>
    <w:p>
      <w:pPr/>
      <w:r>
        <w:t>Alchimia merită și ea tratată fără superioritate retrospectivă. Unele practici istorice reunite sub acest nume implicau operații de laborator și încercări de a înțelege transformări materiale. Nu trebuie identificate automat cu escrocheria. Dar respectul istoric nu ne obligă să acceptăm orice scop sau teorie alchimică. Un proiect poate fi riguros în anumite observații și greșit în interpretarea lor.</w:t>
      </w:r>
    </w:p>
    <w:p>
      <w:pPr/>
      <w:r>
        <w:t>Pentru un elev, Newton ar trebui să fie mai interesant după această analiză, nu mai puțin. Devine un om care a construit instrumente intelectuale extraordinare fără a deveni, prin aceasta, infailibil. Valoarea moștenirii sale nu constă în obligația de a păstra toate convingerile sale, ci și în posibilitatea de a le evalua distinct.</w:t>
      </w:r>
    </w:p>
    <w:p>
      <w:pPr>
        <w:pStyle w:val="BookVerdict"/>
      </w:pPr>
      <w:r>
        <w:t>Verdict: teologia și alchimia sunt esențiale pentru o biografie intelectuală serioasă; statisticile spectaculoase trebuie documentate; predarea mecanicii nu cere adoptarea teologiei autorului, iar ștergerea acesteia din istoria ideilor ar fi, în schimb, o deformare.</w:t>
      </w:r>
    </w:p>
    <w:p>
      <w:bookmarkStart w:id="108" w:name="chapter_6"/>
      <w:pPr>
        <w:pStyle w:val="Heading1"/>
      </w:pPr>
      <w:r>
        <w:t>6. Credința în laborator</w:t>
      </w:r>
      <w:bookmarkEnd w:id="108"/>
    </w:p>
    <w:p>
      <w:pPr>
        <w:pStyle w:val="BookOpening"/>
      </w:pPr>
      <w:r>
        <w:t>Un laborator nu este alcătuit din ființe fără convingeri. Cercetătorii intră în el cu speranțe, temeri, intuiții și valori. Întrebarea nu este cum îi golim de viață interioară, ci cum împiedicăm ca preferințele lor să devină, neobservat, criterii de adevăr. Această dificultate nu privește numai religia. Există și atașament față de teorii, reputații, finanțatori, școli intelectuale sau ambiții personale.</w:t>
      </w:r>
    </w:p>
    <w:p>
      <w:pPr/>
      <w:r>
        <w:t>Patru cazuri ne ajută să distingem trei roluri posibile ale credinței: sursă de motivație, interpretare a rezultatelor și premisă care riscă să blocheze verificarea. Același om poate trece de la unul la altul. De aceea, o etichetă biografică nu este suficientă.</w:t>
      </w:r>
    </w:p>
    <w:p>
      <w:pPr>
        <w:pStyle w:val="Heading2"/>
      </w:pPr>
      <w:r>
        <w:t>Dosarul 13. Faraday: unitatea naturii și riscul explicației cu o singură cauză</w:t>
      </w:r>
    </w:p>
    <w:p>
      <w:pPr>
        <w:pStyle w:val="BookOpening"/>
      </w:pPr>
      <w:r>
        <w:t xml:space="preserve">Faraday a aparținut comunității sandemaniene, iar religiozitatea sa este un fapt important al biografiei. Istoriografia a cercetat relațiile dintre această apartenență și concepția sa asupra naturii. Monografia lui Geoffrey Cantor este dedicată tocmai raportului dintre Faraday ca sandemanian și Faraday ca om de știință. Prezentarea editorială a volumului confirmă tema; ea nu ține locul consultării tuturor pasajelor și documentelor reproduse în carte. </w:t>
      </w:r>
      <w:r>
        <w:t>[</w:t>
      </w:r>
      <w:hyperlink w:anchor="ref_29">
        <w:r>
          <w:rPr>
            <w:color w:val="276168"/>
            <w:sz w:val="19"/>
          </w:rPr>
          <w:t xml:space="preserve">29</w:t>
        </w:r>
      </w:hyperlink>
      <w:r>
        <w:t xml:space="preserve">, </w:t>
      </w:r>
      <w:hyperlink w:anchor="ref_30">
        <w:r>
          <w:rPr>
            <w:color w:val="276168"/>
            <w:sz w:val="19"/>
          </w:rPr>
          <w:t xml:space="preserve">30</w:t>
        </w:r>
      </w:hyperlink>
      <w:r>
        <w:t>]</w:t>
      </w:r>
      <w:r/>
    </w:p>
    <w:p>
      <w:pPr/>
      <w:r>
        <w:t>Postarea face însă un pas suplimentar: îi atribuie explicit convingerea că un Dumnezeu unic l-a împins să unească electricitatea, magnetismul și lumina. O asemenea legătură poate fi o interpretare istorică plauzibilă a motivației. Pentru a o prezenta drept declarație exactă trebuie oferită scrisoarea, conferința sau ediția din care provine. În documentarea acestei cărți nu a fost stabilită proveniența formulei respective.</w:t>
      </w:r>
    </w:p>
    <w:p>
      <w:pPr/>
      <w:r>
        <w:t>De ce contează această precauție? Fiindcă între „credința lui a contat” și „descoperirea a fost cauzată de această singură idee religioasă” este o distanță mare. O cercetare are și condiții materiale, probleme anterioare, aparate, abilități experimentale, colaborări și erori productive. Nu explicăm descoperirea numai printr-o frază despre Dumnezeu, după cum nu o explicăm numai printr-o frază despre necredință.</w:t>
      </w:r>
    </w:p>
    <w:p>
      <w:pPr/>
      <w:r>
        <w:t>Chiar dacă am avea o mărturisire perfect autentică, ea ar documenta în primul rând interpretarea lui Faraday asupra motivației sale. Nu ar demonstra că o persoană fără acea credință nu putea descoperi aceeași regularitate. Pentru o afirmație cauzală generală ar fi nevoie de comparații și de un model explicativ mai bogat.</w:t>
      </w:r>
    </w:p>
    <w:p>
      <w:pPr>
        <w:pStyle w:val="BookVerdict"/>
      </w:pPr>
      <w:r>
        <w:t>Verdict: religiozitatea și apartenența comunitară sunt documentate; rolul lor intelectual merită studiat; citatul cauzal particular nu este autentificat aici, iar credința nu poate înlocui verificarea fenomenului electromagnetic.</w:t>
      </w:r>
    </w:p>
    <w:p>
      <w:pPr>
        <w:pStyle w:val="Heading2"/>
      </w:pPr>
      <w:r>
        <w:t>Dosarul 14. Ampère: de la biografie religioasă la citat verificabil</w:t>
      </w:r>
    </w:p>
    <w:p>
      <w:pPr>
        <w:pStyle w:val="BookOpening"/>
      </w:pPr>
      <w:r>
        <w:t xml:space="preserve">Biografia lui Ampère include o dimensiune religioasă importantă, iar reducerea sa la o identitate materialistă sigură ar fi nejustificată. Dar postarea îi atribuie o formulare despre operele Creatorului și invocă eseuri fără titlu, ediție sau pagină. Acesta este exact tipul de afirmație care trebuie încetinită înainte de a fi redistribuită. </w:t>
      </w:r>
      <w:r>
        <w:t>[</w:t>
      </w:r>
      <w:hyperlink w:anchor="ref_31">
        <w:r>
          <w:rPr>
            <w:color w:val="276168"/>
            <w:sz w:val="19"/>
          </w:rPr>
          <w:t xml:space="preserve">31</w:t>
        </w:r>
      </w:hyperlink>
      <w:r>
        <w:t>]</w:t>
      </w:r>
      <w:r/>
    </w:p>
    <w:p>
      <w:pPr/>
      <w:r>
        <w:t>O propoziție poate fi compatibilă cu felul de a gândi al unui autor și totuși să nu fie un citat al lui. Poate fi o parafrază, o traducere liberă, o formulă apărută la alt autor sau o condensare editorială. Identificarea corectă presupune să știm ce cuvinte există în document și ce cuvinte au fost adăugate în transmitere.</w:t>
      </w:r>
    </w:p>
    <w:p>
      <w:pPr/>
      <w:r>
        <w:t>Aceasta nu este pedanterie. Ghilimelele promit un tip de fidelitate. Dacă autorul unei postări le folosește pentru a transforma o impresie într-o mărturie, crește artificial forța probei. Cititorul poate ajunge să creadă că a întâlnit documentul original când a întâlnit numai o propoziție repetată suficient de des.</w:t>
      </w:r>
    </w:p>
    <w:p>
      <w:pPr/>
      <w:r>
        <w:t>Mai există un pas logic care rămâne nejustificat chiar după autentificare. Dacă Ampère a argumentat de la natură la Creator, avem un argument filosofic ce merită reconstruit. Trebuie să examinăm premisele: de ce ordinea observată cere intenție, ce alternative există, ce fel de creator ar rezulta și ce proprietăți nu sunt încă demonstrate. Legea electromagnetică și interpretarea teologică nu sunt două denumiri ale aceleiași propoziții.</w:t>
      </w:r>
    </w:p>
    <w:p>
      <w:pPr>
        <w:pStyle w:val="BookVerdict"/>
      </w:pPr>
      <w:r>
        <w:t>Verdict: dimensiunea religioasă nu trebuie negată; citatul exact rămâne neconfirmat în sursele consultate; o eventuală demonstrație de teologie naturală trebuie evaluată ca argument, nu împrumutată odată cu unitatea de măsură.</w:t>
      </w:r>
    </w:p>
    <w:p>
      <w:pPr>
        <w:pStyle w:val="Heading2"/>
      </w:pPr>
      <w:r>
        <w:t>Dosarul 15. Maxwell: creștinismul său și avertismentul pe care polemica îl omite</w:t>
      </w:r>
    </w:p>
    <w:p>
      <w:pPr>
        <w:pStyle w:val="BookOpening"/>
      </w:pPr>
      <w:r>
        <w:t xml:space="preserve">Există documente solide privind credința creștină a lui Maxwell: corespondența, practicile sale religioase și mărturiile apropiaților. Studiul lui Mark McCartney, publicat de James Clerk Maxwell Foundation, reproduce și contextualizează asemenea documente. Relatarea despre memorarea Psalmului 119 în copilărie are suport biografic; formularea că putea localiza absolut orice pasaj biblic trebuie totuși citită ca apreciere biografică, nu ca rezultat al unui test exhaustiv. </w:t>
      </w:r>
      <w:r>
        <w:t>[</w:t>
      </w:r>
      <w:hyperlink w:anchor="ref_32">
        <w:r>
          <w:rPr>
            <w:color w:val="276168"/>
            <w:sz w:val="19"/>
          </w:rPr>
          <w:t xml:space="preserve">32</w:t>
        </w:r>
      </w:hyperlink>
      <w:r>
        <w:t>]</w:t>
      </w:r>
      <w:r/>
    </w:p>
    <w:p>
      <w:pPr/>
      <w:r>
        <w:t xml:space="preserve">Mai instructiv decât performanța de memorie este un alt aspect. Într-o scrisoare din 1876 către episcopul Ellicott, Maxwell avertiza asupra armonizării interpretării biblice cu ipoteze științifice susceptibile să se schimbe. A refuzat și asocierea cu Victoria Institute într-un mod care ar fi dat autoritate colectivă unor armonizări personale între știință și credință. </w:t>
      </w:r>
      <w:r>
        <w:t>[</w:t>
      </w:r>
      <w:hyperlink w:anchor="ref_32">
        <w:r>
          <w:rPr>
            <w:color w:val="276168"/>
            <w:sz w:val="19"/>
          </w:rPr>
          <w:t xml:space="preserve">32</w:t>
        </w:r>
      </w:hyperlink>
      <w:r>
        <w:t>]</w:t>
      </w:r>
      <w:r/>
    </w:p>
    <w:p>
      <w:pPr/>
      <w:r>
        <w:t>Aici se află un contraexemplu intern foarte puternic la postarea analizată. Un om profund religios poate considera că legătura personală dintre credință și știință nu trebuie transformată în doctrină instituțională obligatorie. El nu trebuie să devină ateu ca să recunoască pericolul de a lega prea strâns un adevăr religios presupus permanent de o explicație științifică revizuibilă.</w:t>
      </w:r>
    </w:p>
    <w:p>
      <w:pPr/>
      <w:r>
        <w:t>Argumentul lui merită extins. Când afirmi că un model fizic confirmă o interpretare a Scripturii, accepți implicit riscul ca înlocuirea modelului să pară o infirmare a acelei interpretări. Poți încerca apoi să salvezi credința blocând corectarea științei. Rezultatul este o dublă vulnerabilitate: modelul este protejat de critică, iar credința ajunge dependentă de ceea ce pretindea că transcende.</w:t>
      </w:r>
    </w:p>
    <w:p>
      <w:pPr/>
      <w:r>
        <w:t>Acest risc apare și în versiune antireligioasă. Cine leagă ateismul de o anumită imagine fizică definitivă poate interpreta schimbarea acelei imagini ca pe o criză ideologică. De aici tentația de a prezenta fiecare nouă teorie drept victoria finală a propriei metafizici. Mai prudent este să separăm succesul unei descrieri de toate interpretările ultime care pot fi construite în jurul ei.</w:t>
      </w:r>
    </w:p>
    <w:p>
      <w:pPr>
        <w:pStyle w:val="BookVerdict"/>
      </w:pPr>
      <w:r>
        <w:t>Verdict: religiozitatea lui Maxwell este bine documentată; ea nu dovedește adevărul creștinismului prin ecuații; chiar Maxwell oferă motive pentru a refuza consacrarea obligatorie a armonizărilor personale dintre credință și știință.</w:t>
      </w:r>
    </w:p>
    <w:p>
      <w:pPr>
        <w:pStyle w:val="Heading2"/>
      </w:pPr>
      <w:r>
        <w:t>Dosarul 16. Crookes: când prestigiul întâlnește fenomene greu de controlat</w:t>
      </w:r>
    </w:p>
    <w:p>
      <w:pPr>
        <w:pStyle w:val="BookOpening"/>
      </w:pPr>
      <w:r>
        <w:t xml:space="preserve">Crookes a investigat fenomene spiritualiste și a publicat despre ele. Existența lucrării Researches in the Phenomena of Spiritualism, din 1874, este verificabilă. A spune că asemenea preocupări sunt invenții recente ar fi greșit. În această documentare, identificarea volumului și a temei sale nu este însă echivalentă cu refacerea critică a tuturor ședințelor și a condițiilor experimentale. </w:t>
      </w:r>
      <w:r>
        <w:t>[</w:t>
      </w:r>
      <w:hyperlink w:anchor="ref_33">
        <w:r>
          <w:rPr>
            <w:color w:val="276168"/>
            <w:sz w:val="19"/>
          </w:rPr>
          <w:t xml:space="preserve">33</w:t>
        </w:r>
      </w:hyperlink>
      <w:r>
        <w:t>]</w:t>
      </w:r>
      <w:r/>
    </w:p>
    <w:p>
      <w:pPr/>
      <w:r>
        <w:t>Trebuie deosebite trei afirmații: Crookes a cercetat un fenomen; Crookes a considerat anumite observații convingătoare; fenomenul a fost demonstrat în sensul unui rezultat reproductibil, cu explicații alternative suficient excluse. Primele două pot fi adevărate fără ca a treia să fie stabilită.</w:t>
      </w:r>
    </w:p>
    <w:p>
      <w:pPr/>
      <w:r>
        <w:t>Un experiment cu un sistem fizic relativ stabil nu prezintă exact aceleași dificultăți ca o demonstrație realizată de o persoană care poate înțelege așteptările observatorului, alege momentul și influența condițiile. Nu rezultă că orice persoană care pretinde capacități neobișnuite este frauduloasă. Rezultă că protocolul trebuie să reziste și ipotezei de eroare, sugestie, selecție, transmitere neobservată a informației sau înșelare deliberată.</w:t>
      </w:r>
    </w:p>
    <w:p>
      <w:pPr/>
      <w:r>
        <w:t>Nici sinceritatea savantului, nici sinceritatea participantului nu rezolvă toate aceste probleme. Doi oameni onești se pot înșela împreună. Un protocol bun trebuie să poată produce un rezultat interpretabil și când cercetătorul dorește contrariul. Tocmai de aceea prestigiul nu poate înlocui transparența, controalele și replicarea independentă.</w:t>
      </w:r>
    </w:p>
    <w:p>
      <w:pPr/>
      <w:r>
        <w:t>Postarea adaugă detalii despre ședințe târzii și comunicarea cu soția decedată. Nu folosim aici aceste detalii drept fapte certificate, deoarece nu a fost verificat documentul care le susține. Ar fi inutil să le transformăm într-un spectacol emoțional: nici durerea nu demonstrează fenomenul, nici dorința de consolare nu îl infirmă singură.</w:t>
      </w:r>
    </w:p>
    <w:p>
      <w:pPr>
        <w:pStyle w:val="BookVerdict"/>
      </w:pPr>
      <w:r>
        <w:t>Verdict: preocuparea spiritualistă este autentică; acceptarea unui rezultat de către Crookes nu este suficientă pentru validarea spiritismului; detaliile personale trebuie documentate, iar pretențiile experimentale trebuie evaluate independent de reputație.</w:t>
      </w:r>
    </w:p>
    <w:p>
      <w:bookmarkStart w:id="109" w:name="chapter_7"/>
      <w:pPr>
        <w:pStyle w:val="Heading1"/>
      </w:pPr>
      <w:r>
        <w:t>7. Cuantica nu este o revelație</w:t>
      </w:r>
      <w:bookmarkEnd w:id="109"/>
    </w:p>
    <w:p>
      <w:pPr>
        <w:pStyle w:val="BookOpening"/>
      </w:pPr>
      <w:r>
        <w:t>Câteva dintre cele mai spectaculoase propoziții din postare provin din fizica secolului al XX-lea. Explicația este ușor de înțeles: teoria cuantică ne obligă să renunțăm la anumite intuiții despre obiecte, măsurare și determinare. Dar de aici nu rezultă că orice propoziție surprinzătoare despre spirit a primit confirmare.</w:t>
      </w:r>
    </w:p>
    <w:p>
      <w:pPr/>
      <w:r>
        <w:t>Un gol în intuiția noastră nu este un permis universal. Când teoria spune ceva dificil, trebuie să aflăm exact ce spune. Când un fizician propune o interpretare filosofică, trebuie să o citim ca interpretare, chiar dacă autorul a formulat și o ecuație fundamentală.</w:t>
      </w:r>
    </w:p>
    <w:p>
      <w:pPr>
        <w:pStyle w:val="Heading2"/>
      </w:pPr>
      <w:r>
        <w:t>Ce trebuie înțeles înainte de citate</w:t>
      </w:r>
    </w:p>
    <w:p>
      <w:pPr>
        <w:pStyle w:val="BookOpening"/>
      </w:pPr>
      <w:r>
        <w:t xml:space="preserve">În mecanica cuantică, starea unui sistem permite calcularea probabilităților pentru rezultate ale unor măsurători. Formalismul nu coincide cu imaginea unei colecții de bile mici care au întotdeauna toate proprietățile clasice bine determinate. Există însă dispute de interpretare despre ce reprezintă starea, ce se întâmplă la măsurare și ce fel de realitate descrie teoria. Succesul predicțiilor nu face ca toate interpretările să fie identice. </w:t>
      </w:r>
      <w:r>
        <w:t>[</w:t>
      </w:r>
      <w:hyperlink w:anchor="ref_34">
        <w:r>
          <w:rPr>
            <w:color w:val="276168"/>
            <w:sz w:val="19"/>
          </w:rPr>
          <w:t xml:space="preserve">34</w:t>
        </w:r>
      </w:hyperlink>
      <w:r>
        <w:t>]</w:t>
      </w:r>
      <w:r/>
    </w:p>
    <w:p>
      <w:pPr/>
      <w:r>
        <w:t xml:space="preserve">Cuvântul „observator” este o capcană pentru cititorul nefamiliarizat. O măsurare poate fi analizată ca interacțiune fizică între sistem, aparat și mediu. Nu rezultă, din simpla apariție a cuvântului, că o minte umană ar crea obiectul observat. Există interpretări care acordă conștiinței un rol special, dar ele trebuie deosebite de conținutul comun al predicțiilor și de faptul că numeroase abordări nu presupun un asemenea rol. </w:t>
      </w:r>
      <w:r>
        <w:t>[</w:t>
      </w:r>
      <w:hyperlink w:anchor="ref_34">
        <w:r>
          <w:rPr>
            <w:color w:val="276168"/>
            <w:sz w:val="19"/>
          </w:rPr>
          <w:t xml:space="preserve">34</w:t>
        </w:r>
      </w:hyperlink>
      <w:r>
        <w:t xml:space="preserve">, </w:t>
      </w:r>
      <w:hyperlink w:anchor="ref_35">
        <w:r>
          <w:rPr>
            <w:color w:val="276168"/>
            <w:sz w:val="19"/>
          </w:rPr>
          <w:t xml:space="preserve">35</w:t>
        </w:r>
      </w:hyperlink>
      <w:r>
        <w:t>]</w:t>
      </w:r>
      <w:r/>
    </w:p>
    <w:p>
      <w:pPr/>
      <w:r>
        <w:t>O altă capcană este confundarea nedeterminării cu libertatea absolută. Un rezultat probabilistic nu este, prin aceasta, o decizie morală. Aleatoriul nu este echivalent cu intenția. Dacă un mecanism produce rezultate imprevizibile, nu am demonstrat că posedă un suflet, că înțelege motive sau că are responsabilitate.</w:t>
      </w:r>
    </w:p>
    <w:p>
      <w:pPr/>
      <w:r>
        <w:t xml:space="preserve">În sfârșit, faptul că materia nu seamănă cu imaginea noastră cotidiană nu demonstrează că ea este iluzie sau că realitatea este produsă de o conștiință cosmică. Un materialism naiv poate fi respins fără a valida automat idealismul. Între două caricaturi există spațiu pentru mai multe ontologii serioase. </w:t>
      </w:r>
      <w:r>
        <w:t>[</w:t>
      </w:r>
      <w:hyperlink w:anchor="ref_6">
        <w:r>
          <w:rPr>
            <w:color w:val="276168"/>
            <w:sz w:val="19"/>
          </w:rPr>
          <w:t xml:space="preserve">6</w:t>
        </w:r>
      </w:hyperlink>
      <w:r>
        <w:t>]</w:t>
      </w:r>
      <w:r/>
    </w:p>
    <w:p>
      <w:pPr>
        <w:pStyle w:val="Heading2"/>
      </w:pPr>
      <w:r>
        <w:t>Dosarul 17. Planck: un citat spectaculos nu ține loc de document</w:t>
      </w:r>
    </w:p>
    <w:p>
      <w:pPr>
        <w:pStyle w:val="BookOpening"/>
      </w:pPr>
      <w:r>
        <w:t xml:space="preserve">Planck a discutat despre raportul dintre știință, religie și realitate; nu este corect să îl reducem la o caricatură de materialist fără preocupări filosofice. Dar citatul despre inexistența materiei „ca atare” și despre mintea care ar fi „matricea” materiei circulă cu o atribuire particulară: un discurs din 1944. În documentarea accesibilă folosită aici nu a fost confruntată această formulare cu un original arhivistic verificabil. Nu o declarăm falsă; refuzăm să o folosim drept probă autentificată. </w:t>
      </w:r>
      <w:r>
        <w:t>[</w:t>
      </w:r>
      <w:hyperlink w:anchor="ref_36">
        <w:r>
          <w:rPr>
            <w:color w:val="276168"/>
            <w:sz w:val="19"/>
          </w:rPr>
          <w:t xml:space="preserve">36</w:t>
        </w:r>
      </w:hyperlink>
      <w:r>
        <w:t>]</w:t>
      </w:r>
      <w:r/>
    </w:p>
    <w:p>
      <w:pPr/>
      <w:r>
        <w:t>Această diferență contează. Un critic grăbit poate fabrica o certitudine negativă exact în timp ce denunță o certitudine pozitivă. Corect este să spună ce lipsește: textul original, proveniența lui, concordanța traducerii, contextul pasajului. Repetarea citatului pe multe pagini nu produce automat surse independente dacă toate copiază aceeași atribuire.</w:t>
      </w:r>
    </w:p>
    <w:p>
      <w:pPr/>
      <w:r>
        <w:t>Să presupunem, numai pentru examinarea logică, că documentul ar confirma perfect formularea. Ce s-ar schimba? Am ști că Planck a exprimat acea opinie. Ar mai trebui să reconstruim argumentul care conduce de la fizica materiei la o minte fundamentală. Constanta care îi poartă numele nu conține, ca termen măsurabil, o inteligență cosmică. O declarație metafizică și o relație fizică au cerințe de justificare diferite.</w:t>
      </w:r>
    </w:p>
    <w:p>
      <w:pPr/>
      <w:r>
        <w:t>Nici adversarul nu poate răspunde simplu: „Nu este fizică, deci nu are valoare.” O propoziție filosofică poate fi importantă fără să fie o lege de laborator. Dar trebuie apărată prin argumente potrivite domeniului, nu prin prestigiul transferat al unui rezultat experimental.</w:t>
      </w:r>
    </w:p>
    <w:p>
      <w:pPr>
        <w:pStyle w:val="BookVerdict"/>
      </w:pPr>
      <w:r>
        <w:t>Verdict: interesul filosofic al lui Planck este real; proveniența citatului particular nu este stabilită aici; chiar autentificat, pasajul ar cere argumentare suplimentară pentru a susține o ontologie a minții.</w:t>
      </w:r>
    </w:p>
    <w:p>
      <w:pPr>
        <w:pStyle w:val="Heading2"/>
      </w:pPr>
      <w:r>
        <w:t>Dosarul 18. Bohr: complementaritatea nu autorizează orice contradicție</w:t>
      </w:r>
    </w:p>
    <w:p>
      <w:pPr>
        <w:pStyle w:val="BookOpening"/>
      </w:pPr>
      <w:r>
        <w:t xml:space="preserve">Bohr a extins reflecția asupra complementarității dincolo de formularea strict fizică. Alegerea simbolului yin-yang și a devizei Contraria sunt complementa pentru stema asociată Ordinului Elefantului, primit în 1947, este consemnată în sursa biografică secundară consultată. Acest detaliu poate fi păstrat, dar nu este o probă de fizică și nici o demonstrație a unei doctrine religioase. Interesul pentru implicațiile mai largi ale complementarității nu validează orice concluzie asociată ulterior simbolului. </w:t>
      </w:r>
      <w:r>
        <w:t>[</w:t>
      </w:r>
      <w:hyperlink w:anchor="ref_37">
        <w:r>
          <w:rPr>
            <w:color w:val="276168"/>
            <w:sz w:val="19"/>
          </w:rPr>
          <w:t xml:space="preserve">37</w:t>
        </w:r>
      </w:hyperlink>
      <w:r>
        <w:t xml:space="preserve">, </w:t>
      </w:r>
      <w:hyperlink w:anchor="ref_38">
        <w:r>
          <w:rPr>
            <w:color w:val="276168"/>
            <w:sz w:val="19"/>
          </w:rPr>
          <w:t xml:space="preserve">38</w:t>
        </w:r>
      </w:hyperlink>
      <w:r>
        <w:t>]</w:t>
      </w:r>
      <w:r/>
    </w:p>
    <w:p>
      <w:pPr/>
      <w:r>
        <w:t xml:space="preserve">În sensul legat de fizică, complementaritatea nu spune că două propoziții contradictorii, afirmate în aceleași condiții și în același sens, devin simultan adevărate printr-un act spiritual. Ea privește relația dintre descrieri și condiții experimentale care nu pot fi pur și simplu reunite în imaginea clasică dorită. A spune „nu pot folosi simultan toate aceste condiții de măsurare” nu este același lucru cu a spune „orice contradicție este profundă”. </w:t>
      </w:r>
      <w:r>
        <w:t>[</w:t>
      </w:r>
      <w:hyperlink w:anchor="ref_34">
        <w:r>
          <w:rPr>
            <w:color w:val="276168"/>
            <w:sz w:val="19"/>
          </w:rPr>
          <w:t xml:space="preserve">34</w:t>
        </w:r>
      </w:hyperlink>
      <w:r>
        <w:t>]</w:t>
      </w:r>
      <w:r/>
    </w:p>
    <w:p>
      <w:pPr/>
      <w:r>
        <w:t>Analogii culturale pot fi fertile. Pot ajuta un gânditor să formuleze întrebări sau să comunice o intuiție. Dar o analogie trebuie testată pentru ce păstrează și ce schimbă. Yin-yang, complementaritatea experimentală și relația dintre critică și credință nu sunt automat trei expresii ale unei singure teoreme.</w:t>
      </w:r>
    </w:p>
    <w:p>
      <w:pPr/>
      <w:r>
        <w:t>Este posibil ca o persoană să considere credința și critica drept dimensiuni complementare ale vieții sale. Aceasta poate fi o disciplină personală rezonabilă dacă permite examinarea afirmațiilor concrete. Devine o eschivă dacă „complementaritatea” este invocată exact când o afirmație empirică religioasă este contrazisă, dar uitată când se revendică o confirmare științifică.</w:t>
      </w:r>
    </w:p>
    <w:p>
      <w:pPr>
        <w:pStyle w:val="BookVerdict"/>
      </w:pPr>
      <w:r>
        <w:t>Verdict: extensiile filosofice ale complementarității sunt un subiect legitim; simbolismul nu demonstrează o religie; aplicarea termenului în afara fizicii cere argument separat și nu suspendă regulile logicii.</w:t>
      </w:r>
    </w:p>
    <w:p>
      <w:pPr>
        <w:pStyle w:val="Heading2"/>
      </w:pPr>
      <w:r>
        <w:t>Dosarul 19. Heisenberg: forme matematice sau gândurile unei minți divine?</w:t>
      </w:r>
    </w:p>
    <w:p>
      <w:pPr>
        <w:pStyle w:val="BookOpening"/>
      </w:pPr>
      <w:r>
        <w:t xml:space="preserve">Heisenberg a formulat reflecții favorabile unei interpretări inspirate de Platon asupra fizicii fundamentale. Pasajul celebru despre unitățile materiei ca forme sau idei trebuie citit în contextul în care aceste forme sunt exprimate matematic. Nu este corect să substituim automat „idei” cu „gânduri ale unei persoane supranaturale”. Reproducerea consultată trimite acest citat la Das Naturgesetz und die Struktur der Materie, din 1967, în traducerea engleză Natural Law and the Structure of Matter. Nu am colacionat ediția integrală, astfel încât nu certificăm o pagină sau o traducere românească literală. Orientarea filosofică trebuie distinsă de autentificarea filologică completă a pasajului. </w:t>
      </w:r>
      <w:r>
        <w:t>[</w:t>
      </w:r>
      <w:hyperlink w:anchor="ref_39">
        <w:r>
          <w:rPr>
            <w:color w:val="276168"/>
            <w:sz w:val="19"/>
          </w:rPr>
          <w:t xml:space="preserve">39</w:t>
        </w:r>
      </w:hyperlink>
      <w:r>
        <w:t>]</w:t>
      </w:r>
      <w:r/>
    </w:p>
    <w:p>
      <w:pPr/>
      <w:r>
        <w:t>Platonismul matematic susține, în diferite versiuni, că obiectele sau structurile matematice nu sunt simple invenții individuale. Chiar dacă am accepta o asemenea poziție, ar mai rămâne de argumentat existența unei divinități personale, a revelației, a nemuririi și a unei anumite morale. Aceste concluzii nu sunt sinonime pentru realitatea structurilor matematice.</w:t>
      </w:r>
    </w:p>
    <w:p>
      <w:pPr/>
      <w:r>
        <w:t>De altfel, un fizician poate considera fundamentale relațiile și structurile fără a accepta că universul este o reprezentare în mintea cuiva. Problema filosofică rămâne deschisă între mai multe interpretări. Limbajul cotidian despre obiecte poate fi insuficient fără ca alternativa corectă să fie deja decisă.</w:t>
      </w:r>
    </w:p>
    <w:p>
      <w:pPr/>
      <w:r>
        <w:t>O lecție onestă ar oferi pasajul integral și ar pune o întrebare precisă: ce propoziție din text este rezultat fizic, ce propoziție este interpretare ontologică și ce presupunere suplimentară ne-ar trebui pentru a ajunge la concluzia religioasă din postare? Elevul ar învăța să citească atent, nu doar să colecționeze fraze prestigioase.</w:t>
      </w:r>
    </w:p>
    <w:p>
      <w:pPr>
        <w:pStyle w:val="BookVerdict"/>
      </w:pPr>
      <w:r>
        <w:t>Verdict: orientarea filosofică invocată are un nucleu real; limbajul despre forme nu demonstrează o minte creatoare; scoaterea expresiei matematice din context poate schimba radical ceea ce pare să afirme citatul.</w:t>
      </w:r>
    </w:p>
    <w:p>
      <w:pPr>
        <w:pStyle w:val="Heading2"/>
      </w:pPr>
      <w:r>
        <w:t>Dosarul 20. Pauli și Jung: o corespondență autentică, o teorie încă de evaluat</w:t>
      </w:r>
    </w:p>
    <w:p>
      <w:pPr>
        <w:pStyle w:val="BookOpening"/>
      </w:pPr>
      <w:r>
        <w:t xml:space="preserve">Corespondența dintre Pauli și Jung este publicată în volumul Atom and Archetype, care acoperă anii 1932–1958. Ea este un document real al dialogului dintre fizică și psihologie. Literatura de specialitate discută abordări inspirate de acest dialog în termenii unei realități de fundal din care aspectele mental și material ar putea fi înțelese ca manifestări diferite. </w:t>
      </w:r>
      <w:r>
        <w:t>[</w:t>
      </w:r>
      <w:hyperlink w:anchor="ref_40">
        <w:r>
          <w:rPr>
            <w:color w:val="276168"/>
            <w:sz w:val="19"/>
          </w:rPr>
          <w:t xml:space="preserve">40</w:t>
        </w:r>
      </w:hyperlink>
      <w:r>
        <w:t xml:space="preserve">, </w:t>
      </w:r>
      <w:hyperlink w:anchor="ref_35">
        <w:r>
          <w:rPr>
            <w:color w:val="276168"/>
            <w:sz w:val="19"/>
          </w:rPr>
          <w:t xml:space="preserve">35</w:t>
        </w:r>
      </w:hyperlink>
      <w:r>
        <w:t>]</w:t>
      </w:r>
      <w:r/>
    </w:p>
    <w:p>
      <w:pPr/>
      <w:r>
        <w:t>Aceasta nu înseamnă că principiul de excluziune demonstrează unus mundus. Principiul fizic are un rol precis în descrierea sistemelor cuantice; propunerea despre unitatea fundamentală a psihicului și materiei este o construcție filosofică distinctă. Pentru a o transforma într-o teorie empirică trebuie să aflăm ce observăm diferit dacă ea este adevărată.</w:t>
      </w:r>
    </w:p>
    <w:p>
      <w:pPr/>
      <w:r>
        <w:t>Problema nu este că un fizician „nu are voie” să discute cu un psihiatru. Dimpotrivă, traversarea disciplinelor poate fi intelectual fertilă. Problema începe când dificultatea domeniului de frontieră este mascată prin prestigiul rezultatelor deja obținute în disciplinele de origine. Două autorități celebre nu produc, numai prin întâlnire, o a treia autoritate infailibilă.</w:t>
      </w:r>
    </w:p>
    <w:p>
      <w:pPr/>
      <w:r>
        <w:t>O ipoteză despre corespondențe între psihic și lume ar trebui să precizeze cum selectează evenimentele, ce numără ca potrivire, câte nepotriviri sunt ignorate și cum evită definirea retrospectivă a semnificației. Altfel, aproape orice secvență poate fi povestită ca mesaj după ce s-a produs.</w:t>
      </w:r>
    </w:p>
    <w:p>
      <w:pPr>
        <w:pStyle w:val="BookVerdict"/>
      </w:pPr>
      <w:r>
        <w:t>Verdict: dialogul și proiectul filosofic sunt autentice; nu trebuie confundate cu o consecință demonstrată a fizicii lui Pauli; valoarea unei interpretări rămâne de examinat prin claritate conceptuală și, când revendică efecte observabile, prin teste adecvate.</w:t>
      </w:r>
    </w:p>
    <w:p>
      <w:pPr>
        <w:pStyle w:val="Heading2"/>
      </w:pPr>
      <w:r>
        <w:t>Dosarul 21. Bohm: nu confundați interpretarea ontologică cu teoria din manual</w:t>
      </w:r>
    </w:p>
    <w:p>
      <w:pPr>
        <w:pStyle w:val="BookOpening"/>
      </w:pPr>
      <w:r>
        <w:t xml:space="preserve">Bohm este asociat atât cu o formulare precisă a mecanicii cuantice, cât și cu reflecții despre ordinea implicită și unitatea realității. Aceste contribuții nu trebuie comprimate într-o singură doctrină nediferențiată. În mecanica bohmiană, particulele au configurații, iar dinamica include o lege de ghidare legată de funcția de undă. Este o abordare care arată de ce sloganul „fizica cuantică a eliminat orice realitate obiectivă” este prea simplu. </w:t>
      </w:r>
      <w:r>
        <w:t>[</w:t>
      </w:r>
      <w:hyperlink w:anchor="ref_41">
        <w:r>
          <w:rPr>
            <w:color w:val="276168"/>
            <w:sz w:val="19"/>
          </w:rPr>
          <w:t xml:space="preserve">41</w:t>
        </w:r>
      </w:hyperlink>
      <w:r>
        <w:t>]</w:t>
      </w:r>
      <w:r/>
    </w:p>
    <w:p>
      <w:pPr/>
      <w:r>
        <w:t xml:space="preserve">Reflecțiile despre ordinea implicită sunt mai largi decât această formulare tehnică. În Wholeness and the Implicate Order, Bohm dezvoltă o viziune asupra fragmentării și întregului. A o numi filosofie nu este o insultă. Este o modalitate de a nu atribui tuturor propozițiilor dintr-o carte același tip de confirmare. </w:t>
      </w:r>
      <w:r>
        <w:t>[</w:t>
      </w:r>
      <w:hyperlink w:anchor="ref_42">
        <w:r>
          <w:rPr>
            <w:color w:val="276168"/>
            <w:sz w:val="19"/>
          </w:rPr>
          <w:t xml:space="preserve">42</w:t>
        </w:r>
      </w:hyperlink>
      <w:r>
        <w:t>]</w:t>
      </w:r>
      <w:r/>
    </w:p>
    <w:p>
      <w:pPr/>
      <w:r>
        <w:t>Postarea nu oferă aici nici măcar un argument suplimentar clar: repetă aproape definițional ideea unei realități mai profunde, nedivizate. Dar „mai profund” și „nedivizat” nu înseamnă, fără explicație, „divin”, „conștient” sau „moralmente bun”. Cuvintele permit asociații pe care logica nu le garantează.</w:t>
      </w:r>
    </w:p>
    <w:p>
      <w:pPr/>
      <w:r>
        <w:t>Mai trebuie corectată o ambiguitate educațională. Faptul că un subiect poate fi discutat la facultate nu dovedește că este materie obligatorie în orice program de fizică. În lipsa unei programe identificate, lista nu poate folosi această etichetă pentru a măsura amploarea presupusei îndoctrinări.</w:t>
      </w:r>
    </w:p>
    <w:p>
      <w:pPr>
        <w:pStyle w:val="BookVerdict"/>
      </w:pPr>
      <w:r>
        <w:t>Verdict: contribuțiile fizice și reflecțiile filosofice sunt reale, dar distincte; ordinea implicită nu echivalează singură cu demonstrarea spiritualității universului; statutul curricular trebuie verificat, nu presupus.</w:t>
      </w:r>
    </w:p>
    <w:p>
      <w:pPr>
        <w:pStyle w:val="Heading2"/>
      </w:pPr>
      <w:r>
        <w:t>Dosarul 22. Schrödinger: singularitatea experienței și pluralitatea persoanelor</w:t>
      </w:r>
    </w:p>
    <w:p>
      <w:pPr>
        <w:pStyle w:val="BookOpening"/>
      </w:pPr>
      <w:r>
        <w:t xml:space="preserve">Schrödinger a discutat idei apropiate de Vedanta și problema unității conștiinței. Epilogul filosofic din What Is Life? conține explicit asemenea reflecții și le prezintă ca perspectivă proprie, subiectivă, asupra implicațiilor filosofice. Nu sunt un adaos inventat de admiratori recenți, dar trebuie separate de conținutul formal al ecuației care îi poartă numele. </w:t>
      </w:r>
      <w:r>
        <w:t>[</w:t>
      </w:r>
      <w:hyperlink w:anchor="ref_43">
        <w:r>
          <w:rPr>
            <w:color w:val="276168"/>
            <w:sz w:val="19"/>
          </w:rPr>
          <w:t xml:space="preserve">43</w:t>
        </w:r>
      </w:hyperlink>
      <w:r>
        <w:t>]</w:t>
      </w:r>
      <w:r/>
    </w:p>
    <w:p>
      <w:pPr/>
      <w:r>
        <w:t>Argumentul intuitiv este seducător: experiența este întotdeauna trăită dintr-un punct de vedere; nu observăm direct, în același mod, experiența altuia; poate că pluralitatea conștiințelor este numai aparentă. Dar concluzia nu urmează inevitabil. Din faptul că fiecare experiență are caracter subiectiv nu rezultă că toate experiențele aparțin numeric aceluiași subiect universal.</w:t>
      </w:r>
    </w:p>
    <w:p>
      <w:pPr/>
      <w:r>
        <w:t>Putem formula o comparație simplă. Fiecare hartă este privită dintr-un anumit punct al spațiului, dar unicitatea perspectivei din care o citesc nu demonstrează că toate hărțile sunt aceeași hartă. Comparația nu rezolvă metafizica minții; arată numai că trebuie introdus un argument suplimentar între structura perspectivei și monismul conștiinței.</w:t>
      </w:r>
    </w:p>
    <w:p>
      <w:pPr/>
      <w:r>
        <w:t xml:space="preserve">Nici poziția adversă nu poate fi afirmată superficial. Relația dintre descrierea obiectivă a proceselor și experiența subiectivă rămâne o problemă filosofică serioasă. A spune „este numai creierul” poate indica un program explicativ, dar nu constituie automat explicația detaliată a caracterului trăit al experienței. </w:t>
      </w:r>
      <w:r>
        <w:t>[</w:t>
      </w:r>
      <w:hyperlink w:anchor="ref_44">
        <w:r>
          <w:rPr>
            <w:color w:val="276168"/>
            <w:sz w:val="19"/>
          </w:rPr>
          <w:t xml:space="preserve">44</w:t>
        </w:r>
      </w:hyperlink>
      <w:r>
        <w:t>]</w:t>
      </w:r>
      <w:r/>
    </w:p>
    <w:p>
      <w:pPr>
        <w:pStyle w:val="BookVerdict"/>
      </w:pPr>
      <w:r>
        <w:t>Verdict: interesul pentru nondualism este real; unitatea conștiinței este o teză filosofică, nu rezultatul ecuației de undă; dificultățile explicării minții justifică cercetare și argumentare, nu proclamarea victoriei unei metafizici.</w:t>
      </w:r>
    </w:p>
    <w:p>
      <w:bookmarkStart w:id="110" w:name="chapter_8"/>
      <w:pPr>
        <w:pStyle w:val="Heading1"/>
      </w:pPr>
      <w:r>
        <w:t>8. De la alchimie la microbiologie</w:t>
      </w:r>
      <w:bookmarkEnd w:id="110"/>
    </w:p>
    <w:p>
      <w:pPr>
        <w:pStyle w:val="BookOpening"/>
      </w:pPr>
      <w:r>
        <w:t>Când o disciplină își povestește trecutul, poate selecta numai rezultatele care seamănă cu prezentul său. Când un apologet îi povestește trecutul, poate selecta numai credințele care seamănă cu doctrina lui. Ambele proceduri produc o istorie prea ordonată. Oamenii reali au lucrat în sisteme amestecate, iar separarea dintre observația fertilă și interpretarea greșită nu era deja tipărită pe instrumente.</w:t>
      </w:r>
    </w:p>
    <w:p>
      <w:pPr/>
      <w:r>
        <w:t>Ultimele trei dosare sunt importante tocmai pentru că arată relația dintre experiment, mecanism și metafizică fără a reduce totul la fizica fundamentală.</w:t>
      </w:r>
    </w:p>
    <w:p>
      <w:pPr>
        <w:pStyle w:val="Heading2"/>
      </w:pPr>
      <w:r>
        <w:t>Dosarul 23. Van Helmont: a descoperi ceva fără a avea încă teoria potrivită</w:t>
      </w:r>
    </w:p>
    <w:p>
      <w:pPr>
        <w:pStyle w:val="BookOpening"/>
      </w:pPr>
      <w:r>
        <w:t xml:space="preserve">Joan Baptista van Helmont aparține unei tradiții în care investigația naturii, medicina, alchimia și religiozitatea se intersectau. Studiul istoric al lui Walter Pagel este consacrat acestei combinații. Rolul său în introducerea termenului „gaz” și în cercetarea unor produse gazoase nu trebuie însă confundat cu posedarea noțiunii moderne complete despre dioxidul de carbon și compoziția sa. O contribuție timpurie și o teorie matură nu sunt același lucru. </w:t>
      </w:r>
      <w:r>
        <w:t>[</w:t>
      </w:r>
      <w:hyperlink w:anchor="ref_45">
        <w:r>
          <w:rPr>
            <w:color w:val="276168"/>
            <w:sz w:val="19"/>
          </w:rPr>
          <w:t xml:space="preserve">45</w:t>
        </w:r>
      </w:hyperlink>
      <w:r>
        <w:t>]</w:t>
      </w:r>
      <w:r/>
    </w:p>
    <w:p>
      <w:pPr/>
      <w:r>
        <w:t>Postarea introduce și un citat religios spectaculos, precum și un conflict cu Inchiziția. Aceste elemente trebuie verificate în surse precise, inclusiv prin atenție la identificarea persoanei: numele familiei apare și la alți autori, iar episoadele nu pot fi mutate liber între ei. Nu autentificăm aici citatul despre „Arta focului”, fiindcă nu am confruntat formularea cu ediția originală.</w:t>
      </w:r>
    </w:p>
    <w:p>
      <w:pPr/>
      <w:r>
        <w:t>Ce putem păstra fără exagerare? Faptul că preocupările mistice și investigația naturii nu erau pentru acest autor compartimente ostile. Ce nu putem deduce? Că toate explicațiile sale despre natură erau corecte sau că cercetarea modernă ar deveni mincinoasă dacă nu le păstrează integral.</w:t>
      </w:r>
    </w:p>
    <w:p>
      <w:pPr/>
      <w:r>
        <w:t>Un istoric trebuie să înțeleagă sistemul autorului înainte de a-l judeca. Un chimist trebuie să verifice fenomenele și explicațiile înainte de a le utiliza. Aceste două obligații sunt compatibile, dar nu identice. A respecta trecutul nu înseamnă a-l conserva ca manual de laborator.</w:t>
      </w:r>
    </w:p>
    <w:p>
      <w:pPr>
        <w:pStyle w:val="BookVerdict"/>
      </w:pPr>
      <w:r>
        <w:t>Verdict: contextul religios și alchimic este esențial pentru istoria cazului; realizările trebuie descrise fără anacronism; citatele și conflictele particulare cer documentare directă, iar adevărul chimic nu se transmite odată cu întregul sistem spiritual.</w:t>
      </w:r>
    </w:p>
    <w:p>
      <w:pPr>
        <w:pStyle w:val="Heading2"/>
      </w:pPr>
      <w:r>
        <w:t>Dosarul 24. Boyle: mecanismul poate conviețui cu credința</w:t>
      </w:r>
    </w:p>
    <w:p>
      <w:pPr>
        <w:pStyle w:val="BookOpening"/>
      </w:pPr>
      <w:r>
        <w:t xml:space="preserve">Boyle este deosebit de incomod pentru opoziția simplă dintre religie și explicația mecanică. A susținut investigația experimentală și explicații corpusculare ale fenomenelor, a avut interese alchimice și a acordat religiei un loc central. Proiectul academic Robert Boyle oferă documentare asupra acestor dimensiuni. În testamentul său a prevăzut resurse pentru conferințe de apărare a creștinismului; seria a început în 1692. Nu este necesar să certificăm aici continuitatea ei actuală pentru a stabili faptul istoric. </w:t>
      </w:r>
      <w:r>
        <w:t>[</w:t>
      </w:r>
      <w:hyperlink w:anchor="ref_46">
        <w:r>
          <w:rPr>
            <w:color w:val="276168"/>
            <w:sz w:val="19"/>
          </w:rPr>
          <w:t xml:space="preserve">46</w:t>
        </w:r>
      </w:hyperlink>
      <w:r>
        <w:t>]</w:t>
      </w:r>
      <w:r/>
    </w:p>
    <w:p>
      <w:pPr/>
      <w:r>
        <w:t>Importanța lui Boyle nu poate fi redusă la o trecere liniară de la superstiție la știință sau la dovada că știința autentică este întotdeauna spiritualistă. Cercetarea sa arată tocmai că un mecanism fizic poate fi acceptat de cineva care nu consideră universul lipsit de Creator. Descrierea modului în care se produce un fenomen și întrebarea despre temeiul ultim al lumii nu trebuie confundate.</w:t>
      </w:r>
    </w:p>
    <w:p>
      <w:pPr/>
      <w:r>
        <w:t>Există însă o limită pe care apologetica o ignoră: interesul pentru transmutație nu constituie confirmarea tuturor așteptărilor alchimice. Faptul că un cercetător a urmărit un obiectiv nu dovedește că l-a atins. Tot astfel, eșecul unui obiectiv particular nu anulează toate observațiile și procedurile dezvoltate pe parcurs.</w:t>
      </w:r>
    </w:p>
    <w:p>
      <w:pPr/>
      <w:r>
        <w:t>Postarea adaugă corespondență criptată cu Newton și căutarea pietrei filosofale. Istoria alchimiei lui Boyle este reală, dar orice detaliu criptografic sau episod particular are nevoie de identificarea documentului. În această carte nu folosim detaliul spectaculos pentru a suplini analiza contribuției efective.</w:t>
      </w:r>
    </w:p>
    <w:p>
      <w:pPr/>
      <w:r>
        <w:t xml:space="preserve">Legea gazelor asociată lui Boyle poate fi studiată prin relația dintre presiune și volum, în condițiile modelului și ale experimentului. Ea nu devine ateistă când este reprezentată grafic. Nici nu devine o dovadă a revelației dacă autorul a finanțat proiecte religioase. </w:t>
      </w:r>
      <w:r>
        <w:t>[</w:t>
      </w:r>
      <w:hyperlink w:anchor="ref_47">
        <w:r>
          <w:rPr>
            <w:color w:val="276168"/>
            <w:sz w:val="19"/>
          </w:rPr>
          <w:t xml:space="preserve">47</w:t>
        </w:r>
      </w:hyperlink>
      <w:r>
        <w:t>]</w:t>
      </w:r>
      <w:r/>
    </w:p>
    <w:p>
      <w:pPr>
        <w:pStyle w:val="BookVerdict"/>
      </w:pPr>
      <w:r>
        <w:t>Verdict: religia, alchimia și experimentul coexistă documentabil; mecanismul nu implică ateism; contribuțiile valide pot fi predate fără adoptarea tuturor scopurilor și presupunerilor autorului.</w:t>
      </w:r>
    </w:p>
    <w:p>
      <w:pPr>
        <w:pStyle w:val="Heading2"/>
      </w:pPr>
      <w:r>
        <w:t>Dosarul 25. Pasteur: textul autentic este mai interesant decât aforismul viral</w:t>
      </w:r>
    </w:p>
    <w:p>
      <w:pPr>
        <w:pStyle w:val="BookOpening"/>
      </w:pPr>
      <w:r>
        <w:t xml:space="preserve">În discursul său de recepție la Academia Franceză din 27 aprilie 1882, Pasteur discută spiritualismul, pozitivismul și metoda experimentală. Textul oferă un sprijin documentar mult mai bun decât anecdota despre rugăciunea zilnică înainte de laborator sau conversația cu un colaborator ateu, pentru care postarea nu indică sursa. Aceste două relatări nu sunt autentificate aici. </w:t>
      </w:r>
      <w:r>
        <w:t>[</w:t>
      </w:r>
      <w:hyperlink w:anchor="ref_48">
        <w:r>
          <w:rPr>
            <w:color w:val="276168"/>
            <w:sz w:val="19"/>
          </w:rPr>
          <w:t xml:space="preserve">48</w:t>
        </w:r>
      </w:hyperlink>
      <w:r>
        <w:t>]</w:t>
      </w:r>
      <w:r/>
    </w:p>
    <w:p>
      <w:pPr/>
      <w:r>
        <w:t xml:space="preserve">Discursul autentic conține însă o tensiune fertilă. Pasteur leagă anumite rezultate ale cercetărilor sale de o perspectivă favorabilă spiritualismului, dar cere și ca observația experimentală să se elibereze de prejudecăți metafizice. Nu avem, așadar, un savant care ar propune simplu introducerea dogmei în experiment. Avem un autor care acordă credinței și filosofiei un loc important, menținând totodată o exigență metodologică. </w:t>
      </w:r>
      <w:r>
        <w:t>[</w:t>
      </w:r>
      <w:hyperlink w:anchor="ref_48">
        <w:r>
          <w:rPr>
            <w:color w:val="276168"/>
            <w:sz w:val="19"/>
          </w:rPr>
          <w:t xml:space="preserve">48</w:t>
        </w:r>
      </w:hyperlink>
      <w:r>
        <w:t>]</w:t>
      </w:r>
      <w:r/>
    </w:p>
    <w:p>
      <w:pPr/>
      <w:r>
        <w:t>Nici prestigiul lui Pasteur nu închide discuția despre întinderea concluziei. Din experimente care infirmă apariția spontană a microorganismelor în anumite condiții nu rezultă că a fost infirmată orice ipoteză posibilă despre originea vieții în condiții diferite. A extinde un rezultat dincolo de domeniul său cere argumente noi. Aceeași disciplină trebuie aplicată unui savant admirat și unui adversar ideologic.</w:t>
      </w:r>
    </w:p>
    <w:p>
      <w:pPr/>
      <w:r>
        <w:t>În plus, spiritualismul filosofic dintr-un discurs nu trebuie confundat automat cu fiecare doctrină a unei confesiuni. Pentru a stabili apartenențe și evoluții personale sunt necesare alte documente. Când alegem numai fraza care ne convine, riscăm să inventăm un Pasteur perfect adaptat nevoii noastre prezente.</w:t>
      </w:r>
    </w:p>
    <w:p>
      <w:pPr/>
      <w:r>
        <w:t>O lecție bună ar pune alături un experiment și un pasaj filosofic autentic, apoi ar cere elevilor să precizeze ce poate demonstra fiecare. Aceasta ar fi o integrare matură a istoriei: nu reducerea omului la aparate, dar nici transformarea aparatelor în instrumente de cateheză.</w:t>
      </w:r>
    </w:p>
    <w:p>
      <w:pPr>
        <w:pStyle w:val="BookVerdict"/>
      </w:pPr>
      <w:r>
        <w:t>Verdict: există documente primare ale interesului său pentru spiritualism și ale exigenței sale experimentale; anecdotele virale rămân neconfirmate; nici microbiologia nu demonstrează singură o doctrină religioasă, nici religiozitatea nu îi anulează rezultatele.</w:t>
      </w:r>
    </w:p>
    <w:p>
      <w:bookmarkStart w:id="111" w:name="chapter_9"/>
      <w:pPr>
        <w:pStyle w:val="Heading1"/>
      </w:pPr>
      <w:r>
        <w:t>9. Dumnezeu ca problemă filosofică, nu ca premiu de prestigiu</w:t>
      </w:r>
      <w:bookmarkEnd w:id="111"/>
    </w:p>
    <w:p>
      <w:pPr>
        <w:pStyle w:val="BookOpening"/>
      </w:pPr>
      <w:r>
        <w:t>Lista de savanți religioși respinge eficient o propoziție grosolană: aceea că un om inteligent și competent științific nu poate avea credință. Nu demonstrează însă propoziția mult mai puternică potrivit căreia credința este adevărată. Pentru a discuta această a doua problemă trebuie să părăsim concursul biografiilor și să reconstruim argumentele.</w:t>
      </w:r>
    </w:p>
    <w:p>
      <w:pPr/>
      <w:r>
        <w:t xml:space="preserve">O poziție agnostică serioasă nu se mulțumește să spună că există două tabere. Ea întreabă ce susține fiecare, ce ar conta drept motiv și cât de departe ajunge concluzia. În plus, „Dumnezeu” nu desemnează în toate argumentele același concept: cauză primă, ființă necesară, creator personal, bine suprem sau conștiință universală. Dovedirea unuia nu le dovedește automat pe toate. </w:t>
      </w:r>
      <w:r>
        <w:t>[</w:t>
      </w:r>
      <w:hyperlink w:anchor="ref_2">
        <w:r>
          <w:rPr>
            <w:color w:val="276168"/>
            <w:sz w:val="19"/>
          </w:rPr>
          <w:t xml:space="preserve">2</w:t>
        </w:r>
      </w:hyperlink>
      <w:r>
        <w:t xml:space="preserve">, </w:t>
      </w:r>
      <w:hyperlink w:anchor="ref_1">
        <w:r>
          <w:rPr>
            <w:color w:val="276168"/>
            <w:sz w:val="19"/>
          </w:rPr>
          <w:t xml:space="preserve">1</w:t>
        </w:r>
      </w:hyperlink>
      <w:r>
        <w:t>]</w:t>
      </w:r>
      <w:r/>
    </w:p>
    <w:p>
      <w:pPr>
        <w:pStyle w:val="Heading2"/>
      </w:pPr>
      <w:r>
        <w:t>De ce există ceva, în loc de nimic?</w:t>
      </w:r>
    </w:p>
    <w:p>
      <w:pPr>
        <w:pStyle w:val="BookOpening"/>
      </w:pPr>
      <w:r>
        <w:t xml:space="preserve">Familia argumentelor cosmologice pornește de la existență, cauzalitate, contingență sau dependență explicativă. O versiune intuitivă spune: lucrurile ar fi putut să nu existe; ceea ce este contingent cere explicație; totalitatea contingentului nu se explică suficient printr-o nouă verigă contingentă; trebuie să existe un temei care nu depinde în același fel de altceva. Argumentele reale diferă substanțial între ele. </w:t>
      </w:r>
      <w:r>
        <w:t>[</w:t>
      </w:r>
      <w:hyperlink w:anchor="ref_49">
        <w:r>
          <w:rPr>
            <w:color w:val="276168"/>
            <w:sz w:val="19"/>
          </w:rPr>
          <w:t xml:space="preserve">49</w:t>
        </w:r>
      </w:hyperlink>
      <w:r>
        <w:t>]</w:t>
      </w:r>
      <w:r/>
    </w:p>
    <w:p>
      <w:pPr/>
      <w:r>
        <w:t>Obiecția populară „cine l-a creat pe Dumnezeu?” poate rata ținta dacă argumentul nu susține că absolut orice trebuie creat, ci că un anumit tip de existență dependentă cere temei. Critica bună trebuie să discute acel criteriu. De ce acceptăm principiul explicației suficiente? Se aplică totalității în același mod în care se aplică elementelor? Este noțiunea de existență necesară coerentă? De ce temeiul ultim trebuie să fie o persoană și nu o structură, o lege sau un fapt fundamental?</w:t>
      </w:r>
    </w:p>
    <w:p>
      <w:pPr/>
      <w:r>
        <w:t>Nici răspunsul religios nu poate fi numai schimbarea etichetei. Dacă „Dumnezeu” înseamnă pur și simplu „ceea ce explică în ultimă instanță”, nu am demonstrat încă proprietățile pe care religiile le atribuie divinității. Pentru a ajunge la intenție, iubire, revelație sau judecată trebuie introduse alte argumente.</w:t>
      </w:r>
    </w:p>
    <w:p>
      <w:pPr/>
      <w:r>
        <w:t>Un agnostic poate recunoaște forța întrebării fără a accepta soluția ca demonstrată. Un ateu poate considera că acceptarea unui fapt fundamental este mai modestă decât postularea unei minți necesare. Un teist poate considera că inteligibilitatea și contingența sunt mai bine explicate printr-un temei rațional. Disputa reală se află în aceste comparații, nu în numărarea savanților care au folosit cuvântul „Creator”.</w:t>
      </w:r>
    </w:p>
    <w:p>
      <w:pPr>
        <w:pStyle w:val="Heading2"/>
      </w:pPr>
      <w:r>
        <w:t>Ordinea și reglajul fin</w:t>
      </w:r>
    </w:p>
    <w:p>
      <w:pPr>
        <w:pStyle w:val="BookOpening"/>
      </w:pPr>
      <w:r>
        <w:t xml:space="preserve">Argumentele de la ordine observă că lumea are regularități și că anumite condiții permit structuri complexe și viață. Unele versiuni discută sensibilitatea rezultatelor cosmologice la parametri. Problema este filosofic serioasă, dar expresia „probabilitate incredibil de mică” cere un spațiu de posibilități și o distribuție justificată. Nu putem calcula șansa universului doar prin uimire. </w:t>
      </w:r>
      <w:r>
        <w:t>[</w:t>
      </w:r>
      <w:hyperlink w:anchor="ref_50">
        <w:r>
          <w:rPr>
            <w:color w:val="276168"/>
            <w:sz w:val="19"/>
          </w:rPr>
          <w:t xml:space="preserve">50</w:t>
        </w:r>
      </w:hyperlink>
      <w:r>
        <w:t>]</w:t>
      </w:r>
      <w:r/>
    </w:p>
    <w:p>
      <w:pPr/>
      <w:r>
        <w:t>Chiar dacă stabilim o sensibilitate remarcabilă, comparația dintre explicații rămâne dificilă. Ce ar prezice o divinitate despre parametri? Avem un model al preferințelor ei? Ce ar prezice o teorie fizică mai profundă? Ce rol are faptul că numai într-o lume compatibilă cu observatori apare întrebarea? Ipotezele unor universuri multiple au, la rândul lor, cerințe de justificare; nu trebuie utilizate ca răspuns automat care scapă de orice verificare.</w:t>
      </w:r>
    </w:p>
    <w:p>
      <w:pPr/>
      <w:r>
        <w:t>Poziția critică nu este că ordinea „nu contează” sau că reglajul fin „demonstrează totul”. Este că o observație poate face o întrebare mai presantă fără a identifica univoc răspunsul. Un argument bun trebuie să spună și ce nu a demonstrat.</w:t>
      </w:r>
    </w:p>
    <w:p>
      <w:pPr>
        <w:pStyle w:val="Heading2"/>
      </w:pPr>
      <w:r>
        <w:t>Răul și absența unui răspuns clar</w:t>
      </w:r>
    </w:p>
    <w:p>
      <w:pPr>
        <w:pStyle w:val="BookOpening"/>
      </w:pPr>
      <w:r>
        <w:t xml:space="preserve">Pentru un Dumnezeu perfect bun, atotputernic și cunoscător, suferința constituie o problemă puternică. Nu toate formele de teism formulează aceste atribute identic, dar acolo unde ele sunt afirmate, întrebarea este inevitabilă: de ce există suferință intensă, aparent gratuită, inclusiv acolo unde nu pare legată de alegerile morale ale persoanei afectate? </w:t>
      </w:r>
      <w:r>
        <w:t>[</w:t>
      </w:r>
      <w:hyperlink w:anchor="ref_51">
        <w:r>
          <w:rPr>
            <w:color w:val="276168"/>
            <w:sz w:val="19"/>
          </w:rPr>
          <w:t xml:space="preserve">51</w:t>
        </w:r>
      </w:hyperlink>
      <w:r>
        <w:t>]</w:t>
      </w:r>
      <w:r/>
    </w:p>
    <w:p>
      <w:pPr/>
      <w:r>
        <w:t>Apelul la libertate poate explica unele rele produse de oameni, însă nu răspunde singur tuturor cazurilor. Ideea că dificultatea formează caracterul poate explica valoarea anumitor încercări, dar nu autorizează concluzia că orice suferință extremă este pedagogie necesară. Invocarea unui plan inaccesibil poate păstra posibilitatea logică a unei justificări divine, dar reduce și cât de mult putem pretinde că știm pozitiv despre bunătatea planului.</w:t>
      </w:r>
    </w:p>
    <w:p>
      <w:pPr/>
      <w:r>
        <w:t>Trebuie distinsă demonstrarea unei contradicții logice de evaluarea probabilistică. Faptul că nu putem exclude orice justificare posibilă nu înseamnă că toate distribuțiile suferinței sunt la fel de așteptate sub ipoteza unui creator perfect bun. Un argument ateist poate fi puternic ca inferență comparativă chiar dacă nu este o imposibilitate demonstrată pentru orice divinitate imaginabilă.</w:t>
      </w:r>
    </w:p>
    <w:p>
      <w:pPr/>
      <w:r>
        <w:t xml:space="preserve">O problemă înrudită este ascunderea divină. Dacă există o divinitate iubitoare care dorește relație cu oamenii, de ce există persoane sincer deschise care nu găsesc motive suficiente pentru credință? Răspunsurile invocă libertatea, maturizarea, distanța epistemică sau concepții diferite despre relația cu divinul. Ele trebuie evaluate fără a presupune că necredința sinceră este, prin definiție, rebeliune morală. </w:t>
      </w:r>
      <w:r>
        <w:t>[</w:t>
      </w:r>
      <w:hyperlink w:anchor="ref_52">
        <w:r>
          <w:rPr>
            <w:color w:val="276168"/>
            <w:sz w:val="19"/>
          </w:rPr>
          <w:t xml:space="preserve">52</w:t>
        </w:r>
      </w:hyperlink>
      <w:r>
        <w:t>]</w:t>
      </w:r>
      <w:r/>
    </w:p>
    <w:p>
      <w:pPr/>
      <w:r>
        <w:t>Agnosticismul nu poate ignora aceste obiecții doar fiindcă ar supăra credinciosul. Dar nici nu trebuie să pretindă că ele infirmă în același fel un creator deist indiferent, o divinitate limitată și Dumnezeul perfect bun al teismului clasic. Precizia conceptului schimbă forța argumentului.</w:t>
      </w:r>
    </w:p>
    <w:p>
      <w:pPr>
        <w:pStyle w:val="Heading2"/>
      </w:pPr>
      <w:r>
        <w:t>Conștiința, valoarea și sensul</w:t>
      </w:r>
    </w:p>
    <w:p>
      <w:pPr>
        <w:pStyle w:val="BookOpening"/>
      </w:pPr>
      <w:r>
        <w:t xml:space="preserve">Experiența subiectivă și valoarea morală sunt adesea invocate ca indicii ale unei realități care nu s-ar epuiza în descrierea fizică. Ele pun întrebări reale. Totuși, din dificultatea unei explicații nu rezultă automat identitatea soluției. „Nu avem încă o explicație suficientă” și „avem dovada unei explicații supranaturale” sunt propoziții diferite. </w:t>
      </w:r>
      <w:r>
        <w:t>[</w:t>
      </w:r>
      <w:hyperlink w:anchor="ref_44">
        <w:r>
          <w:rPr>
            <w:color w:val="276168"/>
            <w:sz w:val="19"/>
          </w:rPr>
          <w:t xml:space="preserve">44</w:t>
        </w:r>
      </w:hyperlink>
      <w:r>
        <w:t>]</w:t>
      </w:r>
      <w:r/>
    </w:p>
    <w:p>
      <w:pPr/>
      <w:r>
        <w:t>Argumentul moral cere și el grijă. O persoană poate susține că există adevăruri morale obiective și poate întreba ce le întemeiază. Dar identificarea binelui cu voința unei autorități ridică problema arbitrarului: un act ar deveni bun numai pentru că ar fi poruncit? Dacă răspunsul este că natura divină este bună, trebuie explicat sensul acestei bunătăți, nu doar repetat adjectivul.</w:t>
      </w:r>
    </w:p>
    <w:p>
      <w:pPr/>
      <w:r>
        <w:t>Simetric, un naturalist nu poate deduce toate obligațiile morale numai din descrierea comportamentelor existente. Faptul că oamenii au evoluat anumite dispoziții nu dovedește, fără premise normative, că trebuie să le urmăm. Dar această dificultate nu obligă automat la teism. Există spațiu pentru argumente despre suferință, reciprocitate, autonomie și justificare publică.</w:t>
      </w:r>
    </w:p>
    <w:p>
      <w:pPr/>
      <w:r>
        <w:t>Concluzia capitolului nu este un scor egal. Unele argumente pot convinge mai mult decât altele, iar cititorii pot avea evaluări diferite. Concluzia este o disciplină: fiecare treaptă suplimentară a afirmației cere o treaptă suplimentară a justificării. Prestigiul nu umple spațiile dintre ele.</w:t>
      </w:r>
    </w:p>
    <w:p>
      <w:bookmarkStart w:id="112" w:name="chapter_10"/>
      <w:pPr>
        <w:pStyle w:val="Heading1"/>
      </w:pPr>
      <w:r>
        <w:t>10. Când ateismul devine dogmă — și când nu</w:t>
      </w:r>
      <w:bookmarkEnd w:id="112"/>
    </w:p>
    <w:p>
      <w:pPr>
        <w:pStyle w:val="BookOpening"/>
      </w:pPr>
      <w:r>
        <w:t>Critica postării ar fi incompletă dacă s-ar opri la demontarea apologeticii sale. Există un mod de a respinge religia care împrumută exact defectele pe care pretinde că le combate: certitudine disproporționată, dispreț pentru adversar, selecție a istoriei și imposibilitatea de a recunoaște limite. Dar identificarea acestor defecte nu justifică formula comodă „ateismul este și el o religie”.</w:t>
      </w:r>
    </w:p>
    <w:p>
      <w:pPr/>
      <w:r>
        <w:t xml:space="preserve">Trebuie să criticăm o poziție reală, nu o versiune construită ca să piardă. Ateismul poate desemna absența credinței în zei sau teza că nu există zei; utilizările termenului diferă. Prima nu este automat o doctrină metafizică completă. A doua poate fi susținută prin argumente și grade de încredere, fără pretenția infailibilității. </w:t>
      </w:r>
      <w:r>
        <w:t>[</w:t>
      </w:r>
      <w:hyperlink w:anchor="ref_2">
        <w:r>
          <w:rPr>
            <w:color w:val="276168"/>
            <w:sz w:val="19"/>
          </w:rPr>
          <w:t xml:space="preserve">2</w:t>
        </w:r>
      </w:hyperlink>
      <w:r>
        <w:t>]</w:t>
      </w:r>
      <w:r/>
    </w:p>
    <w:p>
      <w:pPr>
        <w:pStyle w:val="Heading2"/>
      </w:pPr>
      <w:r>
        <w:t>Neacceptarea unei afirmații nu este acceptarea contrariului ei absolut</w:t>
      </w:r>
    </w:p>
    <w:p>
      <w:pPr>
        <w:pStyle w:val="BookOpening"/>
      </w:pPr>
      <w:r>
        <w:t>Să presupunem că cineva afirmă existența unei entități invizibile, fără să ofere probe suficiente. Pot suspenda acceptarea fără să posed o demonstrație universală a inexistenței ei. Aceasta este o regulă obișnuită a prudenței, nu o credință religioasă inversată.</w:t>
      </w:r>
    </w:p>
    <w:p>
      <w:pPr/>
      <w:r>
        <w:t>Totuși, dacă adaug „știu că orice formă posibilă de divinitate este imposibilă”, sarcina argumentativă se schimbă. Nu mai exprim numai o rezervă față de dovezile prezentate. Susțin o teză foarte întinsă, care trebuie să precizeze conceptele vizate și motivul imposibilității.</w:t>
      </w:r>
    </w:p>
    <w:p>
      <w:pPr/>
      <w:r>
        <w:t>Între aceste extreme există poziții raționale intermediare. Cineva poate considera improbabil un anumit Dumnezeu personal pe baza răului sau ascunderii divine, fără să afirme că a rezolvat orice metafizică posibilă. Altul poate considera că noțiunile prea elastice de divinitate nu adaugă putere explicativă. Acestea sunt argumente, nu simple acte de credință echivalente cu o revelație.</w:t>
      </w:r>
    </w:p>
    <w:p>
      <w:pPr/>
      <w:r>
        <w:t>De aceea, expresia „ateismul poate fi o credință nejustificată” este defensabilă numai dacă păstrăm acel „poate”. Ea devine necinstită când este folosită pentru a declara toți necredincioșii dogmatici și pentru a anula obligația credinciosului de a-și justifica propriile afirmații.</w:t>
      </w:r>
    </w:p>
    <w:p>
      <w:pPr>
        <w:pStyle w:val="Heading2"/>
      </w:pPr>
      <w:r>
        <w:t>Scientismul și limitele unei formule seducătoare</w:t>
      </w:r>
    </w:p>
    <w:p>
      <w:pPr>
        <w:pStyle w:val="BookOpening"/>
      </w:pPr>
      <w:r>
        <w:t>O poziție rezonabilă spune că metodele științifice au o autoritate deosebită pentru întrebările empirice pe care le investighează bine. O poziție mult mai tare spune că numai propozițiile verificate științific pot avea sens sau valoare. A doua trebuie să explice statutul propriei reguli: este un rezultat experimental, o definiție metodologică sau o propunere filosofică?</w:t>
      </w:r>
    </w:p>
    <w:p>
      <w:pPr/>
      <w:r>
        <w:t>Această întrebare nu constituie, singură, o demonstrație spectaculoasă că știința ar fi neputincioasă. Arată doar că normele de raționare, standardele de justificare și deciziile despre ce merită urmărit nu apar toate ca citiri directe pe un aparat. Știința poate informa puternic etica și politica, dar nu le înlocuiește prin simpla acumulare de măsurători.</w:t>
      </w:r>
    </w:p>
    <w:p>
      <w:pPr/>
      <w:r>
        <w:t>Să luăm un exemplu. Un studiu poate estima consecințele probabile ale unei politici asupra sănătății, veniturilor sau libertății de mișcare. Alegerea modului în care cântărim aceste efecte implică și valori. A spune acest lucru nu înseamnă a permite negarea datelor. Înseamnă a face vizibile premisele normative, pentru ca ele să poată fi discutate.</w:t>
      </w:r>
    </w:p>
    <w:p>
      <w:pPr/>
      <w:r>
        <w:t>Un ateism dogmatic poate declara că valorile sunt iluzii și apoi cere indignat ca ceilalți să respecte adevărul și demnitatea. Contradicția nu aparține obligatoriu ateismului; aparține poziției care încearcă să păstreze autoritatea normei după ce i-a negat orice statut fără explicație. Un ateism filosofic matur poate aborda problema mult mai atent.</w:t>
      </w:r>
    </w:p>
    <w:p>
      <w:pPr>
        <w:pStyle w:val="Heading2"/>
      </w:pPr>
      <w:r>
        <w:t>Reducerea nu este același lucru cu explicarea</w:t>
      </w:r>
    </w:p>
    <w:p>
      <w:pPr>
        <w:pStyle w:val="BookOpening"/>
      </w:pPr>
      <w:r>
        <w:t>Expresii precum „iubirea este numai chimie”, „arta este numai semnalizare” sau „religia este numai frică” pot ascunde confuzia dintre niveluri. Chiar dacă o activitate depinde de procese fizice, descrierea mecanismului nu epuizează automat toate întrebările despre semnificație, relație sau valoare.</w:t>
      </w:r>
    </w:p>
    <w:p>
      <w:pPr/>
      <w:r>
        <w:t>Un roman este realizat fizic prin semne și suporturi materiale. Aceasta nu ne spune dacă argumentul unui personaj este convingător. O promisiune depinde de activitate cerebrală și de practici sociale. Aceasta nu ne spune, fără analiză suplimentară, dacă încălcarea ei este justificată. Explicațiile de niveluri diferite pot fi compatibile și necesare.</w:t>
      </w:r>
    </w:p>
    <w:p>
      <w:pPr/>
      <w:r>
        <w:t xml:space="preserve">Dar și reacția spiritualistă poate greși: faptul că avem nevoie de un vocabular al semnificației nu demonstrează existența unei substanțe imateriale. Autonomia unei explicații nu este automat independență ontologică. A respinge un reducționism grosolan nu înseamnă a fi demonstrat dualismul. </w:t>
      </w:r>
      <w:r>
        <w:t>[</w:t>
      </w:r>
      <w:hyperlink w:anchor="ref_6">
        <w:r>
          <w:rPr>
            <w:color w:val="276168"/>
            <w:sz w:val="19"/>
          </w:rPr>
          <w:t xml:space="preserve">6</w:t>
        </w:r>
      </w:hyperlink>
      <w:r>
        <w:t xml:space="preserve">, </w:t>
      </w:r>
      <w:hyperlink w:anchor="ref_44">
        <w:r>
          <w:rPr>
            <w:color w:val="276168"/>
            <w:sz w:val="19"/>
          </w:rPr>
          <w:t xml:space="preserve">44</w:t>
        </w:r>
      </w:hyperlink>
      <w:r>
        <w:t>]</w:t>
      </w:r>
      <w:r/>
    </w:p>
    <w:p>
      <w:pPr>
        <w:pStyle w:val="Heading2"/>
      </w:pPr>
      <w:r>
        <w:t>O genealogie a credinței nu este încă verdict asupra adevărului</w:t>
      </w:r>
    </w:p>
    <w:p>
      <w:pPr>
        <w:pStyle w:val="BookOpening"/>
      </w:pPr>
      <w:r>
        <w:t>Să presupunem că putem explica de ce o persoană găsește atractivă credința: familie, frica de moarte, apartenență sau anumite experiențe. Aceste explicații pot fi relevante, dar nu infirmă singure propoziția crezută. Putem explica și de ce cineva găsește atractiv ateismul: experiențe negative cu instituții religioase, idealul autonomiei sau mediul intelectual. Nici această genealogie nu îl infirmă.</w:t>
      </w:r>
    </w:p>
    <w:p>
      <w:pPr/>
      <w:r>
        <w:t>O explicație psihologică poate deveni epistemic importantă dacă arată că mecanismul produce convingeri fără sensibilitate suficientă la adevăr. Dar atunci trebuie demonstrat acest lucru și aplicat standardul simetric. Nu este suficient să numim o emoție și să declarăm adversarul eliminat.</w:t>
      </w:r>
    </w:p>
    <w:p>
      <w:pPr/>
      <w:r>
        <w:t>Același principiu împiedică patologizarea. Credința religioasă nu este prin definiție boală psihică. Nici necredința nu este prin definiție defect moral, lipsă de profunzime sau traumă nerezolvată. Putem critica afirmații fără a inventa diagnostice pentru persoanele care le susțin.</w:t>
      </w:r>
    </w:p>
    <w:p>
      <w:pPr>
        <w:pStyle w:val="Heading2"/>
      </w:pPr>
      <w:r>
        <w:t>Limita criticii simetrice</w:t>
      </w:r>
    </w:p>
    <w:p>
      <w:pPr>
        <w:pStyle w:val="BookOpening"/>
      </w:pPr>
      <w:r>
        <w:t>Simetria standardelor nu înseamnă simetria rezultatelor. O afirmație religioasă despre un fenomen natural poate fi incompatibilă cu probe solide; o explicație naturalistă rivală poate fi net superioară. Nu trebuie acordat timp egal fiecărei ipoteze numai pentru că cineva o consideră sacră.</w:t>
      </w:r>
    </w:p>
    <w:p>
      <w:pPr/>
      <w:r>
        <w:t>În sens invers, o pretenție ateistă despre lipsa oricărui sens posibil al existenței poate depăși ceea ce arată experimentele invocate. Ea trebuie tratată ca filosofie și apărată astfel. Egalitatea demnității persoanelor nu cere egalitatea credibilității tuturor propozițiilor lor.</w:t>
      </w:r>
    </w:p>
    <w:p>
      <w:pPr/>
      <w:r>
        <w:t>Criteriul de diferențiere nu este eticheta religioasă sau seculară. Este capacitatea de a formula clar o teză, de a admite ce ar conta împotriva ei și de a nu cere altora să trăiască sub certitudini pe care nu le putem justifica proporțional cu consecințele lor.</w:t>
      </w:r>
    </w:p>
    <w:p>
      <w:bookmarkStart w:id="113" w:name="chapter_11"/>
      <w:pPr>
        <w:pStyle w:val="Heading1"/>
      </w:pPr>
      <w:r>
        <w:t>11. Experiența spirituală: realitate trăită și interpretare</w:t>
      </w:r>
      <w:bookmarkEnd w:id="113"/>
    </w:p>
    <w:p>
      <w:pPr>
        <w:pStyle w:val="BookOpening"/>
      </w:pPr>
      <w:r>
        <w:t>Cineva spune că, într-un moment de rugăciune sau contemplație, a trăit o prezență covârșitoare. Altul povestește că, ascultând muzică, a simțit dispariția graniței dintre sine și lume. Ce anume trebuie respectat și ce anume trebuie verificat?</w:t>
      </w:r>
    </w:p>
    <w:p>
      <w:pPr/>
      <w:r>
        <w:t xml:space="preserve">Primul lucru este mărturia despre experiență. Nu avem motiv să presupunem automat că persoana minte. Al doilea este interpretarea experienței: ce anume a întâlnit, ce cauză a avut starea, ce dovedește ea despre realitate? Aceste întrebări nu sunt rezolvate numai prin intensitatea trăirii. Filosofia experienței religioase discută tocmai raportul dintre experiență, justificare, diversitate și posibilitatea erorii. </w:t>
      </w:r>
      <w:r>
        <w:t>[</w:t>
      </w:r>
      <w:hyperlink w:anchor="ref_53">
        <w:r>
          <w:rPr>
            <w:color w:val="276168"/>
            <w:sz w:val="19"/>
          </w:rPr>
          <w:t xml:space="preserve">53</w:t>
        </w:r>
      </w:hyperlink>
      <w:r>
        <w:t>]</w:t>
      </w:r>
      <w:r/>
    </w:p>
    <w:p>
      <w:pPr>
        <w:pStyle w:val="Heading2"/>
      </w:pPr>
      <w:r>
        <w:t>Autenticitatea nu garantează infailibilitatea</w:t>
      </w:r>
    </w:p>
    <w:p>
      <w:pPr>
        <w:pStyle w:val="BookOpening"/>
      </w:pPr>
      <w:r>
        <w:t>O emoție poate fi autentică și interpretarea ei greșită. Cineva poate simți sincer că a înțeles o persoană, apoi poate descoperi că a proiectat propriile așteptări. Aceasta nu dovedește că toate experiențele sunt lipsite de valoare. Dovedește că sinceritatea și adevărul nu sunt sinonime.</w:t>
      </w:r>
    </w:p>
    <w:p>
      <w:pPr/>
      <w:r>
        <w:t xml:space="preserve">Nici afirmația „experiența are o bază cerebrală” nu o infirmă automat. Și vederea unui copac implică procese cerebrale; de aici nu rezultă că arborele este iluzie. Pentru a argumenta că o trăire nu urmărește o realitate externă trebuie să examinăm caracteristicile cazului și explicațiile alternative, nu simpla existență a unui mecanism biologic. </w:t>
      </w:r>
      <w:r>
        <w:t>[</w:t>
      </w:r>
      <w:hyperlink w:anchor="ref_53">
        <w:r>
          <w:rPr>
            <w:color w:val="276168"/>
            <w:sz w:val="19"/>
          </w:rPr>
          <w:t xml:space="preserve">53</w:t>
        </w:r>
      </w:hyperlink>
      <w:r>
        <w:t>]</w:t>
      </w:r>
      <w:r/>
    </w:p>
    <w:p>
      <w:pPr/>
      <w:r>
        <w:t>În sens invers, faptul că nu avem o explicație completă a mecanismului nu autorizează identificarea lui cu divinul. Necunoscutul nu are automat numele preferat al celui care îl întâlnește.</w:t>
      </w:r>
    </w:p>
    <w:p>
      <w:pPr>
        <w:pStyle w:val="Heading2"/>
      </w:pPr>
      <w:r>
        <w:t>Ce poate justifica pentru persoană și ce poate impune celorlalți?</w:t>
      </w:r>
    </w:p>
    <w:p>
      <w:pPr>
        <w:pStyle w:val="BookOpening"/>
      </w:pPr>
      <w:r>
        <w:t>O experiență poate avea o greutate mare în viața celui care a trăit-o. El poate considera rezonabil să își organizeze viața în jurul ei, cu o prudență proporțională față de consecințe. Dar mărturia sa nu oferă tuturor acces la aceleași date. O justificare personală nu devine, fără alte argumente, temei suficient pentru curriculum obligatoriu, sancțiune socială sau decizie asupra vieții altora.</w:t>
      </w:r>
    </w:p>
    <w:p>
      <w:pPr/>
      <w:r>
        <w:t>Această distincție nu produce două adevăruri contradictorii. Produce două situații epistemice diferite: persoana are o experiență directă, ceilalți au o relatare. Chiar și persoana poate greși în interpretare; ceilalți trebuie să evalueze și credibilitatea transmiterii.</w:t>
      </w:r>
    </w:p>
    <w:p>
      <w:pPr/>
      <w:r>
        <w:t xml:space="preserve">Dificultatea crește când experiențe foarte convingătoare susțin doctrine incompatibile. Nu este suficient să păstrăm experiențele propriei tradiții și să le declarăm pe celelalte confuzie. Este nevoie de un criteriu care să nu presupună deja concluzia preferată. </w:t>
      </w:r>
      <w:r>
        <w:t>[</w:t>
      </w:r>
      <w:hyperlink w:anchor="ref_53">
        <w:r>
          <w:rPr>
            <w:color w:val="276168"/>
            <w:sz w:val="19"/>
          </w:rPr>
          <w:t xml:space="preserve">53</w:t>
        </w:r>
      </w:hyperlink>
      <w:r>
        <w:t>]</w:t>
      </w:r>
      <w:r/>
    </w:p>
    <w:p>
      <w:pPr>
        <w:pStyle w:val="Heading2"/>
      </w:pPr>
      <w:r>
        <w:t>Când o pretenție spirituală devine testabilă</w:t>
      </w:r>
    </w:p>
    <w:p>
      <w:pPr>
        <w:pStyle w:val="BookOpening"/>
      </w:pPr>
      <w:r>
        <w:t>Să presupunem că cineva afirmă că poate identifica informații ascunse printr-o capacitate spirituală. Putem proiecta un test fără a decide în prealabil metafizica universului. Definim ținta, procedura de selectare, răspunsul acceptat, numărul încercărilor și criteriul de succes. Blocăm accesul obișnuit la informație. Înregistrăm toate încercările, nu numai reușitele. Analiza este stabilită înainte de examinarea rezultatelor.</w:t>
      </w:r>
    </w:p>
    <w:p>
      <w:pPr/>
      <w:r>
        <w:t>Un exemplu ipotetic: la fiecare încercare, un sistem alege aleator una dintre patru imagini, fără ca participantul sau examinatorul aflat în cameră să cunoască alegerea. Participantul indică imaginea. În modelul simplu de ghicire uniformă, probabilitatea unei reușite este 1/4. Dacă observăm un rezultat neobișnuit, nu sărim direct la „spirite”: verificăm randomizarea, scurgerile de informație, erorile de înregistrare, selecția analizelor și replicarea independentă.</w:t>
      </w:r>
    </w:p>
    <w:p>
      <w:pPr/>
      <w:r>
        <w:t>Acesta este un exemplu de proiectare, nu relatarea unui experiment realizat pentru această carte. Numerele nu sunt rezultate. Scopul este să arătăm ce înseamnă a transforma o pretenție în risc de eroare controlabil.</w:t>
      </w:r>
    </w:p>
    <w:p>
      <w:pPr/>
      <w:r>
        <w:t>Dacă rezultatul dispare sub controale mai bune, încrederea în pretenție trebuie redusă. Dacă persistă robust și independent, trebuie să fim dispuși să investigăm fenomenul, chiar dacă ne incomodează filosofia. Dar descoperirea unei anomalii nu identifică automat cauza. Un fenomen real poate cere o explicație nouă fără ca prima explicație oferită să fie cea corectă.</w:t>
      </w:r>
    </w:p>
    <w:p>
      <w:pPr>
        <w:pStyle w:val="Heading2"/>
      </w:pPr>
      <w:r>
        <w:t>Ce rămâne valoros chiar fără demonstrație metafizică</w:t>
      </w:r>
    </w:p>
    <w:p>
      <w:pPr>
        <w:pStyle w:val="BookOpening"/>
      </w:pPr>
      <w:r>
        <w:t>O practică spirituală poate avea pentru cineva valoare contemplativă, artistică, comunitară sau morală. Această valoare trebuie discutată concret, fără promisiuni universale. Un efect bun asupra unei persoane nu validează toate afirmațiile cosmologice asociate practicii; un efect rău nu demonstrează automat falsitatea fiecărei doctrine.</w:t>
      </w:r>
    </w:p>
    <w:p>
      <w:pPr/>
      <w:r>
        <w:t>În mod simetric, o persoană seculară poate avea profunzime, uimire și devotament moral fără a adopta limbajul religios. A confisca aceste experiențe sub o singură etichetă este o formă de excludere. Putem vorbi despre viața interioară fără să îi cerem, de la început, pașaport confesional.</w:t>
      </w:r>
    </w:p>
    <w:p>
      <w:bookmarkStart w:id="114" w:name="chapter_12"/>
      <w:pPr>
        <w:pStyle w:val="Heading1"/>
      </w:pPr>
      <w:r>
        <w:t>12. Anatomia unei narațiuni conspiraționiste</w:t>
      </w:r>
      <w:bookmarkEnd w:id="114"/>
    </w:p>
    <w:p>
      <w:pPr>
        <w:pStyle w:val="BookOpening"/>
      </w:pPr>
      <w:r>
        <w:t>Până aici am examinat idei și documente. Acum putem reveni la forma textului care a provocat investigația. Nu avem date pentru a atribui autorului o intenție ascunsă și nu avem dreptul să îl diagnosticăm. Avem însă textul. Putem analiza ceea ce face argumentativ: cum selectează probele, cum descrie adversarul, cum cere adeziune și ce concluzii propune.</w:t>
      </w:r>
    </w:p>
    <w:p>
      <w:pPr>
        <w:pStyle w:val="Heading2"/>
      </w:pPr>
      <w:r>
        <w:t>Douăzeci și cinci de exemple nu sunt douăzeci și cinci de demonstrații</w:t>
      </w:r>
    </w:p>
    <w:p>
      <w:pPr>
        <w:pStyle w:val="BookOpening"/>
      </w:pPr>
      <w:r>
        <w:t>Lista produce impresia acumulării irezistibile. Dar majoritatea punctelor au aceeași structură: un savant a contribuit la știință; savantul a avut preocupări religioase sau spirituale; prin urmare, predarea contribuției fără acele preocupări este îndoctrinare materialistă. Dacă legătura finală este nevalidă, repetarea ei de douăzeci și cinci de ori nu o repară.</w:t>
      </w:r>
    </w:p>
    <w:p>
      <w:pPr/>
      <w:r>
        <w:t>Mai mult, exemplele nu sunt independente în sensul cerut de o evaluare simplă a dovezii. Aparțin adesea unor medii istorice în care vocabularul religios era foarte prezent și sunt selectate tocmai pentru că se potrivesc tezei. Nu avem un eșantion definit al savanților, criterii de includere, comparatori sau o măsură uniformă a „spiritualității”. Din această listă nu putem calcula frecvența religiozității, rolul ei cauzal sau efectele unei programe școlare.</w:t>
      </w:r>
    </w:p>
    <w:p>
      <w:pPr/>
      <w:r>
        <w:t>O comparație imaginară arată eroarea. Aleg douăzeci și cinci de inventatori care cântau la un instrument. Rezultă că muzica poate coexista cu invenția. Nu rezultă că orice lecție despre invențiile lor trebuie să conțină interpretare muzicală și nici că elevii sunt mințiți dacă nu o primesc.</w:t>
      </w:r>
    </w:p>
    <w:p>
      <w:pPr>
        <w:pStyle w:val="Heading2"/>
      </w:pPr>
      <w:r>
        <w:t>Cuvântul-umbrelă care ascunde dezacordurile</w:t>
      </w:r>
    </w:p>
    <w:p>
      <w:pPr>
        <w:pStyle w:val="BookOpening"/>
      </w:pPr>
      <w:r>
        <w:t>Lista adună sub „spiritual” zei antici, creștinism, poziții antitrinitare, astrologie, alchimie, platonism, argumente ontologice, spiritualism și nondualism. Acestea nu formează o doctrină unică. Unele se contrazic în privința persoanei, divinității, materiei sau mântuirii. Istoriile individuale analizate în capitolele anterioare documentează tocmai diversitatea.</w:t>
      </w:r>
    </w:p>
    <w:p>
      <w:pPr/>
      <w:r>
        <w:t>Dacă fiecare savant ar trebui predat împreună cu metafizica sa ca adevăr obligatoriu, elevul ar primi obligații incompatibile. Textul evită problema printr-o etichetă suficient de largă încât să adune prestigiul tuturor și suficient de vagă încât să nu suporte contradicțiile dintre ei.</w:t>
      </w:r>
    </w:p>
    <w:p>
      <w:pPr/>
      <w:r>
        <w:t>Putem recupera o concluzie mult mai modestă și mai bună: istoria științei include o diversitate de viziuni despre sens și realitate. Această concluzie susține educația istorică și filosofică. Nu susține monopolul unei „științe spirituale” nedefinite.</w:t>
      </w:r>
    </w:p>
    <w:p>
      <w:pPr>
        <w:pStyle w:val="Heading2"/>
      </w:pPr>
      <w:r>
        <w:t>Minoritatea malefică și majoritatea presupus inocentă</w:t>
      </w:r>
    </w:p>
    <w:p>
      <w:pPr>
        <w:pStyle w:val="BookOpening"/>
      </w:pPr>
      <w:r>
        <w:t>Textul vorbește despre o minoritate minusculă și agresivă care manipulează majoritatea. Nu oferă o măsurare a grupurilor, un mecanism instituțional documentat sau dovezi ale coordonării oculte. Numărul presupus al adepților înlocuiește proba, iar caracterizarea morală a adversarului pregătește concluzia înainte de examinare.</w:t>
      </w:r>
    </w:p>
    <w:p>
      <w:pPr/>
      <w:r>
        <w:t>Adevărul unei teoreme nu depinde de vot. Nici adevărul unei religii. În plus, apartenența la minoritate nu constituie vinovăție și apartenența la majoritate nu constituie inocență. O educație legitimă trebuie să protejeze libertatea de conștiință a ambelor, nu să declare una dintre ele proprietara naturală a sufletelor copiilor.</w:t>
      </w:r>
    </w:p>
    <w:p>
      <w:pPr/>
      <w:r>
        <w:t>Critica instituțiilor este necesară. Programele pot fi dezechilibrate; manualele pot avea erori; profesorii pot depăși limitele rolului lor. Dar pentru a demonstra un plan coordonat trebuie probe despre plan, actori, decizii și mecanisme. Exemplele biografice nu îndeplinesc această sarcină.</w:t>
      </w:r>
    </w:p>
    <w:p>
      <w:pPr>
        <w:pStyle w:val="Heading2"/>
      </w:pPr>
      <w:r>
        <w:t>Cum se închide cercul</w:t>
      </w:r>
    </w:p>
    <w:p>
      <w:pPr>
        <w:pStyle w:val="BookOpening"/>
      </w:pPr>
      <w:r>
        <w:t>O narațiune devine greu de corectat când acordul dovedește adevărul, iar dezacordul dovedește participarea la conspirație. Dacă un profesor protestează, este prezentat ca agent al sistemului. Dacă un istoric cere surse, este acuzat că ascunde spiritul. Dacă nu găsim documente ale planului, absența lor poate fi reinterpretată ca dovadă a secretului.</w:t>
      </w:r>
    </w:p>
    <w:p>
      <w:pPr/>
      <w:r>
        <w:t>Un asemenea mecanism poate fi construit și în limbaj ateist: orice credincios este incapabil să raționeze; orice contraexemplu este ipocrizie; orice întrebare despre limitele naturalismului este obscurantism. În ambele cazuri, adversarul este exclus înainte de a vorbi. Nu mai avem o teză care riscă să fie greșită, ci o identitate care se apără.</w:t>
      </w:r>
    </w:p>
    <w:p>
      <w:pPr/>
      <w:r>
        <w:t>Diferența față de investigarea unei conspirații reale este disponibilitatea de a preciza ce observații ar reduce încrederea în ipoteză. O investigație poate identifica documente, fluxuri de bani, instrucțiuni și acțiuni coordonate. O explicație care absoarbe orice rezultat fără a-și modifica încrederea nu funcționează în același fel.</w:t>
      </w:r>
    </w:p>
    <w:p>
      <w:pPr>
        <w:pStyle w:val="Heading2"/>
      </w:pPr>
      <w:r>
        <w:t>Pericolele: ce putem deduce și ce nu am măsurat</w:t>
      </w:r>
    </w:p>
    <w:p>
      <w:pPr>
        <w:pStyle w:val="BookOpening"/>
      </w:pPr>
      <w:r>
        <w:t>Limbajul postării poate alimenta ostilitatea față de profesori și persoane nereligioase, neîncrederea generalizată în școală și presiunea de a introduce doctrine drept condiție a adevărului. Acestea sunt riscuri argumentate din structura mesajului, nu efecte măsurate ale acestei postări. Nu știm câți oameni au citit-o, cum au reacționat sau ce acțiuni au urmat.</w:t>
      </w:r>
    </w:p>
    <w:p>
      <w:pPr/>
      <w:r>
        <w:t>Pericolul central pentru copil este substituirea unui criteriu comun de verificare cu o obligație de apartenență. Elevul ajunge să creadă că poate demonstra corect și totuși să fie acuzat că nu a înțeles „cu adevărat”, deoarece nu împărtășește interpretarea profesorului sau a majorității.</w:t>
      </w:r>
    </w:p>
    <w:p>
      <w:pPr/>
      <w:r>
        <w:t>Există și un pericol pentru religie: apărarea ei prin fapte fragile o face dependentă de demontarea acelor fapte. Dacă credinciosul a fost convins că Dumnezeu este garantat de un citat fals atribuit, descoperirea erorii poate produce o criză inutilă. O credință matură ar trebui să prefere un argument modest și corect unei victorii spectaculoase și necontrolate.</w:t>
      </w:r>
    </w:p>
    <w:p>
      <w:pPr/>
      <w:r>
        <w:t>În sfârșit, îndemnul la distribuire și promovarea comercială a unor cărți nu infirmă automat conținutul. Dar creează un motiv în plus pentru verificare. Când un mesaj produce mai întâi panică și apoi oferă acces la explicația salvatoare, cititorul ar trebui să distingă între dovadă și mecanismul de captare a atenției.</w:t>
      </w:r>
    </w:p>
    <w:p>
      <w:bookmarkStart w:id="115" w:name="chapter_13"/>
      <w:pPr>
        <w:pStyle w:val="Heading1"/>
      </w:pPr>
      <w:r>
        <w:t>13. O școală care educă fără să convertească</w:t>
      </w:r>
      <w:bookmarkEnd w:id="115"/>
    </w:p>
    <w:p>
      <w:pPr>
        <w:pStyle w:val="BookOpening"/>
      </w:pPr>
      <w:r>
        <w:t>Odată respinsă acuzația globală, rămâne o întrebare incomodă și utilă: poate școala preda știința mai bine, inclusiv prin istoria și filosofia ei? Răspunsul este da. Dar reforma nu trebuie să înlocuiască un dogmatism presupus cu unul explicit.</w:t>
      </w:r>
    </w:p>
    <w:p>
      <w:pPr/>
      <w:r>
        <w:t>Propunerile acestui capitol sunt normative și pedagogice. Nu reprezintă o analiză juridică actualizată a legislației românești și nu certifică ce se întâmplă în fiecare clasă. Un asemenea diagnostic cere date separate. Plecăm de la scopul unei școli care îi învață pe elevi să distingă adevărul verificabil, argumentul filosofic și libertatea convingerii personale.</w:t>
      </w:r>
    </w:p>
    <w:p>
      <w:pPr>
        <w:pStyle w:val="Heading2"/>
      </w:pPr>
      <w:r>
        <w:t>Trei spații, trei obiective</w:t>
      </w:r>
    </w:p>
    <w:p>
      <w:pPr>
        <w:pStyle w:val="BookOpening"/>
      </w:pPr>
      <w:r>
        <w:t>În lecția de știință, obiectivul principal este înțelegerea fenomenelor, modelelor, metodelor și limitelor. Profesorul nu trebuie să ceară credință într-o divinitate și nici adeziune la teza că orice divinitate este imposibilă. Poate însă corecta ferm o afirmație empirică incompatibilă cu probele relevante, chiar dacă acea afirmație este religios importantă pentru cineva.</w:t>
      </w:r>
    </w:p>
    <w:p>
      <w:pPr/>
      <w:r>
        <w:t>În istoria și filosofia științei, obiectivul este înțelegerea contextelor, controverselor și presupozițiilor. Aici Newton fără teologie, Kepler fără armonie sau Maxwell fără credință pot deveni reprezentări deformate. Dar tot aici trebuie discutate ideile nereușite, instituțiile coercitive și argumentele nereligioase, nu numai episoadele favorabile unei confesiuni.</w:t>
      </w:r>
    </w:p>
    <w:p>
      <w:pPr/>
      <w:r>
        <w:t>În studiul religiilor și al eticii, obiectivul poate fi înțelegerea tradițiilor, conceptelor, practicilor și disputelor. Trebuie deosebită prezentarea unei doctrine de participarea obligatorie la ea. Elevul poate învăța foarte bine ce susține o tradiție fără a declara că o acceptă.</w:t>
      </w:r>
    </w:p>
    <w:p>
      <w:pPr/>
      <w:r>
        <w:t>Aceste spații pot comunica. Separarea obiectivelor nu cere ziduri între discipline. Cere să știm ce evaluăm: corectitudinea unei demonstrații, fidelitatea unei interpretări istorice sau capacitatea de a compara argumente. Confesiunea elevului nu trebuie să fie răspunsul secret la niciuna dintre aceste evaluări.</w:t>
      </w:r>
    </w:p>
    <w:p>
      <w:pPr>
        <w:pStyle w:val="Heading2"/>
      </w:pPr>
      <w:r>
        <w:t>Cum ar arăta o lecție bună despre Pitagora?</w:t>
      </w:r>
    </w:p>
    <w:p>
      <w:pPr>
        <w:pStyle w:val="BookOpening"/>
      </w:pPr>
      <w:r>
        <w:t xml:space="preserve">Profesorul începe cu problema geometrică și precizează cadrul euclidian. Elevii examinează o demonstrație și o aplicație. Apoi primesc o scurtă notă istorică: relația era cunoscută în forme anterioare tradiției grecești; atribuirea personală și istoria demonstrației nu sunt identice; comunitățile pitagoreice au avut preocupări religioase și filosofice. Nota se bazează pe surse, fără a inventa o scenă precisă a descoperirii. </w:t>
      </w:r>
      <w:r>
        <w:t>[</w:t>
      </w:r>
      <w:hyperlink w:anchor="ref_3">
        <w:r>
          <w:rPr>
            <w:color w:val="276168"/>
            <w:sz w:val="19"/>
          </w:rPr>
          <w:t xml:space="preserve">3</w:t>
        </w:r>
      </w:hyperlink>
      <w:r>
        <w:t xml:space="preserve">, </w:t>
      </w:r>
      <w:hyperlink w:anchor="ref_10">
        <w:r>
          <w:rPr>
            <w:color w:val="276168"/>
            <w:sz w:val="19"/>
          </w:rPr>
          <w:t xml:space="preserve">10</w:t>
        </w:r>
      </w:hyperlink>
      <w:r>
        <w:t>]</w:t>
      </w:r>
      <w:r/>
    </w:p>
    <w:p>
      <w:pPr/>
      <w:r>
        <w:t>Urmează întrebarea: ce s-ar schimba în demonstrație dacă autorul ar fi avut alte credințe? Răspunsul îi ajută pe elevi să distingă contextul de justificare. Profesorul poate discuta apoi de ce istoria este importantă, chiar dacă nu schimbă egalitatea.</w:t>
      </w:r>
    </w:p>
    <w:p>
      <w:pPr/>
      <w:r>
        <w:t>Evaluarea nu cere adeziune la sacralitatea numerelor. Cere ca elevul să înțeleagă atât relația matematică, cât și diferența dintre un fapt documentat și o atribuire legendară. Astfel, adăugarea contextului crește gândirea critică în loc să o înlocuiască.</w:t>
      </w:r>
    </w:p>
    <w:p>
      <w:pPr>
        <w:pStyle w:val="Heading2"/>
      </w:pPr>
      <w:r>
        <w:t>Cum ar arăta o lecție bună despre Newton și Maxwell?</w:t>
      </w:r>
    </w:p>
    <w:p>
      <w:pPr>
        <w:pStyle w:val="BookOpening"/>
      </w:pPr>
      <w:r>
        <w:t xml:space="preserve">Într-o unitate despre gravitație, profesorul explică legea, condițiile modelului și o problemă rezolvată. Într-o secvență de istorie intelectuală, prezintă un fragment identificat din Scholium generale. Elevii marchează separat afirmațiile despre fenomene, inferențele și interpretările teologice. Nu trebuie să decidă într-o oră dacă Dumnezeu există. Trebuie să poată spune de ce cele două tipuri de afirmație nu sunt identice. </w:t>
      </w:r>
      <w:r>
        <w:t>[</w:t>
      </w:r>
      <w:hyperlink w:anchor="ref_28">
        <w:r>
          <w:rPr>
            <w:color w:val="276168"/>
            <w:sz w:val="19"/>
          </w:rPr>
          <w:t xml:space="preserve">28</w:t>
        </w:r>
      </w:hyperlink>
      <w:r>
        <w:t>]</w:t>
      </w:r>
      <w:r/>
    </w:p>
    <w:p>
      <w:pPr/>
      <w:r>
        <w:t xml:space="preserve">Pentru Maxwell, o lecție avansată poate pune alături contribuția electromagnetică și scrisoarea care avertizează asupra armonizărilor grăbite între interpretarea Scripturii și ipotezele științei. Elevii descoperă că însăși istoria credinței poate furniza argumente împotriva îndoctrinării. </w:t>
      </w:r>
      <w:r>
        <w:t>[</w:t>
      </w:r>
      <w:hyperlink w:anchor="ref_32">
        <w:r>
          <w:rPr>
            <w:color w:val="276168"/>
            <w:sz w:val="19"/>
          </w:rPr>
          <w:t xml:space="preserve">32</w:t>
        </w:r>
      </w:hyperlink>
      <w:r>
        <w:t>]</w:t>
      </w:r>
      <w:r/>
    </w:p>
    <w:p>
      <w:pPr/>
      <w:r>
        <w:t>În ambele cazuri, profesorul evită două replici: „era credincios, deci teologia lui este adevărată” și „avea preocupări religioase, deci nu trebuie luat în serios filosofic”. Înlocuiește verdictul de grup cu întrebări despre text și justificare.</w:t>
      </w:r>
    </w:p>
    <w:p>
      <w:pPr>
        <w:pStyle w:val="Heading2"/>
      </w:pPr>
      <w:r>
        <w:t>Cum verificăm acuzația de curriculum materialist?</w:t>
      </w:r>
    </w:p>
    <w:p>
      <w:pPr>
        <w:pStyle w:val="BookOpening"/>
      </w:pPr>
      <w:r>
        <w:t>O investigație serioasă ar începe prin definirea obiectului: ce țară, ce an școlar, ce profil și ce documente? Ar separa programa oficială de manuale, materialele auxiliare și practica profesorilor. O eroare într-o fișă nu poate fi atribuită automat întregului sistem, iar formularea neutră dintr-o programă nu garantează practica neutră în fiecare clasă.</w:t>
      </w:r>
    </w:p>
    <w:p>
      <w:pPr/>
      <w:r>
        <w:t>Ar trebui apoi construit un cod de analiză care deosebește cel puțin: explicația empirică a unui fenomen; o afirmație explicită de materialism metafizic; o afirmație explicită de ateism; prezentarea istorică a unei credințe; promovarea confesională; deprecierea identitară a credincioșilor sau necredincioșilor. Absența unei explicații supranaturale dintr-un exercițiu de fizică nu ar fi codificată automat drept ateism.</w:t>
      </w:r>
    </w:p>
    <w:p>
      <w:pPr/>
      <w:r>
        <w:t>Mai mulți evaluatori ar analiza independent un eșantion definit, ar compara clasificările și ar publica dezacordurile. Criteriile ar trebui testate pe exemple-limită. De pildă, „fenomenul are o explicație biologică” nu este identic cu „nu există nimic în afara biologicului”. Dacă grila le confundă, studiul își introduce concluzia în instrumentul de măsurare.</w:t>
      </w:r>
    </w:p>
    <w:p>
      <w:pPr/>
      <w:r>
        <w:t>Abia după această etapă ar putea fi estimată frecvența formulărilor problematice. Pentru a investiga efectele asupra elevilor ar fi necesare alte date: ce au înțeles, cum s-au modificat competențele, dacă s-au simțit constrânși și ce factori alternativi au contribuit. Din existența unui pasaj nu rezultă direct distrugerea destinului unui copil.</w:t>
      </w:r>
    </w:p>
    <w:p>
      <w:pPr/>
      <w:r>
        <w:t>Acesta este un program propus de cercetare, nu un studiu deja efectuat. Avantajul lui este că ar putea confirma anumite critici ale școlii sau le-ar putea infirma. Nu este proiectat numai ca să găsească vinovatul desemnat în prealabil.</w:t>
      </w:r>
    </w:p>
    <w:p>
      <w:pPr>
        <w:pStyle w:val="Heading2"/>
      </w:pPr>
      <w:r>
        <w:t>Cum evaluăm reforma fără să numărăm convertiți?</w:t>
      </w:r>
    </w:p>
    <w:p>
      <w:pPr>
        <w:pStyle w:val="BookOpening"/>
      </w:pPr>
      <w:r>
        <w:t>O intervenție educațională bună ar trebui să crească precizia citării, înțelegerea limitelor teoriilor, capacitatea de a identifica inferențe nevalide și disponibilitatea de a corecta o eroare. Nu ar trebui evaluată prin câți elevi au devenit credincioși sau atei.</w:t>
      </w:r>
    </w:p>
    <w:p>
      <w:pPr/>
      <w:r>
        <w:t>Putem propune evaluări înainte și după curs, cu grupuri comparabile, sarcini necunoscute anterior și corectare fără acces la identitatea sau convingerile elevului. Putem verifica dacă elevul aplică același standard unei erori favorabile și uneia nefavorabile propriei poziții. Putem urmări dacă efectul persistă, nu doar dacă participanții repetă vocabularul profesorului la finalul lecției.</w:t>
      </w:r>
    </w:p>
    <w:p>
      <w:pPr/>
      <w:r>
        <w:t>O limită trebuie recunoscută: neutralitatea instituțională nu înseamnă absența oricăror valori. Alegerea adevărului, a noncoerciției și a posibilității de contestare este ea însăși normativă. Dar aceste valori pot fi explicate public prin rolul școlii într-o societate plurală, fără a transforma o metafizică particulară în condiție de cetățenie intelectuală.</w:t>
      </w:r>
    </w:p>
    <w:p>
      <w:bookmarkStart w:id="116" w:name="chapter_14"/>
      <w:pPr>
        <w:pStyle w:val="Heading1"/>
      </w:pPr>
      <w:r>
        <w:t>14. O disciplină a incertitudinii</w:t>
      </w:r>
      <w:bookmarkEnd w:id="116"/>
    </w:p>
    <w:p>
      <w:pPr>
        <w:pStyle w:val="BookOpening"/>
      </w:pPr>
      <w:r>
        <w:t>Agnosticul poate fi tentat să se considere automat mai lucid decât ambele tabere. Ar fi încă o eroare de prestigiu, de data aceasta construită în jurul rezervei. A spune „nu știu” este onest numai dacă reflectă situația dovezilor, nu dacă evită munca de a evalua ceea ce poate fi cunoscut.</w:t>
      </w:r>
    </w:p>
    <w:p>
      <w:pPr/>
      <w:r>
        <w:t>Avem nevoie, așadar, de o disciplină, nu de un nou grup superior. Ea trebuie să ne permită să fim fermi unde probele sunt puternice, prudenți unde argumentele rămân deschise și expliciți despre diferență.</w:t>
      </w:r>
    </w:p>
    <w:p>
      <w:pPr>
        <w:pStyle w:val="Heading2"/>
      </w:pPr>
      <w:r>
        <w:t>Compatibilitatea nu este confirmare</w:t>
      </w:r>
    </w:p>
    <w:p>
      <w:pPr>
        <w:pStyle w:val="BookOpening"/>
      </w:pPr>
      <w:r>
        <w:t>O observație E poate fi compatibilă cu ipoteza H fără să o susțină față de o alternativă. Pentru a avea putere discriminativă, observația trebuie să fie mai așteptată sub H decât sub alternativa relevantă. Într-o analiză bayesiană simplă, comparația poate fi exprimată prin raportul P(E | H) / P(E | alternativa). Acesta nu oferă singur probabilitatea finală a ipotezei; contează și încrederea inițială și felul în care au fost formulate modelele.</w:t>
      </w:r>
    </w:p>
    <w:p>
      <w:pPr/>
      <w:r>
        <w:t>Aplicat listei de savanți, exemplul este clar. Existența unor cercetători religioși este compatibilă cu existența lui Dumnezeu. Dar este ea foarte surprinzătoare într-o lume fără Dumnezeu, în care oamenii au tradiții religioase și caută sens? Fără o comparație explicită, nu știm cât discriminează observația. Din compatibilitate nu rezultă confirmare puternică.</w:t>
      </w:r>
    </w:p>
    <w:p>
      <w:pPr/>
      <w:r>
        <w:t>Simetric, existența unor cercetători atei nu dovedește inexistența divinității. Ar trebui să explicăm de ce un anumit concept de divinitate prezice că niciun om competent nu ar putea rămâne necredincios. Dacă nu există această predicție, observația nu produce verdictul dorit.</w:t>
      </w:r>
    </w:p>
    <w:p>
      <w:pPr/>
      <w:r>
        <w:t>Nu atribuim în această carte probabilități numerice existenței lui Dumnezeu. Fără modele suficient precizate, asemenea numere ar crea o aparență de măsurare. Formula este un instrument pentru clarificarea comparației, nu o mașină care produce certitudine din simboluri.</w:t>
      </w:r>
    </w:p>
    <w:p>
      <w:pPr>
        <w:pStyle w:val="Heading2"/>
      </w:pPr>
      <w:r>
        <w:t>Absența dovezii: când contează și când nu</w:t>
      </w:r>
    </w:p>
    <w:p>
      <w:pPr>
        <w:pStyle w:val="BookOpening"/>
      </w:pPr>
      <w:r>
        <w:t>Sloganul „absența dovezii nu este dovada absenței” este uneori util și uneori înșelător. Dacă o ipoteză prezice urme clare în condiții în care le-am putea detecta, absența lor poate reduce încrederea în ipoteză. Dacă ipoteza nu prezice urme accesibile, absența lor are altă semnificație.</w:t>
      </w:r>
    </w:p>
    <w:p>
      <w:pPr/>
      <w:r>
        <w:t>Să presupunem că cineva afirmă că un obiect mare se află pe o masă bine luminată. Dacă verificăm atent și masa este goală, observația contează împotriva afirmației. Dacă cineva definește o entitate care nu produce nicio consecință detectabilă, examinarea mesei nu o infirmă. Dar nici nu există, prin aceasta, un motiv nou să acceptăm entitatea.</w:t>
      </w:r>
    </w:p>
    <w:p>
      <w:pPr/>
      <w:r>
        <w:t>Același principiu împiedică două abuzuri: cererea ca scepticul să demonstreze inexistența oricărui lucru imaginabil și pretenția scepticului că o metodă incapabilă prin construcție să observe ceva a demonstrat deja absența lui. În ambele cazuri trebuie formulată relația dintre ipoteză și observație.</w:t>
      </w:r>
    </w:p>
    <w:p>
      <w:pPr>
        <w:pStyle w:val="Heading2"/>
      </w:pPr>
      <w:r>
        <w:t>Cum corectăm o eroare fără a ne apăra identitatea</w:t>
      </w:r>
    </w:p>
    <w:p>
      <w:pPr>
        <w:pStyle w:val="BookOpening"/>
      </w:pPr>
      <w:r>
        <w:t>O procedură practică începe prin descompunere. În loc să întrebăm dacă postarea este „adevărată” în întregime, separăm afirmațiile: biografie, citat, atribuire, consecință matematică, concluzie filosofică, acuzație instituțională. Fiecare poate avea alt verdict.</w:t>
      </w:r>
    </w:p>
    <w:p>
      <w:pPr/>
      <w:r>
        <w:t>Apoi căutăm sursa cea mai apropiată de afirmație. Pentru un citat, textul autorului sau o ediție critică; pentru un experiment, raportul și protocolul; pentru un curriculum, documentul oficial relevant; pentru o acuzație de coordonare, probe despre actori și decizii. Un articol care repetă concluzia nu înlocuiește documentul lipsă.</w:t>
      </w:r>
    </w:p>
    <w:p>
      <w:pPr/>
      <w:r>
        <w:t>După verificare, formulăm concluzia la scara probelor. „Documentul arată că autorul credea X” este adesea concluzia corectă. „Documentul demonstrează X” este o afirmație diferită. Când prima este adevărată, nu trebuie să o slăbim pentru a proteja ateismul. Când a doua nu urmează, nu trebuie să o acceptăm pentru a proteja religia.</w:t>
      </w:r>
    </w:p>
    <w:p>
      <w:pPr/>
      <w:r>
        <w:t>În sfârșit, păstrăm un jurnal al corecțiilor. Dacă am distribuit un citat neconfirmat, îl retragem ca probă, nu neapărat ca posibilitate. Dacă am negat greșit religiozitatea unui savant, corectăm biografia fără a pretinde că ne-am schimbat automat metafizica. O corecție locală nu trebuie transformată în capitulare totală.</w:t>
      </w:r>
    </w:p>
    <w:p>
      <w:pPr>
        <w:pStyle w:val="Heading2"/>
      </w:pPr>
      <w:r>
        <w:t>Ce poate fi automatizat și ce rămâne judecată</w:t>
      </w:r>
    </w:p>
    <w:p>
      <w:pPr>
        <w:pStyle w:val="BookOpening"/>
      </w:pPr>
      <w:r>
        <w:t xml:space="preserve">Instrumentele digitale pot ajuta la căutarea edițiilor, compararea variantelor de citat, verificarea referințelor și urmărirea provenienței. Sistemele formale pot verifica anumite inferențe din premise explicite, așa cum arată mecanizarea argumentelor ontologice discutată în dosarul Gödel. Dar verificarea formală nu decide automat dacă premisele sunt adevărate despre lume. </w:t>
      </w:r>
      <w:r>
        <w:t>[</w:t>
      </w:r>
      <w:hyperlink w:anchor="ref_20">
        <w:r>
          <w:rPr>
            <w:color w:val="276168"/>
            <w:sz w:val="19"/>
          </w:rPr>
          <w:t xml:space="preserve">20</w:t>
        </w:r>
      </w:hyperlink>
      <w:r>
        <w:t xml:space="preserve">, </w:t>
      </w:r>
      <w:hyperlink w:anchor="ref_21">
        <w:r>
          <w:rPr>
            <w:color w:val="276168"/>
            <w:sz w:val="19"/>
          </w:rPr>
          <w:t xml:space="preserve">21</w:t>
        </w:r>
      </w:hyperlink>
      <w:r>
        <w:t>]</w:t>
      </w:r>
      <w:r/>
    </w:p>
    <w:p>
      <w:pPr/>
      <w:r>
        <w:t>Un asistent automat care produce o bibliografie convingătoare fără să verifice existența și conținutul surselor poate amplifica exact problema pe care pretinde că o rezolvă. De aceea, documentul trebuie să distingă sursa efectiv consultată de lectura recomandată, citatul direct de parafrază și rezultatul empiric de reconstrucția conceptuală.</w:t>
      </w:r>
    </w:p>
    <w:p>
      <w:pPr/>
      <w:r>
        <w:t>Nici această carte nu este exceptată. Detaliile neconfirmate sunt marcate; prezentările editoriale nu sunt prezentate drept lecturi integrale ale monografiilor; nu este revendicată o verificare arhivistică exhaustivă. Cititorul poate întări sau corecta analiza prin documente suplimentare. Acesta nu este un defect ascuns, ci condiția unei lucrări care refuză să se declare „imposibil de contrazis”.</w:t>
      </w:r>
    </w:p>
    <w:p>
      <w:pPr>
        <w:pStyle w:val="Heading2"/>
      </w:pPr>
      <w:r>
        <w:t>În locul unei victorii finale</w:t>
      </w:r>
    </w:p>
    <w:p>
      <w:pPr>
        <w:pStyle w:val="BookOpening"/>
      </w:pPr>
      <w:r>
        <w:t>Ce rămâne adevărat din postarea inițială? Că istoria științei include credințe, metafizici și practici pe care o relatare excesiv simplificată le poate șterge. Că savanții religioși nu trebuie prezentați drept atei pentru a construi o genealogie comodă a modernității. Că educația poate câștiga dacă discută sensul, istoria și limitele cunoașterii.</w:t>
      </w:r>
    </w:p>
    <w:p>
      <w:pPr/>
      <w:r>
        <w:t>Ce nu rezultă? Că teoremele sunt carcase goale fără credința autorului. Că formula fizică devine propagandă prin lipsa unei cateheze. Că exemplele biografice demonstrează o conspirație minoritară. Că toate doctrinele numite „spirituale” alcătuiesc o știință unică deja validată.</w:t>
      </w:r>
    </w:p>
    <w:p>
      <w:pPr/>
      <w:r>
        <w:t>Ce trebuie criticat și în tabăra opusă? Confundarea metodei cu ontologia, prezentarea tuturor credincioșilor drept inferiori intelectual, declararea problemelor filosofice rezolvate prin slogan și folosirea școlii pentru adeziune obligatorie la o negare metafizică. Dar această critică nu anulează dreptul de a nu crede și nici forța unor argumente ateiste bine construite.</w:t>
      </w:r>
    </w:p>
    <w:p>
      <w:pPr/>
      <w:r>
        <w:t>Teorema poate rămâne comună unei clase împărțite în convingeri. Istoria poate rămâne adevărată fără a fi transformată în recrutare. Credința poate fi sinceră fără a pretinde că este ecuație. Necredința poate fi rațională fără a se declara omniscientă. Iar agnosticismul poate fi fertil numai dacă nu devine o scuză pentru a nu mai întreba nimic.</w:t>
      </w:r>
    </w:p>
    <w:p>
      <w:pPr/>
      <w:r>
        <w:t>Adevărata alternativă la îndoctrinare nu este o îndoctrinare mai apropiată de sufletul nostru. Este o educație în care nimeni nu primește dreptul de a înlocui justificarea cu apartenența.</w:t>
      </w:r>
    </w:p>
    <w:p>
      <w:bookmarkStart w:id="117" w:name="chapter_15"/>
      <w:pPr>
        <w:pStyle w:val="Heading1"/>
      </w:pPr>
      <w:r>
        <w:t>Anexa A. Registrul celor 25 de dosare</w:t>
      </w:r>
      <w:bookmarkEnd w:id="117"/>
    </w:p>
    <w:p>
      <w:pPr>
        <w:pStyle w:val="BookOpening"/>
        <w:ind w:firstLine="0"/>
      </w:pPr>
      <w:r>
        <w:t>Acest registru rezumă concluziile capitolelor istorice, nu înlocuiește argumentarea lor. Statutul unui detaliu se referă la documentarea efectiv consultată. O afirmație marcată drept neconfirmată poate primi ulterior o bază mai bună; până atunci nu trebuie distribuită ca citat autentificat.</w:t>
      </w:r>
    </w:p>
    <w:p>
      <w:pPr>
        <w:pStyle w:val="Heading2"/>
      </w:pPr>
      <w:r>
        <w:t>Antichitatea și începuturile modernității</w:t>
      </w:r>
    </w:p>
    <w:p>
      <w:pPr>
        <w:pStyle w:val="BookOpening"/>
        <w:ind w:firstLine="0"/>
      </w:pPr>
      <w:r>
        <w:rPr>
          <w:b/>
        </w:rPr>
        <w:t>1. Thales.</w:t>
      </w:r>
      <w:r>
        <w:t xml:space="preserve"> Mărturia aristotelică despre o lume plină de zei este reală. Nu avem acces direct la sensul complet dat de Thales formulei și nici la o scenă documentată a formulării teoremei. </w:t>
      </w:r>
      <w:r>
        <w:t>[</w:t>
      </w:r>
      <w:hyperlink w:anchor="ref_7">
        <w:r>
          <w:rPr>
            <w:color w:val="276168"/>
            <w:sz w:val="19"/>
          </w:rPr>
          <w:t xml:space="preserve">7</w:t>
        </w:r>
      </w:hyperlink>
      <w:r>
        <w:t xml:space="preserve">, </w:t>
      </w:r>
      <w:hyperlink w:anchor="ref_9">
        <w:r>
          <w:rPr>
            <w:color w:val="276168"/>
            <w:sz w:val="19"/>
          </w:rPr>
          <w:t xml:space="preserve">9</w:t>
        </w:r>
      </w:hyperlink>
      <w:r>
        <w:t>]</w:t>
      </w:r>
      <w:r/>
    </w:p>
    <w:p>
      <w:pPr>
        <w:ind w:firstLine="0"/>
      </w:pPr>
      <w:r>
        <w:rPr>
          <w:b/>
        </w:rPr>
        <w:t>2. Pitagora.</w:t>
      </w:r>
      <w:r>
        <w:t xml:space="preserve"> Contextul religios al tradiției este relevant. Dovada personală a teoremei și elaborarea ei într-o „Școală de Mistere” nu sunt stabilite cu precizia pretinsă în postare. </w:t>
      </w:r>
      <w:r>
        <w:t>[</w:t>
      </w:r>
      <w:hyperlink w:anchor="ref_10">
        <w:r>
          <w:rPr>
            <w:color w:val="276168"/>
            <w:sz w:val="19"/>
          </w:rPr>
          <w:t xml:space="preserve">10</w:t>
        </w:r>
      </w:hyperlink>
      <w:r>
        <w:t>]</w:t>
      </w:r>
      <w:r/>
    </w:p>
    <w:p>
      <w:pPr>
        <w:ind w:firstLine="0"/>
      </w:pPr>
      <w:r>
        <w:rPr>
          <w:b/>
        </w:rPr>
        <w:t>3. Descartes.</w:t>
      </w:r>
      <w:r>
        <w:t xml:space="preserve"> Teismul și rolul visurilor în biografia intelectuală au suport. Localizarea episodului cere prudență; argumentele despre Dumnezeu nu devin rezultate unanim acceptate, iar metoda nu începe în 1641. </w:t>
      </w:r>
      <w:r>
        <w:t>[</w:t>
      </w:r>
      <w:hyperlink w:anchor="ref_11">
        <w:r>
          <w:rPr>
            <w:color w:val="276168"/>
            <w:sz w:val="19"/>
          </w:rPr>
          <w:t xml:space="preserve">11</w:t>
        </w:r>
      </w:hyperlink>
      <w:r>
        <w:t>]</w:t>
      </w:r>
      <w:r/>
    </w:p>
    <w:p>
      <w:pPr>
        <w:ind w:firstLine="0"/>
      </w:pPr>
      <w:r>
        <w:rPr>
          <w:b/>
        </w:rPr>
        <w:t>4. Pascal.</w:t>
      </w:r>
      <w:r>
        <w:t xml:space="preserve"> Memorialul și pariul sunt autentice. Pariul este un argument practic condiționat, nu o probă a existenței lui Dumnezeu și nici soluția necontestată a alegerii religioase. </w:t>
      </w:r>
      <w:r>
        <w:t>[</w:t>
      </w:r>
      <w:hyperlink w:anchor="ref_12">
        <w:r>
          <w:rPr>
            <w:color w:val="276168"/>
            <w:sz w:val="19"/>
          </w:rPr>
          <w:t xml:space="preserve">12</w:t>
        </w:r>
      </w:hyperlink>
      <w:r>
        <w:t xml:space="preserve">, </w:t>
      </w:r>
      <w:hyperlink w:anchor="ref_13">
        <w:r>
          <w:rPr>
            <w:color w:val="276168"/>
            <w:sz w:val="19"/>
          </w:rPr>
          <w:t xml:space="preserve">13</w:t>
        </w:r>
      </w:hyperlink>
      <w:r>
        <w:t>]</w:t>
      </w:r>
      <w:r/>
    </w:p>
    <w:p>
      <w:pPr>
        <w:ind w:firstLine="0"/>
      </w:pPr>
      <w:r>
        <w:rPr>
          <w:b/>
        </w:rPr>
        <w:t>5. Leibniz.</w:t>
      </w:r>
      <w:r>
        <w:t xml:space="preserve"> Teologia, monadele și interesul pentru binar sunt reale. Simbolismul și corespondențele culturale nu demonstrează revelația; identificarea structurală nu dovedește automat o aritmetică identică în tradițiile comparate. </w:t>
      </w:r>
      <w:r>
        <w:t>[</w:t>
      </w:r>
      <w:hyperlink w:anchor="ref_14">
        <w:r>
          <w:rPr>
            <w:color w:val="276168"/>
            <w:sz w:val="19"/>
          </w:rPr>
          <w:t xml:space="preserve">14</w:t>
        </w:r>
      </w:hyperlink>
      <w:r>
        <w:t xml:space="preserve">, </w:t>
      </w:r>
      <w:hyperlink w:anchor="ref_15">
        <w:r>
          <w:rPr>
            <w:color w:val="276168"/>
            <w:sz w:val="19"/>
          </w:rPr>
          <w:t xml:space="preserve">15</w:t>
        </w:r>
      </w:hyperlink>
      <w:r>
        <w:t>]</w:t>
      </w:r>
      <w:r/>
    </w:p>
    <w:p>
      <w:pPr>
        <w:pStyle w:val="Heading2"/>
      </w:pPr>
      <w:r>
        <w:t>Infinitul și cerul</w:t>
      </w:r>
    </w:p>
    <w:p>
      <w:pPr>
        <w:pStyle w:val="BookOpening"/>
        <w:ind w:firstLine="0"/>
      </w:pPr>
      <w:r>
        <w:rPr>
          <w:b/>
        </w:rPr>
        <w:t>6. Euler.</w:t>
      </w:r>
      <w:r>
        <w:t xml:space="preserve"> Apologetica este documentată printr-o lucrare identificabilă. Scena duelului cu Diderot nu este folosită ca fapt sigur; competențele matematice ale lui Diderot împiedică simplificarea anecdotică. </w:t>
      </w:r>
      <w:r>
        <w:t>[</w:t>
      </w:r>
      <w:hyperlink w:anchor="ref_16">
        <w:r>
          <w:rPr>
            <w:color w:val="276168"/>
            <w:sz w:val="19"/>
          </w:rPr>
          <w:t xml:space="preserve">16</w:t>
        </w:r>
      </w:hyperlink>
      <w:r>
        <w:t xml:space="preserve">, </w:t>
      </w:r>
      <w:hyperlink w:anchor="ref_17">
        <w:r>
          <w:rPr>
            <w:color w:val="276168"/>
            <w:sz w:val="19"/>
          </w:rPr>
          <w:t xml:space="preserve">17</w:t>
        </w:r>
      </w:hyperlink>
      <w:r>
        <w:t>]</w:t>
      </w:r>
      <w:r/>
    </w:p>
    <w:p>
      <w:pPr>
        <w:ind w:firstLine="0"/>
      </w:pPr>
      <w:r>
        <w:rPr>
          <w:b/>
        </w:rPr>
        <w:t>7. Cantor.</w:t>
      </w:r>
      <w:r>
        <w:t xml:space="preserve"> Teologia și distincția dintre transfinit și Absolut sunt parte a istoriei ideilor sale. Afirmația inspirației divine nu este dovada unei comunicări supranaturale. </w:t>
      </w:r>
      <w:r>
        <w:t>[</w:t>
      </w:r>
      <w:hyperlink w:anchor="ref_19">
        <w:r>
          <w:rPr>
            <w:color w:val="276168"/>
            <w:sz w:val="19"/>
          </w:rPr>
          <w:t xml:space="preserve">19</w:t>
        </w:r>
      </w:hyperlink>
      <w:r>
        <w:t>]</w:t>
      </w:r>
      <w:r/>
    </w:p>
    <w:p>
      <w:pPr>
        <w:ind w:firstLine="0"/>
      </w:pPr>
      <w:r>
        <w:rPr>
          <w:b/>
        </w:rPr>
        <w:t>8. Gödel.</w:t>
      </w:r>
      <w:r>
        <w:t xml:space="preserve"> Argumentul ontologic și mecanizarea unor variante sunt reale. Concluzia formală depinde de premise; episodul cercetării paranormale universitare nu este confirmat aici. </w:t>
      </w:r>
      <w:r>
        <w:t>[</w:t>
      </w:r>
      <w:hyperlink w:anchor="ref_20">
        <w:r>
          <w:rPr>
            <w:color w:val="276168"/>
            <w:sz w:val="19"/>
          </w:rPr>
          <w:t xml:space="preserve">20</w:t>
        </w:r>
      </w:hyperlink>
      <w:r>
        <w:t xml:space="preserve">, </w:t>
      </w:r>
      <w:hyperlink w:anchor="ref_21">
        <w:r>
          <w:rPr>
            <w:color w:val="276168"/>
            <w:sz w:val="19"/>
          </w:rPr>
          <w:t xml:space="preserve">21</w:t>
        </w:r>
      </w:hyperlink>
      <w:r>
        <w:t>]</w:t>
      </w:r>
      <w:r/>
    </w:p>
    <w:p>
      <w:pPr>
        <w:ind w:firstLine="0"/>
      </w:pPr>
      <w:r>
        <w:rPr>
          <w:b/>
        </w:rPr>
        <w:t>9. Copernic.</w:t>
      </w:r>
      <w:r>
        <w:t xml:space="preserve"> Contextul religios este relevant. Referirea la „cercuri hermetice” are nevoie de identificare; receptarea simbolică nu demonstrează conținutul teologic al astronomiei. </w:t>
      </w:r>
      <w:r>
        <w:t>[</w:t>
      </w:r>
      <w:hyperlink w:anchor="ref_24">
        <w:r>
          <w:rPr>
            <w:color w:val="276168"/>
            <w:sz w:val="19"/>
          </w:rPr>
          <w:t xml:space="preserve">24</w:t>
        </w:r>
      </w:hyperlink>
      <w:r>
        <w:t>]</w:t>
      </w:r>
      <w:r/>
    </w:p>
    <w:p>
      <w:pPr>
        <w:ind w:firstLine="0"/>
      </w:pPr>
      <w:r>
        <w:rPr>
          <w:b/>
        </w:rPr>
        <w:t>10. Galileo.</w:t>
      </w:r>
      <w:r>
        <w:t xml:space="preserve"> Activitățile astrologice aparțin contextului biografic. Detaliile trebuie verificate separat; condamnarea din 1633 rămâne o problemă reală de autoritate și coerciție. </w:t>
      </w:r>
      <w:r>
        <w:t>[</w:t>
      </w:r>
      <w:hyperlink w:anchor="ref_25">
        <w:r>
          <w:rPr>
            <w:color w:val="276168"/>
            <w:sz w:val="19"/>
          </w:rPr>
          <w:t xml:space="preserve">25</w:t>
        </w:r>
      </w:hyperlink>
      <w:r>
        <w:t>]</w:t>
      </w:r>
      <w:r/>
    </w:p>
    <w:p>
      <w:pPr>
        <w:ind w:firstLine="0"/>
      </w:pPr>
      <w:r>
        <w:rPr>
          <w:b/>
        </w:rPr>
        <w:t>11. Kepler.</w:t>
      </w:r>
      <w:r>
        <w:t xml:space="preserve"> Armonia divină, solidele platonice și astrologia sunt preocupări reale. Nu toate modelele sale au rezistat; corectarea prin observații contează mai mult decât transferul prestigiului. </w:t>
      </w:r>
      <w:r>
        <w:t>[</w:t>
      </w:r>
      <w:hyperlink w:anchor="ref_26">
        <w:r>
          <w:rPr>
            <w:color w:val="276168"/>
            <w:sz w:val="19"/>
          </w:rPr>
          <w:t xml:space="preserve">26</w:t>
        </w:r>
      </w:hyperlink>
      <w:r>
        <w:t xml:space="preserve">, </w:t>
      </w:r>
      <w:hyperlink w:anchor="ref_27">
        <w:r>
          <w:rPr>
            <w:color w:val="276168"/>
            <w:sz w:val="19"/>
          </w:rPr>
          <w:t xml:space="preserve">27</w:t>
        </w:r>
      </w:hyperlink>
      <w:r>
        <w:t>]</w:t>
      </w:r>
      <w:r/>
    </w:p>
    <w:p>
      <w:pPr>
        <w:ind w:firstLine="0"/>
      </w:pPr>
      <w:r>
        <w:rPr>
          <w:b/>
        </w:rPr>
        <w:t>12. Newton.</w:t>
      </w:r>
      <w:r>
        <w:t xml:space="preserve"> Teologia și alchimia sunt amplu documentate. Nu certificăm totaluri de cuvinte fără corpus definit. Predarea gravitației și reconstituirea întregii concepții newtoniene sunt obiective diferite. </w:t>
      </w:r>
      <w:r>
        <w:t>[</w:t>
      </w:r>
      <w:hyperlink w:anchor="ref_4">
        <w:r>
          <w:rPr>
            <w:color w:val="276168"/>
            <w:sz w:val="19"/>
          </w:rPr>
          <w:t xml:space="preserve">4</w:t>
        </w:r>
      </w:hyperlink>
      <w:r>
        <w:t xml:space="preserve">, </w:t>
      </w:r>
      <w:hyperlink w:anchor="ref_28">
        <w:r>
          <w:rPr>
            <w:color w:val="276168"/>
            <w:sz w:val="19"/>
          </w:rPr>
          <w:t xml:space="preserve">28</w:t>
        </w:r>
      </w:hyperlink>
      <w:r>
        <w:t>]</w:t>
      </w:r>
      <w:r/>
    </w:p>
    <w:p>
      <w:pPr>
        <w:pStyle w:val="Heading2"/>
      </w:pPr>
      <w:r>
        <w:t>Laboratorul și fizica modernă</w:t>
      </w:r>
    </w:p>
    <w:p>
      <w:pPr>
        <w:pStyle w:val="BookOpening"/>
        <w:ind w:firstLine="0"/>
      </w:pPr>
      <w:r>
        <w:rPr>
          <w:b/>
        </w:rPr>
        <w:t>13. Faraday.</w:t>
      </w:r>
      <w:r>
        <w:t xml:space="preserve"> Apartenența sandemaniană este documentată. Formula exactă despre motivația divină a unificării nu a fost autentificată; explicația cauzală nu trebuie redusă la o singură convingere. </w:t>
      </w:r>
      <w:r>
        <w:t>[</w:t>
      </w:r>
      <w:hyperlink w:anchor="ref_29">
        <w:r>
          <w:rPr>
            <w:color w:val="276168"/>
            <w:sz w:val="19"/>
          </w:rPr>
          <w:t xml:space="preserve">29</w:t>
        </w:r>
      </w:hyperlink>
      <w:r>
        <w:t xml:space="preserve">, </w:t>
      </w:r>
      <w:hyperlink w:anchor="ref_30">
        <w:r>
          <w:rPr>
            <w:color w:val="276168"/>
            <w:sz w:val="19"/>
          </w:rPr>
          <w:t xml:space="preserve">30</w:t>
        </w:r>
      </w:hyperlink>
      <w:r>
        <w:t>]</w:t>
      </w:r>
      <w:r/>
    </w:p>
    <w:p>
      <w:pPr>
        <w:ind w:firstLine="0"/>
      </w:pPr>
      <w:r>
        <w:rPr>
          <w:b/>
        </w:rPr>
        <w:t>14. Ampère.</w:t>
      </w:r>
      <w:r>
        <w:t xml:space="preserve"> Dimensiunea religioasă este relevantă. Citatul despre operele Creatorului nu este autentificat în această documentare; adecvarea sa la biografie nu dovedește proveniența. </w:t>
      </w:r>
      <w:r>
        <w:t>[</w:t>
      </w:r>
      <w:hyperlink w:anchor="ref_31">
        <w:r>
          <w:rPr>
            <w:color w:val="276168"/>
            <w:sz w:val="19"/>
          </w:rPr>
          <w:t xml:space="preserve">31</w:t>
        </w:r>
      </w:hyperlink>
      <w:r>
        <w:t>]</w:t>
      </w:r>
      <w:r/>
    </w:p>
    <w:p>
      <w:pPr>
        <w:ind w:firstLine="0"/>
      </w:pPr>
      <w:r>
        <w:rPr>
          <w:b/>
        </w:rPr>
        <w:t>15. Maxwell.</w:t>
      </w:r>
      <w:r>
        <w:t xml:space="preserve"> Credința creștină are documente solide. Avertismentele sale privind armonizarea grăbită a Scripturii cu ipoteze științifice complică utilizarea lui apologetică. </w:t>
      </w:r>
      <w:r>
        <w:t>[</w:t>
      </w:r>
      <w:hyperlink w:anchor="ref_32">
        <w:r>
          <w:rPr>
            <w:color w:val="276168"/>
            <w:sz w:val="19"/>
          </w:rPr>
          <w:t xml:space="preserve">32</w:t>
        </w:r>
      </w:hyperlink>
      <w:r>
        <w:t>]</w:t>
      </w:r>
      <w:r/>
    </w:p>
    <w:p>
      <w:pPr>
        <w:ind w:firstLine="0"/>
      </w:pPr>
      <w:r>
        <w:rPr>
          <w:b/>
        </w:rPr>
        <w:t>16. Crookes.</w:t>
      </w:r>
      <w:r>
        <w:t xml:space="preserve"> Investigațiile spiritualiste sunt reale. Ele nu sunt echivalente, doar prin autor, cu demonstrarea spiritismului; anecdotele personale cer verificare separată. </w:t>
      </w:r>
      <w:r>
        <w:t>[</w:t>
      </w:r>
      <w:hyperlink w:anchor="ref_33">
        <w:r>
          <w:rPr>
            <w:color w:val="276168"/>
            <w:sz w:val="19"/>
          </w:rPr>
          <w:t xml:space="preserve">33</w:t>
        </w:r>
      </w:hyperlink>
      <w:r>
        <w:t>]</w:t>
      </w:r>
      <w:r/>
    </w:p>
    <w:p>
      <w:pPr>
        <w:ind w:firstLine="0"/>
      </w:pPr>
      <w:r>
        <w:rPr>
          <w:b/>
        </w:rPr>
        <w:t>17. Planck.</w:t>
      </w:r>
      <w:r>
        <w:t xml:space="preserve"> Preocupările filosofice sunt reale. Citatul atribuit discursului din 1944 nu a fost confruntat aici cu originalul arhivistic; nu este declarat fals și nici folosit drept probă sigură. </w:t>
      </w:r>
      <w:r>
        <w:t>[</w:t>
      </w:r>
      <w:hyperlink w:anchor="ref_36">
        <w:r>
          <w:rPr>
            <w:color w:val="276168"/>
            <w:sz w:val="19"/>
          </w:rPr>
          <w:t xml:space="preserve">36</w:t>
        </w:r>
      </w:hyperlink>
      <w:r>
        <w:t>]</w:t>
      </w:r>
      <w:r/>
    </w:p>
    <w:p>
      <w:pPr>
        <w:ind w:firstLine="0"/>
      </w:pPr>
      <w:r>
        <w:rPr>
          <w:b/>
        </w:rPr>
        <w:t>18. Bohr.</w:t>
      </w:r>
      <w:r>
        <w:t xml:space="preserve"> Complementaritatea și extensiile ei filosofice sunt reale. Simbolismul heraldic nu demonstrează o doctrină religioasă și nu autorizează contradicții arbitrare. </w:t>
      </w:r>
      <w:r>
        <w:t>[</w:t>
      </w:r>
      <w:hyperlink w:anchor="ref_37">
        <w:r>
          <w:rPr>
            <w:color w:val="276168"/>
            <w:sz w:val="19"/>
          </w:rPr>
          <w:t xml:space="preserve">37</w:t>
        </w:r>
      </w:hyperlink>
      <w:r>
        <w:t>]</w:t>
      </w:r>
      <w:r/>
    </w:p>
    <w:p>
      <w:pPr>
        <w:ind w:firstLine="0"/>
      </w:pPr>
      <w:r>
        <w:rPr>
          <w:b/>
        </w:rPr>
        <w:t>19. Heisenberg.</w:t>
      </w:r>
      <w:r>
        <w:t xml:space="preserve"> Limbajul despre forme trebuie citit în contextul matematic. Platonismul nu echivalează automat cu o minte creatoare; proveniența și traducerea citatului trebuie indicate precis. </w:t>
      </w:r>
      <w:r>
        <w:t>[</w:t>
      </w:r>
      <w:hyperlink w:anchor="ref_39">
        <w:r>
          <w:rPr>
            <w:color w:val="276168"/>
            <w:sz w:val="19"/>
          </w:rPr>
          <w:t xml:space="preserve">39</w:t>
        </w:r>
      </w:hyperlink>
      <w:r>
        <w:t>]</w:t>
      </w:r>
      <w:r/>
    </w:p>
    <w:p>
      <w:pPr>
        <w:ind w:firstLine="0"/>
      </w:pPr>
      <w:r>
        <w:rPr>
          <w:b/>
        </w:rPr>
        <w:t>20. Pauli.</w:t>
      </w:r>
      <w:r>
        <w:t xml:space="preserve"> Corespondența cu Jung și reflecția psihofizică sunt reale. Nu constituie o consecință demonstrată a principiului de excluziune. </w:t>
      </w:r>
      <w:r>
        <w:t>[</w:t>
      </w:r>
      <w:hyperlink w:anchor="ref_40">
        <w:r>
          <w:rPr>
            <w:color w:val="276168"/>
            <w:sz w:val="19"/>
          </w:rPr>
          <w:t xml:space="preserve">40</w:t>
        </w:r>
      </w:hyperlink>
      <w:r>
        <w:t xml:space="preserve">, </w:t>
      </w:r>
      <w:hyperlink w:anchor="ref_35">
        <w:r>
          <w:rPr>
            <w:color w:val="276168"/>
            <w:sz w:val="19"/>
          </w:rPr>
          <w:t xml:space="preserve">35</w:t>
        </w:r>
      </w:hyperlink>
      <w:r>
        <w:t>]</w:t>
      </w:r>
      <w:r/>
    </w:p>
    <w:p>
      <w:pPr>
        <w:ind w:firstLine="0"/>
      </w:pPr>
      <w:r>
        <w:rPr>
          <w:b/>
        </w:rPr>
        <w:t>21. Bohm.</w:t>
      </w:r>
      <w:r>
        <w:t xml:space="preserve"> Mecanica bohmiană și ordinea implicită nu sunt același tip de contribuție. O realitate mai profundă nu este, prin definiție, divinitate; statutul curricular nu este certificat. </w:t>
      </w:r>
      <w:r>
        <w:t>[</w:t>
      </w:r>
      <w:hyperlink w:anchor="ref_41">
        <w:r>
          <w:rPr>
            <w:color w:val="276168"/>
            <w:sz w:val="19"/>
          </w:rPr>
          <w:t xml:space="preserve">41</w:t>
        </w:r>
      </w:hyperlink>
      <w:r>
        <w:t xml:space="preserve">, </w:t>
      </w:r>
      <w:hyperlink w:anchor="ref_42">
        <w:r>
          <w:rPr>
            <w:color w:val="276168"/>
            <w:sz w:val="19"/>
          </w:rPr>
          <w:t xml:space="preserve">42</w:t>
        </w:r>
      </w:hyperlink>
      <w:r>
        <w:t>]</w:t>
      </w:r>
      <w:r/>
    </w:p>
    <w:p>
      <w:pPr>
        <w:ind w:firstLine="0"/>
      </w:pPr>
      <w:r>
        <w:rPr>
          <w:b/>
        </w:rPr>
        <w:t>22. Schrödinger.</w:t>
      </w:r>
      <w:r>
        <w:t xml:space="preserve"> Interesul pentru nondualism este documentabil. Singularitatea experienței nu demonstrează singură identitatea tuturor subiecților, iar ecuația de undă nu rezolvă problema. </w:t>
      </w:r>
      <w:r>
        <w:t>[</w:t>
      </w:r>
      <w:hyperlink w:anchor="ref_43">
        <w:r>
          <w:rPr>
            <w:color w:val="276168"/>
            <w:sz w:val="19"/>
          </w:rPr>
          <w:t xml:space="preserve">43</w:t>
        </w:r>
      </w:hyperlink>
      <w:r>
        <w:t>]</w:t>
      </w:r>
      <w:r/>
    </w:p>
    <w:p>
      <w:pPr>
        <w:pStyle w:val="Heading2"/>
      </w:pPr>
      <w:r>
        <w:t>Chimia și viața</w:t>
      </w:r>
    </w:p>
    <w:p>
      <w:pPr>
        <w:pStyle w:val="BookOpening"/>
        <w:ind w:firstLine="0"/>
      </w:pPr>
      <w:r>
        <w:rPr>
          <w:b/>
        </w:rPr>
        <w:t>23. Van Helmont.</w:t>
      </w:r>
      <w:r>
        <w:t xml:space="preserve"> Investigația și mistica se întâlnesc în opera sa. Prioritățile chimice trebuie descrise fără anacronism; citatul particular nu este autentificat aici. </w:t>
      </w:r>
      <w:r>
        <w:t>[</w:t>
      </w:r>
      <w:hyperlink w:anchor="ref_45">
        <w:r>
          <w:rPr>
            <w:color w:val="276168"/>
            <w:sz w:val="19"/>
          </w:rPr>
          <w:t xml:space="preserve">45</w:t>
        </w:r>
      </w:hyperlink>
      <w:r>
        <w:t>]</w:t>
      </w:r>
      <w:r/>
    </w:p>
    <w:p>
      <w:pPr>
        <w:ind w:firstLine="0"/>
      </w:pPr>
      <w:r>
        <w:rPr>
          <w:b/>
        </w:rPr>
        <w:t>24. Boyle.</w:t>
      </w:r>
      <w:r>
        <w:t xml:space="preserve"> Credința, alchimia și explicațiile mecanice coexistă documentabil. Experimentele nu validează integral programul alchimic ori doctrina religioasă. </w:t>
      </w:r>
      <w:r>
        <w:t>[</w:t>
      </w:r>
      <w:hyperlink w:anchor="ref_46">
        <w:r>
          <w:rPr>
            <w:color w:val="276168"/>
            <w:sz w:val="19"/>
          </w:rPr>
          <w:t xml:space="preserve">46</w:t>
        </w:r>
      </w:hyperlink>
      <w:r>
        <w:t xml:space="preserve">, </w:t>
      </w:r>
      <w:hyperlink w:anchor="ref_47">
        <w:r>
          <w:rPr>
            <w:color w:val="276168"/>
            <w:sz w:val="19"/>
          </w:rPr>
          <w:t xml:space="preserve">47</w:t>
        </w:r>
      </w:hyperlink>
      <w:r>
        <w:t>]</w:t>
      </w:r>
      <w:r/>
    </w:p>
    <w:p>
      <w:pPr>
        <w:ind w:firstLine="0"/>
      </w:pPr>
      <w:r>
        <w:rPr>
          <w:b/>
        </w:rPr>
        <w:t>25. Pasteur.</w:t>
      </w:r>
      <w:r>
        <w:t xml:space="preserve"> Discursul din 1882 documentează atât reflecția spiritualistă, cât și exigența metodei experimentale. Anecdotele virale nu sunt autentificate; concluziile experimentale au un domeniu limitat. </w:t>
      </w:r>
      <w:r>
        <w:t>[</w:t>
      </w:r>
      <w:hyperlink w:anchor="ref_48">
        <w:r>
          <w:rPr>
            <w:color w:val="276168"/>
            <w:sz w:val="19"/>
          </w:rPr>
          <w:t xml:space="preserve">48</w:t>
        </w:r>
      </w:hyperlink>
      <w:r>
        <w:t>]</w:t>
      </w:r>
      <w:r/>
    </w:p>
    <w:p>
      <w:bookmarkStart w:id="118" w:name="chapter_16"/>
      <w:pPr>
        <w:pStyle w:val="Heading1"/>
      </w:pPr>
      <w:r>
        <w:t>Anexa B. Mic glosar al distincțiilor decisive</w:t>
      </w:r>
      <w:bookmarkEnd w:id="118"/>
    </w:p>
    <w:p>
      <w:pPr>
        <w:pStyle w:val="BookOpening"/>
        <w:ind w:firstLine="0"/>
      </w:pPr>
      <w:r>
        <w:rPr>
          <w:b/>
        </w:rPr>
        <w:t>Agnosticism.</w:t>
      </w:r>
      <w:r>
        <w:t xml:space="preserve"> Poziție privind limitele cunoașterii sau suspendarea judecății asupra unor afirmații religioase. Nu implică probabilități egale pentru toate ipotezele și nu suspendă automat cunoașterea empirică.</w:t>
      </w:r>
    </w:p>
    <w:p>
      <w:pPr>
        <w:ind w:firstLine="0"/>
      </w:pPr>
      <w:r>
        <w:rPr>
          <w:b/>
        </w:rPr>
        <w:t>Ateism.</w:t>
      </w:r>
      <w:r>
        <w:t xml:space="preserve"> Termen folosit pentru absența credinței în zei sau pentru teza inexistenței lor. Cele două sensuri au sarcini argumentative diferite. Niciunul nu presupune automat dogmatism.</w:t>
      </w:r>
    </w:p>
    <w:p>
      <w:pPr>
        <w:ind w:firstLine="0"/>
      </w:pPr>
      <w:r>
        <w:rPr>
          <w:b/>
        </w:rPr>
        <w:t>Naturalism metodologic.</w:t>
      </w:r>
      <w:r>
        <w:t xml:space="preserve"> Regulă de cercetare care urmărește explicații examinabile prin metode empirice și intersubiective, fără a cere adoptarea unei revelații. Nu este identic cu negarea metafizică a divinității.</w:t>
      </w:r>
    </w:p>
    <w:p>
      <w:pPr>
        <w:ind w:firstLine="0"/>
      </w:pPr>
      <w:r>
        <w:rPr>
          <w:b/>
        </w:rPr>
        <w:t>Fizicalism.</w:t>
      </w:r>
      <w:r>
        <w:t xml:space="preserve"> Familie de poziții despre caracterul fundamental al fizicului și raportul său cu restul realității. Nu este identic cu imaginea mecanică a unor bile solide și nici cu preocuparea exclusivă pentru bani.</w:t>
      </w:r>
    </w:p>
    <w:p>
      <w:pPr>
        <w:ind w:firstLine="0"/>
      </w:pPr>
      <w:r>
        <w:rPr>
          <w:b/>
        </w:rPr>
        <w:t>Ontologie.</w:t>
      </w:r>
      <w:r>
        <w:t xml:space="preserve"> Investigația asupra a ceea ce există și a tipurilor fundamentale de existență. O descriere fizică poate informa ontologia fără a decide singură orice întrebare despre ea.</w:t>
      </w:r>
    </w:p>
    <w:p>
      <w:pPr>
        <w:ind w:firstLine="0"/>
      </w:pPr>
      <w:r>
        <w:rPr>
          <w:b/>
        </w:rPr>
        <w:t>Epistemologie.</w:t>
      </w:r>
      <w:r>
        <w:t xml:space="preserve"> Investigația asupra cunoașterii, justificării și limitelor lor. Întreabă nu numai ce credem, ci de ce avem dreptul să credem cu un anumit grad de încredere.</w:t>
      </w:r>
    </w:p>
    <w:p>
      <w:pPr>
        <w:ind w:firstLine="0"/>
      </w:pPr>
      <w:r>
        <w:rPr>
          <w:b/>
        </w:rPr>
        <w:t>Argument valid.</w:t>
      </w:r>
      <w:r>
        <w:t xml:space="preserve"> Argument în care concluzia urmează din premise potrivit regulilor relevante. Validitatea nu garantează că premisele sunt adevărate despre lume.</w:t>
      </w:r>
    </w:p>
    <w:p>
      <w:pPr>
        <w:ind w:firstLine="0"/>
      </w:pPr>
      <w:r>
        <w:rPr>
          <w:b/>
        </w:rPr>
        <w:t>Argument solid.</w:t>
      </w:r>
      <w:r>
        <w:t xml:space="preserve"> În sensul deductiv clasic, argument valid cu premise adevărate. Disputa filosofică privește adesea tocmai adevărul premiselor, nu executarea formală a inferenței.</w:t>
      </w:r>
    </w:p>
    <w:p>
      <w:pPr>
        <w:ind w:firstLine="0"/>
      </w:pPr>
      <w:r>
        <w:rPr>
          <w:b/>
        </w:rPr>
        <w:t>Sursă primară.</w:t>
      </w:r>
      <w:r>
        <w:t xml:space="preserve"> Document apropiat de persoana, evenimentul ori cercetarea investigată: scrisoare, manuscris, raport experimental. Poate conține erori și trebuie interpretat; „primar” nu înseamnă infailibil.</w:t>
      </w:r>
    </w:p>
    <w:p>
      <w:pPr>
        <w:ind w:firstLine="0"/>
      </w:pPr>
      <w:r>
        <w:rPr>
          <w:b/>
        </w:rPr>
        <w:t>Sursă secundară.</w:t>
      </w:r>
      <w:r>
        <w:t xml:space="preserve"> Analiză sau sinteză construită pe alte documente. Poate fi mai competentă contextual decât lectura izolată a unei surse primare, dar trebuie să ofere proveniență și argumente.</w:t>
      </w:r>
    </w:p>
    <w:p>
      <w:pPr>
        <w:ind w:firstLine="0"/>
      </w:pPr>
      <w:r>
        <w:rPr>
          <w:b/>
        </w:rPr>
        <w:t>Contextul descoperirii.</w:t>
      </w:r>
      <w:r>
        <w:t xml:space="preserve"> Motivele, împrejurările și procesele care au condus la o idee. Poate include visuri, credințe și accidente, fără ca acestea să constituie justificarea rezultatului.</w:t>
      </w:r>
    </w:p>
    <w:p>
      <w:pPr>
        <w:ind w:firstLine="0"/>
      </w:pPr>
      <w:r>
        <w:rPr>
          <w:b/>
        </w:rPr>
        <w:t>Justificare.</w:t>
      </w:r>
      <w:r>
        <w:t xml:space="preserve"> Relația dintre o afirmație și motivele care o susțin. Nu trebuie confundată cu sinceritatea, intensitatea emoțională sau prestigiul celui care afirmă.</w:t>
      </w:r>
    </w:p>
    <w:p>
      <w:pPr>
        <w:ind w:firstLine="0"/>
      </w:pPr>
      <w:r>
        <w:rPr>
          <w:b/>
        </w:rPr>
        <w:t>Compatibilitate.</w:t>
      </w:r>
      <w:r>
        <w:t xml:space="preserve"> Absența unei contradicții între o observație și o ipoteză. Este mai slabă decât confirmarea comparativă: aceeași observație poate fi compatibilă cu mai multe ipoteze rivale.</w:t>
      </w:r>
    </w:p>
    <w:p>
      <w:pPr>
        <w:ind w:firstLine="0"/>
      </w:pPr>
      <w:r>
        <w:rPr>
          <w:b/>
        </w:rPr>
        <w:t>Selectarea convenabilă a probelor.</w:t>
      </w:r>
      <w:r>
        <w:t xml:space="preserve"> Reținerea exemplelor favorabile și ignorarea criteriilor de includere, a contraexemplelor sau a ratelor de bază. O listă impresionantă poate avea această structură.</w:t>
      </w:r>
    </w:p>
    <w:p>
      <w:pPr>
        <w:ind w:firstLine="0"/>
      </w:pPr>
      <w:r>
        <w:rPr>
          <w:b/>
        </w:rPr>
        <w:t>Eroare genetică.</w:t>
      </w:r>
      <w:r>
        <w:t xml:space="preserve"> Judecarea adevărului unei propoziții numai din originea ei. Originea poate conta pentru credibilitate, dar nu înlocuiește examinarea conținutului și a probelor.</w:t>
      </w:r>
    </w:p>
    <w:p>
      <w:pPr>
        <w:ind w:firstLine="0"/>
      </w:pPr>
      <w:r>
        <w:rPr>
          <w:b/>
        </w:rPr>
        <w:t>Apel la autoritate.</w:t>
      </w:r>
      <w:r>
        <w:t xml:space="preserve"> Folosirea competenței unei persoane drept motiv pentru încredere. Poate fi legitim în domeniul relevant și cu limite; devine eronat când prestigiul înlocuiește orice probă sau este transferat fără justificare între domenii.</w:t>
      </w:r>
    </w:p>
    <w:p>
      <w:pPr>
        <w:ind w:firstLine="0"/>
      </w:pPr>
      <w:r>
        <w:rPr>
          <w:b/>
        </w:rPr>
        <w:t>Dogmatism epistemic.</w:t>
      </w:r>
      <w:r>
        <w:t xml:space="preserve"> Refuzul de a permite corectarea unei poziții prin argumente sau probe relevante. Poate apărea în contexte religioase, seculare și chiar sub eticheta agnosticismului.</w:t>
      </w:r>
    </w:p>
    <w:p>
      <w:pPr>
        <w:ind w:firstLine="0"/>
      </w:pPr>
      <w:r>
        <w:rPr>
          <w:b/>
        </w:rPr>
        <w:t>Pluralism.</w:t>
      </w:r>
      <w:r>
        <w:t xml:space="preserve"> Coexistența legitimă a unor persoane și concepții diferite. Nu presupune că toate afirmațiile incompatibile sunt simultan adevărate ori la fel de bine justificate.</w:t>
      </w:r>
    </w:p>
    <w:p>
      <w:pPr>
        <w:ind w:firstLine="0"/>
      </w:pPr>
      <w:r>
        <w:rPr>
          <w:b/>
        </w:rPr>
        <w:t>Secularitate instituțională.</w:t>
      </w:r>
      <w:r>
        <w:t xml:space="preserve"> În sensul normativ folosit aici, organizarea instituției comune fără condiționarea participării de adeziunea la o confesiune. Nu este sinonimă cu disprețul pentru religie.</w:t>
      </w:r>
    </w:p>
    <w:p>
      <w:pPr>
        <w:ind w:firstLine="0"/>
      </w:pPr>
      <w:r>
        <w:rPr>
          <w:b/>
        </w:rPr>
        <w:t>Incertitudine documentară.</w:t>
      </w:r>
      <w:r>
        <w:t xml:space="preserve"> Limită a verificării efectuate: un citat ori episod nu a fost stabilit suficient. Trebuie deosebită de dovada că acel citat ori episod este fals.</w:t>
      </w:r>
    </w:p>
    <w:p>
      <w:bookmarkStart w:id="119" w:name="bibliografie"/>
      <w:pPr>
        <w:pStyle w:val="Heading1"/>
      </w:pPr>
      <w:r>
        <w:t>Surse și note bibliografice</w:t>
      </w:r>
      <w:bookmarkEnd w:id="119"/>
    </w:p>
    <w:p>
      <w:pPr>
        <w:pStyle w:val="BookOpening"/>
      </w:pPr>
      <w:r>
        <w:t>Referințele sunt numerotate în ordinea primei citări. Documentarea online a fost încheiată la 11 septembrie 2026. Notele precizează când a fost consultat un text, o reproducere, o sinteză sau numai un catalog. O referință la o ediție nu implică lectura integrală a acesteia. Legăturile trimit la sursele efectiv identificate; pentru publicare academică, detaliile rămase indirecte necesită verificare în ediții critice sau arhive.</w:t>
      </w:r>
    </w:p>
    <w:p>
      <w:bookmarkStart w:id="120" w:name="ref_1"/>
      <w:pPr>
        <w:pStyle w:val="BookBibliography"/>
      </w:pPr>
      <w:bookmarkEnd w:id="120"/>
      <w:r>
        <w:rPr>
          <w:b/>
        </w:rPr>
        <w:t xml:space="preserve">[1] </w:t>
      </w:r>
      <w:r>
        <w:t>Helen De Cruz. „Religion and Science”. Stanford Encyclopedia of Philosophy, versiunea online.</w:t>
      </w:r>
    </w:p>
    <w:p>
      <w:pPr>
        <w:pStyle w:val="BookSourceNote"/>
      </w:pPr>
      <w:r>
        <w:t>Sinteză academică; folosită pentru relația dintre metode, ontologii și istoria complexă a raporturilor dintre religie și știință.</w:t>
      </w:r>
      <w:r>
        <w:br/>
      </w:r>
      <w:hyperlink r:id="rId11">
        <w:r>
          <w:rPr>
            <w:color w:val="276168"/>
            <w:sz w:val="18"/>
          </w:rPr>
          <w:t xml:space="preserve">https://plato.stanford.edu/entries/religion-science/</w:t>
        </w:r>
      </w:hyperlink>
    </w:p>
    <w:p>
      <w:bookmarkStart w:id="121" w:name="ref_2"/>
      <w:pPr>
        <w:pStyle w:val="BookBibliography"/>
      </w:pPr>
      <w:bookmarkEnd w:id="121"/>
      <w:r>
        <w:rPr>
          <w:b/>
        </w:rPr>
        <w:t xml:space="preserve">[2] </w:t>
      </w:r>
      <w:r>
        <w:t>Paul Draper. „Atheism and Agnosticism”. Stanford Encyclopedia of Philosophy, versiunea online.</w:t>
      </w:r>
    </w:p>
    <w:p>
      <w:pPr>
        <w:pStyle w:val="BookSourceNote"/>
      </w:pPr>
      <w:r>
        <w:t>Sinteză academică; distincții terminologice și structura dezbaterilor filosofice.</w:t>
      </w:r>
      <w:r>
        <w:br/>
      </w:r>
      <w:hyperlink r:id="rId12">
        <w:r>
          <w:rPr>
            <w:color w:val="276168"/>
            <w:sz w:val="18"/>
          </w:rPr>
          <w:t xml:space="preserve">https://plato.stanford.edu/entries/atheism-agnosticism/</w:t>
        </w:r>
      </w:hyperlink>
    </w:p>
    <w:p>
      <w:bookmarkStart w:id="122" w:name="ref_3"/>
      <w:pPr>
        <w:pStyle w:val="BookBibliography"/>
      </w:pPr>
      <w:bookmarkEnd w:id="122"/>
      <w:r>
        <w:rPr>
          <w:b/>
        </w:rPr>
        <w:t xml:space="preserve">[3] </w:t>
      </w:r>
      <w:r>
        <w:t>Euclid. Elementele, cartea I, propoziția 47. Ediție și comentariu online de D. E. Joyce, Clark University.</w:t>
      </w:r>
    </w:p>
    <w:p>
      <w:pPr>
        <w:pStyle w:val="BookSourceNote"/>
      </w:pPr>
      <w:r>
        <w:t>Text matematic primar în ediție digitală, cu demonstrație și comentariu.</w:t>
      </w:r>
      <w:r>
        <w:br/>
      </w:r>
      <w:hyperlink r:id="rId13">
        <w:r>
          <w:rPr>
            <w:color w:val="276168"/>
            <w:sz w:val="18"/>
          </w:rPr>
          <w:t xml:space="preserve">https://mathcs.clarku.edu/~djoyce/elements/bookI/propI47.html</w:t>
        </w:r>
      </w:hyperlink>
    </w:p>
    <w:p>
      <w:bookmarkStart w:id="123" w:name="ref_4"/>
      <w:pPr>
        <w:pStyle w:val="BookBibliography"/>
      </w:pPr>
      <w:bookmarkEnd w:id="123"/>
      <w:r>
        <w:rPr>
          <w:b/>
        </w:rPr>
        <w:t xml:space="preserve">[4] </w:t>
      </w:r>
      <w:r>
        <w:t>Newton Project, University of Oxford. Arhiva digitală a manuscriselor și textelor lui Isaac Newton.</w:t>
      </w:r>
    </w:p>
    <w:p>
      <w:pPr>
        <w:pStyle w:val="BookSourceNote"/>
      </w:pPr>
      <w:r>
        <w:t>Arhivă academică primară. Au fost consultate prezentarea proiectului și categorii ale corpusului; nu a fost efectuată o numărare integrală a cuvintelor.</w:t>
      </w:r>
      <w:r>
        <w:br/>
      </w:r>
      <w:hyperlink r:id="rId14">
        <w:r>
          <w:rPr>
            <w:color w:val="276168"/>
            <w:sz w:val="18"/>
          </w:rPr>
          <w:t xml:space="preserve">https://www.newtonproject.ox.ac.uk/</w:t>
        </w:r>
      </w:hyperlink>
    </w:p>
    <w:p>
      <w:bookmarkStart w:id="124" w:name="ref_5"/>
      <w:pPr>
        <w:pStyle w:val="BookBibliography"/>
      </w:pPr>
      <w:bookmarkEnd w:id="124"/>
      <w:r>
        <w:rPr>
          <w:b/>
        </w:rPr>
        <w:t xml:space="preserve">[5] </w:t>
      </w:r>
      <w:r>
        <w:t>Newton Project, University of Oxford. „His life and work at a glance”.</w:t>
      </w:r>
    </w:p>
    <w:p>
      <w:pPr>
        <w:pStyle w:val="BookSourceNote"/>
      </w:pPr>
      <w:r>
        <w:t>Sinteză biografică a proiectului academic; contextualizarea cercetării științifice, teologice și alchimice.</w:t>
      </w:r>
      <w:r>
        <w:br/>
      </w:r>
      <w:hyperlink r:id="rId15">
        <w:r>
          <w:rPr>
            <w:color w:val="276168"/>
            <w:sz w:val="18"/>
          </w:rPr>
          <w:t xml:space="preserve">https://www.newtonproject.ox.ac.uk/his-life-and-work-at-a-glance</w:t>
        </w:r>
      </w:hyperlink>
    </w:p>
    <w:p>
      <w:bookmarkStart w:id="125" w:name="ref_6"/>
      <w:pPr>
        <w:pStyle w:val="BookBibliography"/>
      </w:pPr>
      <w:bookmarkEnd w:id="125"/>
      <w:r>
        <w:rPr>
          <w:b/>
        </w:rPr>
        <w:t xml:space="preserve">[6] </w:t>
      </w:r>
      <w:r>
        <w:t>Daniel Stoljar. „Physicalism”. Stanford Encyclopedia of Philosophy, versiunea online.</w:t>
      </w:r>
    </w:p>
    <w:p>
      <w:pPr>
        <w:pStyle w:val="BookSourceNote"/>
      </w:pPr>
      <w:r>
        <w:t>Sinteză academică; variantele fizicalismului și dificultatea definirii fizicului.</w:t>
      </w:r>
      <w:r>
        <w:br/>
      </w:r>
      <w:hyperlink r:id="rId16">
        <w:r>
          <w:rPr>
            <w:color w:val="276168"/>
            <w:sz w:val="18"/>
          </w:rPr>
          <w:t xml:space="preserve">https://plato.stanford.edu/entries/physicalism/</w:t>
        </w:r>
      </w:hyperlink>
    </w:p>
    <w:p>
      <w:bookmarkStart w:id="126" w:name="ref_7"/>
      <w:pPr>
        <w:pStyle w:val="BookBibliography"/>
      </w:pPr>
      <w:bookmarkEnd w:id="126"/>
      <w:r>
        <w:rPr>
          <w:b/>
        </w:rPr>
        <w:t xml:space="preserve">[7] </w:t>
      </w:r>
      <w:r>
        <w:t>Aristotel. De anima, cartea I, capitolul 5, 411a7. Traducere engleză de J. A. Smith, Internet Classics Archive, MIT.</w:t>
      </w:r>
    </w:p>
    <w:p>
      <w:pPr>
        <w:pStyle w:val="BookSourceNote"/>
      </w:pPr>
      <w:r>
        <w:t>Text primar pentru mărturia aristotelică despre Thales; nu constituie un text păstrat al lui Thales însuși.</w:t>
      </w:r>
      <w:r>
        <w:br/>
      </w:r>
      <w:hyperlink r:id="rId17">
        <w:r>
          <w:rPr>
            <w:color w:val="276168"/>
            <w:sz w:val="18"/>
          </w:rPr>
          <w:t xml:space="preserve">https://classics.mit.edu/Aristotle/soul.1.i.html</w:t>
        </w:r>
      </w:hyperlink>
    </w:p>
    <w:p>
      <w:bookmarkStart w:id="127" w:name="ref_8"/>
      <w:pPr>
        <w:pStyle w:val="BookBibliography"/>
      </w:pPr>
      <w:bookmarkEnd w:id="127"/>
      <w:r>
        <w:rPr>
          <w:b/>
        </w:rPr>
        <w:t xml:space="preserve">[8] </w:t>
      </w:r>
      <w:r>
        <w:t>Patricia Curd. „Presocratic Philosophy”. Stanford Encyclopedia of Philosophy, versiunea online.</w:t>
      </w:r>
    </w:p>
    <w:p>
      <w:pPr>
        <w:pStyle w:val="BookSourceNote"/>
      </w:pPr>
      <w:r>
        <w:t>Sinteză academică; transmiterea fragmentară a gândirii presocratice și contextul ei.</w:t>
      </w:r>
      <w:r>
        <w:br/>
      </w:r>
      <w:hyperlink r:id="rId18">
        <w:r>
          <w:rPr>
            <w:color w:val="276168"/>
            <w:sz w:val="18"/>
          </w:rPr>
          <w:t xml:space="preserve">https://plato.stanford.edu/entries/presocratics/</w:t>
        </w:r>
      </w:hyperlink>
    </w:p>
    <w:p>
      <w:bookmarkStart w:id="128" w:name="ref_9"/>
      <w:pPr>
        <w:pStyle w:val="BookBibliography"/>
      </w:pPr>
      <w:bookmarkEnd w:id="128"/>
      <w:r>
        <w:rPr>
          <w:b/>
        </w:rPr>
        <w:t xml:space="preserve">[9] </w:t>
      </w:r>
      <w:r>
        <w:t>MacTutor History of Mathematics Archive, University of St Andrews. „Thales of Miletus”.</w:t>
      </w:r>
    </w:p>
    <w:p>
      <w:pPr>
        <w:pStyle w:val="BookSourceNote"/>
      </w:pPr>
      <w:r>
        <w:t>Biografie academică; tradiția atribuirilor și limitele reconstituirii istorice.</w:t>
      </w:r>
      <w:r>
        <w:br/>
      </w:r>
      <w:hyperlink r:id="rId19">
        <w:r>
          <w:rPr>
            <w:color w:val="276168"/>
            <w:sz w:val="18"/>
          </w:rPr>
          <w:t xml:space="preserve">https://mathshistory.st-andrews.ac.uk/Biographies/Thales/</w:t>
        </w:r>
      </w:hyperlink>
    </w:p>
    <w:p>
      <w:bookmarkStart w:id="129" w:name="ref_10"/>
      <w:pPr>
        <w:pStyle w:val="BookBibliography"/>
      </w:pPr>
      <w:bookmarkEnd w:id="129"/>
      <w:r>
        <w:rPr>
          <w:b/>
        </w:rPr>
        <w:t xml:space="preserve">[10] </w:t>
      </w:r>
      <w:r>
        <w:t>Carl Huffman. „Pythagoras”. Stanford Encyclopedia of Philosophy, versiunea online.</w:t>
      </w:r>
    </w:p>
    <w:p>
      <w:pPr>
        <w:pStyle w:val="BookSourceNote"/>
      </w:pPr>
      <w:r>
        <w:t>Sinteză academică; diferența dintre Pitagora istoric, tradiția ulterioară și atribuirea rezultatelor matematice.</w:t>
      </w:r>
      <w:r>
        <w:br/>
      </w:r>
      <w:hyperlink r:id="rId20">
        <w:r>
          <w:rPr>
            <w:color w:val="276168"/>
            <w:sz w:val="18"/>
          </w:rPr>
          <w:t xml:space="preserve">https://plato.stanford.edu/entries/pythagoras/</w:t>
        </w:r>
      </w:hyperlink>
    </w:p>
    <w:p>
      <w:bookmarkStart w:id="130" w:name="ref_11"/>
      <w:pPr>
        <w:pStyle w:val="BookBibliography"/>
      </w:pPr>
      <w:bookmarkEnd w:id="130"/>
      <w:r>
        <w:rPr>
          <w:b/>
        </w:rPr>
        <w:t xml:space="preserve">[11] </w:t>
      </w:r>
      <w:r>
        <w:t>Gary Hatfield. „René Descartes”. Stanford Encyclopedia of Philosophy, versiunea online.</w:t>
      </w:r>
    </w:p>
    <w:p>
      <w:pPr>
        <w:pStyle w:val="BookSourceNote"/>
      </w:pPr>
      <w:r>
        <w:t>Sinteză academică; metoda, metafizica și episoadele biografice. Pentru formulări literale ale visurilor este necesară confruntarea izvoarelor biografice.</w:t>
      </w:r>
      <w:r>
        <w:br/>
      </w:r>
      <w:hyperlink r:id="rId21">
        <w:r>
          <w:rPr>
            <w:color w:val="276168"/>
            <w:sz w:val="18"/>
          </w:rPr>
          <w:t xml:space="preserve">https://plato.stanford.edu/entries/descartes/</w:t>
        </w:r>
      </w:hyperlink>
    </w:p>
    <w:p>
      <w:bookmarkStart w:id="131" w:name="ref_12"/>
      <w:pPr>
        <w:pStyle w:val="BookBibliography"/>
      </w:pPr>
      <w:bookmarkEnd w:id="131"/>
      <w:r>
        <w:rPr>
          <w:b/>
        </w:rPr>
        <w:t xml:space="preserve">[12] </w:t>
      </w:r>
      <w:r>
        <w:t>MacTutor History of Mathematics Archive, University of St Andrews. „Blaise Pascal”.</w:t>
      </w:r>
    </w:p>
    <w:p>
      <w:pPr>
        <w:pStyle w:val="BookSourceNote"/>
      </w:pPr>
      <w:r>
        <w:t>Biografie academică; activitatea matematică și episodul religios din 1654.</w:t>
      </w:r>
      <w:r>
        <w:br/>
      </w:r>
      <w:hyperlink r:id="rId22">
        <w:r>
          <w:rPr>
            <w:color w:val="276168"/>
            <w:sz w:val="18"/>
          </w:rPr>
          <w:t xml:space="preserve">https://mathshistory.st-andrews.ac.uk/Biographies/Pascal/</w:t>
        </w:r>
      </w:hyperlink>
    </w:p>
    <w:p>
      <w:bookmarkStart w:id="132" w:name="ref_13"/>
      <w:pPr>
        <w:pStyle w:val="BookBibliography"/>
      </w:pPr>
      <w:bookmarkEnd w:id="132"/>
      <w:r>
        <w:rPr>
          <w:b/>
        </w:rPr>
        <w:t xml:space="preserve">[13] </w:t>
      </w:r>
      <w:r>
        <w:t>Alan Hájek. „Pascal’s Wager”. Stanford Encyclopedia of Philosophy, versiunea online.</w:t>
      </w:r>
    </w:p>
    <w:p>
      <w:pPr>
        <w:pStyle w:val="BookSourceNote"/>
      </w:pPr>
      <w:r>
        <w:t>Sinteză academică; structura decizională a pariului și obiecțiile filosofice.</w:t>
      </w:r>
      <w:r>
        <w:br/>
      </w:r>
      <w:hyperlink r:id="rId23">
        <w:r>
          <w:rPr>
            <w:color w:val="276168"/>
            <w:sz w:val="18"/>
          </w:rPr>
          <w:t xml:space="preserve">https://plato.stanford.edu/entries/pascal-wager/</w:t>
        </w:r>
      </w:hyperlink>
    </w:p>
    <w:p>
      <w:bookmarkStart w:id="133" w:name="ref_14"/>
      <w:pPr>
        <w:pStyle w:val="BookBibliography"/>
      </w:pPr>
      <w:bookmarkEnd w:id="133"/>
      <w:r>
        <w:rPr>
          <w:b/>
        </w:rPr>
        <w:t xml:space="preserve">[14] </w:t>
      </w:r>
      <w:r>
        <w:t>„Gottfried Wilhelm Leibniz”. Stanford Encyclopedia of Philosophy, versiunea online.</w:t>
      </w:r>
    </w:p>
    <w:p>
      <w:pPr>
        <w:pStyle w:val="BookSourceNote"/>
      </w:pPr>
      <w:r>
        <w:t>Sinteză academică; metafizica, monadele și rolul lui Dumnezeu în sistem.</w:t>
      </w:r>
      <w:r>
        <w:br/>
      </w:r>
      <w:hyperlink r:id="rId24">
        <w:r>
          <w:rPr>
            <w:color w:val="276168"/>
            <w:sz w:val="18"/>
          </w:rPr>
          <w:t xml:space="preserve">https://plato.stanford.edu/entries/leibniz/</w:t>
        </w:r>
      </w:hyperlink>
    </w:p>
    <w:p>
      <w:bookmarkStart w:id="134" w:name="ref_15"/>
      <w:pPr>
        <w:pStyle w:val="BookBibliography"/>
      </w:pPr>
      <w:bookmarkEnd w:id="134"/>
      <w:r>
        <w:rPr>
          <w:b/>
        </w:rPr>
        <w:t xml:space="preserve">[15] </w:t>
      </w:r>
      <w:r>
        <w:t>Lloyd Strickland și Harry R. Lewis. Leibniz on Binary: The Invention of Computer Arithmetic. MIT Press, 2022. ISBN 9780262544344.</w:t>
      </w:r>
    </w:p>
    <w:p>
      <w:pPr>
        <w:pStyle w:val="BookSourceNote"/>
      </w:pPr>
      <w:r>
        <w:t>Ediție de texte primare: a fost consultată descrierea editorială, nu întregul volum. Detaliile despre Bouvet și simbolism au fost confruntate preliminar cu sinteza „Binary number”, secțiunea „Leibniz” (https://en.wikipedia.org/wiki/Binary_number); verificarea integrală a manuscriselor nu este revendicată.</w:t>
      </w:r>
      <w:r>
        <w:br/>
      </w:r>
      <w:hyperlink r:id="rId25">
        <w:r>
          <w:rPr>
            <w:color w:val="276168"/>
            <w:sz w:val="18"/>
          </w:rPr>
          <w:t xml:space="preserve">https://mitpress.mit.edu/9780262544344/leibniz-on-binary/</w:t>
        </w:r>
      </w:hyperlink>
    </w:p>
    <w:p>
      <w:bookmarkStart w:id="135" w:name="ref_16"/>
      <w:pPr>
        <w:pStyle w:val="BookBibliography"/>
      </w:pPr>
      <w:bookmarkEnd w:id="135"/>
      <w:r>
        <w:rPr>
          <w:b/>
        </w:rPr>
        <w:t xml:space="preserve">[16] </w:t>
      </w:r>
      <w:r>
        <w:t>Leonhard Euler. Rettung der Göttlichen Offenbahrung gegen die Einwürfe der Freygeister. Berlin: Haude &amp; Spener, 1747. Euler Archive, E92.</w:t>
      </w:r>
    </w:p>
    <w:p>
      <w:pPr>
        <w:pStyle w:val="BookSourceNote"/>
      </w:pPr>
      <w:r>
        <w:t>Înregistrare academică a lucrării primare, University of the Pacific; stabilește existența și identitatea textului apologetic.</w:t>
      </w:r>
      <w:r>
        <w:br/>
      </w:r>
      <w:hyperlink r:id="rId26">
        <w:r>
          <w:rPr>
            <w:color w:val="276168"/>
            <w:sz w:val="18"/>
          </w:rPr>
          <w:t xml:space="preserve">https://scholarlycommons.pacific.edu/euler-works/92/</w:t>
        </w:r>
      </w:hyperlink>
    </w:p>
    <w:p>
      <w:bookmarkStart w:id="136" w:name="ref_17"/>
      <w:pPr>
        <w:pStyle w:val="BookBibliography"/>
      </w:pPr>
      <w:bookmarkEnd w:id="136"/>
      <w:r>
        <w:rPr>
          <w:b/>
        </w:rPr>
        <w:t xml:space="preserve">[17] </w:t>
      </w:r>
      <w:r>
        <w:t>Denis Diderot. Fifth Memoir or Letter on Resistance of Air to Movement of Pendulums (1748), traducere publicată în 2014.</w:t>
      </w:r>
    </w:p>
    <w:p>
      <w:pPr>
        <w:pStyle w:val="BookSourceNote"/>
      </w:pPr>
      <w:r>
        <w:t>Text primar în traducere; relevant pentru competențele matematice ale lui Diderot. Nu autentifică anecdota întâlnirii cu Euler.</w:t>
      </w:r>
      <w:r>
        <w:br/>
      </w:r>
      <w:hyperlink r:id="rId27">
        <w:r>
          <w:rPr>
            <w:color w:val="276168"/>
            <w:sz w:val="18"/>
          </w:rPr>
          <w:t xml:space="preserve">https://arxiv.org/abs/1409.7444</w:t>
        </w:r>
      </w:hyperlink>
    </w:p>
    <w:p>
      <w:bookmarkStart w:id="137" w:name="ref_18"/>
      <w:pPr>
        <w:pStyle w:val="BookBibliography"/>
      </w:pPr>
      <w:bookmarkEnd w:id="137"/>
      <w:r>
        <w:rPr>
          <w:b/>
        </w:rPr>
        <w:t xml:space="preserve">[18] </w:t>
      </w:r>
      <w:r>
        <w:t>MacTutor History of Mathematics Archive, University of St Andrews. „Georg Cantor”.</w:t>
      </w:r>
    </w:p>
    <w:p>
      <w:pPr>
        <w:pStyle w:val="BookSourceNote"/>
      </w:pPr>
      <w:r>
        <w:t>Biografie academică; dezvoltarea cercetării infinitului și a teoriei mulțimilor.</w:t>
      </w:r>
      <w:r>
        <w:br/>
      </w:r>
      <w:hyperlink r:id="rId28">
        <w:r>
          <w:rPr>
            <w:color w:val="276168"/>
            <w:sz w:val="18"/>
          </w:rPr>
          <w:t xml:space="preserve">https://mathshistory.st-andrews.ac.uk/Biographies/Cantor/</w:t>
        </w:r>
      </w:hyperlink>
    </w:p>
    <w:p>
      <w:bookmarkStart w:id="138" w:name="ref_19"/>
      <w:pPr>
        <w:pStyle w:val="BookBibliography"/>
      </w:pPr>
      <w:bookmarkEnd w:id="138"/>
      <w:r>
        <w:rPr>
          <w:b/>
        </w:rPr>
        <w:t xml:space="preserve">[19] </w:t>
      </w:r>
      <w:r>
        <w:t>Joseph Warren Dauben. Georg Cantor: His Mathematics and Philosophy of the Infinite. Ediție Princeton University Press, 1990; lucrare publicată inițial în 1979.</w:t>
      </w:r>
    </w:p>
    <w:p>
      <w:pPr>
        <w:pStyle w:val="BookSourceNote"/>
      </w:pPr>
      <w:r>
        <w:t>A fost consultată prezentarea editorială, nu monografia integrală. Corespondența cu Franzelin este relatată și în extrasul de carte „The Mathematician Who Tried to Convince the Catholic Church of Two Infinities”, WIRED, 4 noiembrie 2025 (https://www.wired.com/story/book-excerpt-the-great-math-war). Manuscrisele scrisorilor nu au fost colacionate.</w:t>
      </w:r>
      <w:r>
        <w:br/>
      </w:r>
      <w:hyperlink r:id="rId29">
        <w:r>
          <w:rPr>
            <w:color w:val="276168"/>
            <w:sz w:val="18"/>
          </w:rPr>
          <w:t xml:space="preserve">https://press.princeton.edu/books/paperback/9780691024479/georg-cantor</w:t>
        </w:r>
      </w:hyperlink>
    </w:p>
    <w:p>
      <w:bookmarkStart w:id="139" w:name="ref_20"/>
      <w:pPr>
        <w:pStyle w:val="BookBibliography"/>
      </w:pPr>
      <w:bookmarkEnd w:id="139"/>
      <w:r>
        <w:rPr>
          <w:b/>
        </w:rPr>
        <w:t xml:space="preserve">[20] </w:t>
      </w:r>
      <w:r>
        <w:t>Christoph Benzmüller și Bruno Woltzenlogel Paleo. „Formalization, Mechanization and Automation of Gödel’s Proof of God’s Existence”. 2013. arXiv:1308.4526.</w:t>
      </w:r>
    </w:p>
    <w:p>
      <w:pPr>
        <w:pStyle w:val="BookSourceNote"/>
      </w:pPr>
      <w:r>
        <w:t>Cercetare originală de formalizare; verificarea inferenței în sisteme logice, nu demonstrație empirică a premiselor metafizice.</w:t>
      </w:r>
      <w:r>
        <w:br/>
      </w:r>
      <w:hyperlink r:id="rId30">
        <w:r>
          <w:rPr>
            <w:color w:val="276168"/>
            <w:sz w:val="18"/>
          </w:rPr>
          <w:t xml:space="preserve">https://arxiv.org/abs/1308.4526</w:t>
        </w:r>
      </w:hyperlink>
    </w:p>
    <w:p>
      <w:bookmarkStart w:id="140" w:name="ref_21"/>
      <w:pPr>
        <w:pStyle w:val="BookBibliography"/>
      </w:pPr>
      <w:bookmarkEnd w:id="140"/>
      <w:r>
        <w:rPr>
          <w:b/>
        </w:rPr>
        <w:t xml:space="preserve">[21] </w:t>
      </w:r>
      <w:r>
        <w:t>Christoph Benzmüller. „A Simplified Variant of Gödel’s Ontological Argument”. 2022. arXiv:2202.06264.</w:t>
      </w:r>
    </w:p>
    <w:p>
      <w:pPr>
        <w:pStyle w:val="BookSourceNote"/>
      </w:pPr>
      <w:r>
        <w:t>Cercetare originală; variante axiomatice ale argumentului ontologic și evaluarea consecințelor lor.</w:t>
      </w:r>
      <w:r>
        <w:br/>
      </w:r>
      <w:hyperlink r:id="rId31">
        <w:r>
          <w:rPr>
            <w:color w:val="276168"/>
            <w:sz w:val="18"/>
          </w:rPr>
          <w:t xml:space="preserve">https://arxiv.org/abs/2202.06264</w:t>
        </w:r>
      </w:hyperlink>
    </w:p>
    <w:p>
      <w:bookmarkStart w:id="141" w:name="ref_22"/>
      <w:pPr>
        <w:pStyle w:val="BookBibliography"/>
      </w:pPr>
      <w:bookmarkEnd w:id="141"/>
      <w:r>
        <w:rPr>
          <w:b/>
        </w:rPr>
        <w:t xml:space="preserve">[22] </w:t>
      </w:r>
      <w:r>
        <w:t>Hao Wang. A Logical Journey: From Gödel to Philosophy. MIT Press, 1996.</w:t>
      </w:r>
    </w:p>
    <w:p>
      <w:pPr>
        <w:pStyle w:val="BookSourceNote"/>
      </w:pPr>
      <w:r>
        <w:t>Trimitere bibliografică la mărturii despre Gödel, consultate indirect prin secțiunea istorică a sintezei indicate. Volumul și corespondența primară nu au fost consultate integral; nu se autentifică aici citatele din scrisorile către mama sa.</w:t>
      </w:r>
      <w:r>
        <w:br/>
      </w:r>
      <w:hyperlink r:id="rId32">
        <w:r>
          <w:rPr>
            <w:color w:val="276168"/>
            <w:sz w:val="18"/>
          </w:rPr>
          <w:t xml:space="preserve">https://en.wikipedia.org/wiki/G%C3%B6del%27s_ontological_proof</w:t>
        </w:r>
      </w:hyperlink>
    </w:p>
    <w:p>
      <w:bookmarkStart w:id="142" w:name="ref_23"/>
      <w:pPr>
        <w:pStyle w:val="BookBibliography"/>
      </w:pPr>
      <w:bookmarkEnd w:id="142"/>
      <w:r>
        <w:rPr>
          <w:b/>
        </w:rPr>
        <w:t xml:space="preserve">[23] </w:t>
      </w:r>
      <w:r>
        <w:t>„Kurt Gödel”. Stanford Encyclopedia of Philosophy, versiunea online.</w:t>
      </w:r>
    </w:p>
    <w:p>
      <w:pPr>
        <w:pStyle w:val="BookSourceNote"/>
      </w:pPr>
      <w:r>
        <w:t>Sinteză academică; biografie intelectuală, incompletitudine și contextul argumentului ontologic.</w:t>
      </w:r>
      <w:r>
        <w:br/>
      </w:r>
      <w:hyperlink r:id="rId33">
        <w:r>
          <w:rPr>
            <w:color w:val="276168"/>
            <w:sz w:val="18"/>
          </w:rPr>
          <w:t xml:space="preserve">https://plato.stanford.edu/entries/goedel/</w:t>
        </w:r>
      </w:hyperlink>
    </w:p>
    <w:p>
      <w:bookmarkStart w:id="143" w:name="ref_24"/>
      <w:pPr>
        <w:pStyle w:val="BookBibliography"/>
      </w:pPr>
      <w:bookmarkEnd w:id="143"/>
      <w:r>
        <w:rPr>
          <w:b/>
        </w:rPr>
        <w:t xml:space="preserve">[24] </w:t>
      </w:r>
      <w:r>
        <w:t>„Nicolaus Copernicus”. Stanford Encyclopedia of Philosophy, versiunea online.</w:t>
      </w:r>
    </w:p>
    <w:p>
      <w:pPr>
        <w:pStyle w:val="BookSourceNote"/>
      </w:pPr>
      <w:r>
        <w:t>Sinteză academică; viață, model astronomic și context intelectual.</w:t>
      </w:r>
      <w:r>
        <w:br/>
      </w:r>
      <w:hyperlink r:id="rId34">
        <w:r>
          <w:rPr>
            <w:color w:val="276168"/>
            <w:sz w:val="18"/>
          </w:rPr>
          <w:t xml:space="preserve">https://plato.stanford.edu/entries/copernicus/</w:t>
        </w:r>
      </w:hyperlink>
    </w:p>
    <w:p>
      <w:bookmarkStart w:id="144" w:name="ref_25"/>
      <w:pPr>
        <w:pStyle w:val="BookBibliography"/>
      </w:pPr>
      <w:bookmarkEnd w:id="144"/>
      <w:r>
        <w:rPr>
          <w:b/>
        </w:rPr>
        <w:t xml:space="preserve">[25] </w:t>
      </w:r>
      <w:r>
        <w:t>„Galileo Galilei”. Stanford Encyclopedia of Philosophy, versiunea online.</w:t>
      </w:r>
    </w:p>
    <w:p>
      <w:pPr>
        <w:pStyle w:val="BookSourceNote"/>
      </w:pPr>
      <w:r>
        <w:t>Sinteză academică; cercetare, context intelectual și conflict instituțional. Nu este folosită pentru a certifica fiecare anecdotă astrologică din postare.</w:t>
      </w:r>
      <w:r>
        <w:br/>
      </w:r>
      <w:hyperlink r:id="rId35">
        <w:r>
          <w:rPr>
            <w:color w:val="276168"/>
            <w:sz w:val="18"/>
          </w:rPr>
          <w:t xml:space="preserve">https://plato.stanford.edu/entries/galileo/</w:t>
        </w:r>
      </w:hyperlink>
    </w:p>
    <w:p>
      <w:bookmarkStart w:id="145" w:name="ref_26"/>
      <w:pPr>
        <w:pStyle w:val="BookBibliography"/>
      </w:pPr>
      <w:bookmarkEnd w:id="145"/>
      <w:r>
        <w:rPr>
          <w:b/>
        </w:rPr>
        <w:t xml:space="preserve">[26] </w:t>
      </w:r>
      <w:r>
        <w:t>„Johannes Kepler”. Stanford Encyclopedia of Philosophy, versiunea online.</w:t>
      </w:r>
    </w:p>
    <w:p>
      <w:pPr>
        <w:pStyle w:val="BookSourceNote"/>
      </w:pPr>
      <w:r>
        <w:t>Sinteză academică; legăturile dintre geometrie, teologie, observații și explicații fizice.</w:t>
      </w:r>
      <w:r>
        <w:br/>
      </w:r>
      <w:hyperlink r:id="rId36">
        <w:r>
          <w:rPr>
            <w:color w:val="276168"/>
            <w:sz w:val="18"/>
          </w:rPr>
          <w:t xml:space="preserve">https://plato.stanford.edu/entries/kepler/</w:t>
        </w:r>
      </w:hyperlink>
    </w:p>
    <w:p>
      <w:bookmarkStart w:id="146" w:name="ref_27"/>
      <w:pPr>
        <w:pStyle w:val="BookBibliography"/>
      </w:pPr>
      <w:bookmarkEnd w:id="146"/>
      <w:r>
        <w:rPr>
          <w:b/>
        </w:rPr>
        <w:t xml:space="preserve">[27] </w:t>
      </w:r>
      <w:r>
        <w:t>MacTutor History of Mathematics Archive, University of St Andrews. „Johannes Kepler”.</w:t>
      </w:r>
    </w:p>
    <w:p>
      <w:pPr>
        <w:pStyle w:val="BookSourceNote"/>
      </w:pPr>
      <w:r>
        <w:t>Biografie academică; dezvoltarea modelelor, astrologia și armonia cosmologică.</w:t>
      </w:r>
      <w:r>
        <w:br/>
      </w:r>
      <w:hyperlink r:id="rId37">
        <w:r>
          <w:rPr>
            <w:color w:val="276168"/>
            <w:sz w:val="18"/>
          </w:rPr>
          <w:t xml:space="preserve">https://mathshistory.st-andrews.ac.uk/Biographies/Kepler/</w:t>
        </w:r>
      </w:hyperlink>
    </w:p>
    <w:p>
      <w:bookmarkStart w:id="147" w:name="ref_28"/>
      <w:pPr>
        <w:pStyle w:val="BookBibliography"/>
      </w:pPr>
      <w:bookmarkEnd w:id="147"/>
      <w:r>
        <w:rPr>
          <w:b/>
        </w:rPr>
        <w:t xml:space="preserve">[28] </w:t>
      </w:r>
      <w:r>
        <w:t>Isaac Newton. „General Scholium”, în Principia. Traducerea engleză Andrew Motte, 1729, ediție normalizată Newton Project.</w:t>
      </w:r>
    </w:p>
    <w:p>
      <w:pPr>
        <w:pStyle w:val="BookSourceNote"/>
      </w:pPr>
      <w:r>
        <w:t>Text primar efectiv consultat; discută ordinea lumii, divinitatea și metoda cercetării naturii.</w:t>
      </w:r>
      <w:r>
        <w:br/>
      </w:r>
      <w:hyperlink r:id="rId38">
        <w:r>
          <w:rPr>
            <w:color w:val="276168"/>
            <w:sz w:val="18"/>
          </w:rPr>
          <w:t xml:space="preserve">https://www.newtonproject.ox.ac.uk/view/texts/normalized/NATP00056</w:t>
        </w:r>
      </w:hyperlink>
    </w:p>
    <w:p>
      <w:bookmarkStart w:id="148" w:name="ref_29"/>
      <w:pPr>
        <w:pStyle w:val="BookBibliography"/>
      </w:pPr>
      <w:bookmarkEnd w:id="148"/>
      <w:r>
        <w:rPr>
          <w:b/>
        </w:rPr>
        <w:t xml:space="preserve">[29] </w:t>
      </w:r>
      <w:r>
        <w:t>MacTutor History of Mathematics Archive, University of St Andrews. „Michael Faraday”.</w:t>
      </w:r>
    </w:p>
    <w:p>
      <w:pPr>
        <w:pStyle w:val="BookSourceNote"/>
      </w:pPr>
      <w:r>
        <w:t>Biografie academică; contextul activității științifice și al apartenenței sandemaniene.</w:t>
      </w:r>
      <w:r>
        <w:br/>
      </w:r>
      <w:hyperlink r:id="rId39">
        <w:r>
          <w:rPr>
            <w:color w:val="276168"/>
            <w:sz w:val="18"/>
          </w:rPr>
          <w:t xml:space="preserve">https://mathshistory.st-andrews.ac.uk/Biographies/Faraday/</w:t>
        </w:r>
      </w:hyperlink>
    </w:p>
    <w:p>
      <w:bookmarkStart w:id="149" w:name="ref_30"/>
      <w:pPr>
        <w:pStyle w:val="BookBibliography"/>
      </w:pPr>
      <w:bookmarkEnd w:id="149"/>
      <w:r>
        <w:rPr>
          <w:b/>
        </w:rPr>
        <w:t xml:space="preserve">[30] </w:t>
      </w:r>
      <w:r>
        <w:t>Geoffrey Cantor. Michael Faraday: Sandemanian and Scientist. Macmillan, 1991.</w:t>
      </w:r>
    </w:p>
    <w:p>
      <w:pPr>
        <w:pStyle w:val="BookSourceNote"/>
      </w:pPr>
      <w:r>
        <w:t>Au fost consultate datele bibliografice și prezentarea volumului, nu textul integral. Trimitere pentru aprofundarea relației dintre comunitate, credință și cercetare.</w:t>
      </w:r>
      <w:r>
        <w:br/>
      </w:r>
      <w:hyperlink r:id="rId40">
        <w:r>
          <w:rPr>
            <w:color w:val="276168"/>
            <w:sz w:val="18"/>
          </w:rPr>
          <w:t xml:space="preserve">https://books.google.com/books/about/Michael_Faraday_Sandemanian_and_Scientis.html?id=ONTPzAEACAAJ</w:t>
        </w:r>
      </w:hyperlink>
    </w:p>
    <w:p>
      <w:bookmarkStart w:id="150" w:name="ref_31"/>
      <w:pPr>
        <w:pStyle w:val="BookBibliography"/>
      </w:pPr>
      <w:bookmarkEnd w:id="150"/>
      <w:r>
        <w:rPr>
          <w:b/>
        </w:rPr>
        <w:t xml:space="preserve">[31] </w:t>
      </w:r>
      <w:r>
        <w:t>MacTutor History of Mathematics Archive, University of St Andrews. „André-Marie Ampère”.</w:t>
      </w:r>
    </w:p>
    <w:p>
      <w:pPr>
        <w:pStyle w:val="BookSourceNote"/>
      </w:pPr>
      <w:r>
        <w:t>Biografie academică. Nu autentifică citatul particular despre Creator atribuit în postare.</w:t>
      </w:r>
      <w:r>
        <w:br/>
      </w:r>
      <w:hyperlink r:id="rId41">
        <w:r>
          <w:rPr>
            <w:color w:val="276168"/>
            <w:sz w:val="18"/>
          </w:rPr>
          <w:t xml:space="preserve">https://mathshistory.st-andrews.ac.uk/Biographies/Ampere/</w:t>
        </w:r>
      </w:hyperlink>
    </w:p>
    <w:p>
      <w:bookmarkStart w:id="151" w:name="ref_32"/>
      <w:pPr>
        <w:pStyle w:val="BookBibliography"/>
      </w:pPr>
      <w:bookmarkEnd w:id="151"/>
      <w:r>
        <w:rPr>
          <w:b/>
        </w:rPr>
        <w:t xml:space="preserve">[32] </w:t>
      </w:r>
      <w:r>
        <w:t>Mark McCartney. „‘Great are the works of the Lord’: The Christian faith of James Clerk Maxwell”. James Clerk Maxwell Foundation.</w:t>
      </w:r>
    </w:p>
    <w:p>
      <w:pPr>
        <w:pStyle w:val="BookSourceNote"/>
      </w:pPr>
      <w:r>
        <w:t>Studiu cu extrase din scrisori și trimiteri la Lewis Campbell și William Garnett, The Life of James Clerk Maxwell (1882). Au fost consultate extrasele și comentariul online, inclusiv pasajele privind Ellicott și Victoria Institute.</w:t>
      </w:r>
      <w:r>
        <w:br/>
      </w:r>
      <w:hyperlink r:id="rId42">
        <w:r>
          <w:rPr>
            <w:color w:val="276168"/>
            <w:sz w:val="18"/>
          </w:rPr>
          <w:t xml:space="preserve">https://clerkmaxwellfoundation.org/html/JCM_faith.html</w:t>
        </w:r>
      </w:hyperlink>
    </w:p>
    <w:p>
      <w:bookmarkStart w:id="152" w:name="ref_33"/>
      <w:pPr>
        <w:pStyle w:val="BookBibliography"/>
      </w:pPr>
      <w:bookmarkEnd w:id="152"/>
      <w:r>
        <w:rPr>
          <w:b/>
        </w:rPr>
        <w:t xml:space="preserve">[33] </w:t>
      </w:r>
      <w:r>
        <w:t>William Crookes. Researches in the Phenomena of Spiritualism. 1874.</w:t>
      </w:r>
    </w:p>
    <w:p>
      <w:pPr>
        <w:pStyle w:val="BookSourceNote"/>
      </w:pPr>
      <w:r>
        <w:t>A fost consultată înregistrarea unei reeditări a lucrării primare. Ea stabilește existența cercetărilor și publicației, nu validează fenomenele raportate și nu reprezintă o reanaliză a protocoalelor.</w:t>
      </w:r>
      <w:r>
        <w:br/>
      </w:r>
      <w:hyperlink r:id="rId43">
        <w:r>
          <w:rPr>
            <w:color w:val="276168"/>
            <w:sz w:val="18"/>
          </w:rPr>
          <w:t xml:space="preserve">https://books.google.com/books/about/Researches_in_the_Phenomena_of_Spiritual.html?id=kvq_0QEACAAJ</w:t>
        </w:r>
      </w:hyperlink>
    </w:p>
    <w:p>
      <w:bookmarkStart w:id="153" w:name="ref_34"/>
      <w:pPr>
        <w:pStyle w:val="BookBibliography"/>
      </w:pPr>
      <w:bookmarkEnd w:id="153"/>
      <w:r>
        <w:rPr>
          <w:b/>
        </w:rPr>
        <w:t xml:space="preserve">[34] </w:t>
      </w:r>
      <w:r>
        <w:t>„Philosophical Issues in Quantum Theory”. Stanford Encyclopedia of Philosophy, versiunea online.</w:t>
      </w:r>
    </w:p>
    <w:p>
      <w:pPr>
        <w:pStyle w:val="BookSourceNote"/>
      </w:pPr>
      <w:r>
        <w:t>Sinteză academică; formalism, măsurare și diversitatea problemelor de interpretare.</w:t>
      </w:r>
      <w:r>
        <w:br/>
      </w:r>
      <w:hyperlink r:id="rId44">
        <w:r>
          <w:rPr>
            <w:color w:val="276168"/>
            <w:sz w:val="18"/>
          </w:rPr>
          <w:t xml:space="preserve">https://plato.stanford.edu/entries/qt-issues/</w:t>
        </w:r>
      </w:hyperlink>
    </w:p>
    <w:p>
      <w:bookmarkStart w:id="154" w:name="ref_35"/>
      <w:pPr>
        <w:pStyle w:val="BookBibliography"/>
      </w:pPr>
      <w:bookmarkEnd w:id="154"/>
      <w:r>
        <w:rPr>
          <w:b/>
        </w:rPr>
        <w:t xml:space="preserve">[35] </w:t>
      </w:r>
      <w:r>
        <w:t>Harald Atmanspacher. „Quantum Approaches to Consciousness”. Stanford Encyclopedia of Philosophy, versiunea online.</w:t>
      </w:r>
    </w:p>
    <w:p>
      <w:pPr>
        <w:pStyle w:val="BookSourceNote"/>
      </w:pPr>
      <w:r>
        <w:t>Sinteză academică; clasificarea abordărilor și distincția dintre formalism fizic, analogie și propuneri psihofizice.</w:t>
      </w:r>
      <w:r>
        <w:br/>
      </w:r>
      <w:hyperlink r:id="rId45">
        <w:r>
          <w:rPr>
            <w:color w:val="276168"/>
            <w:sz w:val="18"/>
          </w:rPr>
          <w:t xml:space="preserve">https://plato.stanford.edu/entries/qt-consciousness/</w:t>
        </w:r>
      </w:hyperlink>
    </w:p>
    <w:p>
      <w:bookmarkStart w:id="155" w:name="ref_36"/>
      <w:pPr>
        <w:pStyle w:val="BookBibliography"/>
      </w:pPr>
      <w:bookmarkEnd w:id="155"/>
      <w:r>
        <w:rPr>
          <w:b/>
        </w:rPr>
        <w:t xml:space="preserve">[36] </w:t>
      </w:r>
      <w:r>
        <w:t>MacTutor History of Mathematics Archive, University of St Andrews. „Max Planck”.</w:t>
      </w:r>
    </w:p>
    <w:p>
      <w:pPr>
        <w:pStyle w:val="BookSourceNote"/>
      </w:pPr>
      <w:r>
        <w:t>Biografie academică; nu autentifică pasajul atribuit discursului din 1944. Acel pasaj rămâne separat, cu statut documentar neconfirmat în prezenta lucrare.</w:t>
      </w:r>
      <w:r>
        <w:br/>
      </w:r>
      <w:hyperlink r:id="rId46">
        <w:r>
          <w:rPr>
            <w:color w:val="276168"/>
            <w:sz w:val="18"/>
          </w:rPr>
          <w:t xml:space="preserve">https://mathshistory.st-andrews.ac.uk/Biographies/Planck/</w:t>
        </w:r>
      </w:hyperlink>
    </w:p>
    <w:p>
      <w:bookmarkStart w:id="156" w:name="ref_37"/>
      <w:pPr>
        <w:pStyle w:val="BookBibliography"/>
      </w:pPr>
      <w:bookmarkEnd w:id="156"/>
      <w:r>
        <w:rPr>
          <w:b/>
        </w:rPr>
        <w:t xml:space="preserve">[37] </w:t>
      </w:r>
      <w:r>
        <w:t>MacTutor History of Mathematics Archive, University of St Andrews. „Niels Henrik David Bohr”.</w:t>
      </w:r>
    </w:p>
    <w:p>
      <w:pPr>
        <w:pStyle w:val="BookSourceNote"/>
      </w:pPr>
      <w:r>
        <w:t>Biografie academică; complementaritatea și preocupările din afara formulării strict fizice.</w:t>
      </w:r>
      <w:r>
        <w:br/>
      </w:r>
      <w:hyperlink r:id="rId47">
        <w:r>
          <w:rPr>
            <w:color w:val="276168"/>
            <w:sz w:val="18"/>
          </w:rPr>
          <w:t xml:space="preserve">https://mathshistory.st-andrews.ac.uk/Biographies/Bohr_Niels/</w:t>
        </w:r>
      </w:hyperlink>
    </w:p>
    <w:p>
      <w:bookmarkStart w:id="157" w:name="ref_38"/>
      <w:pPr>
        <w:pStyle w:val="BookBibliography"/>
      </w:pPr>
      <w:bookmarkEnd w:id="157"/>
      <w:r>
        <w:rPr>
          <w:b/>
        </w:rPr>
        <w:t xml:space="preserve">[38] </w:t>
      </w:r>
      <w:r>
        <w:t>„Niels Bohr”, secțiunea „Later life”. Wikipedia, versiunea online consultată.</w:t>
      </w:r>
    </w:p>
    <w:p>
      <w:pPr>
        <w:pStyle w:val="BookSourceNote"/>
      </w:pPr>
      <w:r>
        <w:t>Sursă secundară folosită numai pentru detaliul heraldic din 1947; nu constituie sursă de validare a interpretărilor cuantice sau religioase.</w:t>
      </w:r>
      <w:r>
        <w:br/>
      </w:r>
      <w:hyperlink r:id="rId48">
        <w:r>
          <w:rPr>
            <w:color w:val="276168"/>
            <w:sz w:val="18"/>
          </w:rPr>
          <w:t xml:space="preserve">https://en.wikipedia.org/wiki/Niels_Bohr</w:t>
        </w:r>
      </w:hyperlink>
    </w:p>
    <w:p>
      <w:bookmarkStart w:id="158" w:name="ref_39"/>
      <w:pPr>
        <w:pStyle w:val="BookBibliography"/>
      </w:pPr>
      <w:bookmarkEnd w:id="158"/>
      <w:r>
        <w:rPr>
          <w:b/>
        </w:rPr>
        <w:t xml:space="preserve">[39] </w:t>
      </w:r>
      <w:r>
        <w:t>Werner Heisenberg. Das Naturgesetz und die Struktur der Materie (1967); traducere engleză: Natural Law and the Structure of Matter (1981).</w:t>
      </w:r>
    </w:p>
    <w:p>
      <w:pPr>
        <w:pStyle w:val="BookSourceNote"/>
      </w:pPr>
      <w:r>
        <w:t>Pasajul despre Platon, forme și limbaj matematic a fost consultat în reproducerea și atribuirea de pe Wikiquote; ediția integrală nu a fost colacionată. Nu este atribuit aici, ca citat exact, volumului Physics and Philosophy din 1958.</w:t>
      </w:r>
      <w:r>
        <w:br/>
      </w:r>
      <w:hyperlink r:id="rId49">
        <w:r>
          <w:rPr>
            <w:color w:val="276168"/>
            <w:sz w:val="18"/>
          </w:rPr>
          <w:t xml:space="preserve">https://en.wikiquote.org/wiki/Werner_Heisenberg</w:t>
        </w:r>
      </w:hyperlink>
    </w:p>
    <w:p>
      <w:bookmarkStart w:id="159" w:name="ref_40"/>
      <w:pPr>
        <w:pStyle w:val="BookBibliography"/>
      </w:pPr>
      <w:bookmarkEnd w:id="159"/>
      <w:r>
        <w:rPr>
          <w:b/>
        </w:rPr>
        <w:t xml:space="preserve">[40] </w:t>
      </w:r>
      <w:r>
        <w:t>C. A. Meier, editor. Atom and Archetype: The Pauli/Jung Letters, 1932–1958. Traducere David Roscoe. Ediție actualizată, Princeton University Press, 2014.</w:t>
      </w:r>
    </w:p>
    <w:p>
      <w:pPr>
        <w:pStyle w:val="BookSourceNote"/>
      </w:pPr>
      <w:r>
        <w:t>Au fost consultate datele editoriale și prezentarea, nu întreaga corespondență. Interpretarea psihofizică este examinată prin sinteza academică Atmanspacher, citată separat.</w:t>
      </w:r>
      <w:r>
        <w:br/>
      </w:r>
      <w:hyperlink r:id="rId50">
        <w:r>
          <w:rPr>
            <w:color w:val="276168"/>
            <w:sz w:val="18"/>
          </w:rPr>
          <w:t xml:space="preserve">https://books.google.com/books/about/Atom_and_Archetype.html?id=NNAPngEACAAJ</w:t>
        </w:r>
      </w:hyperlink>
    </w:p>
    <w:p>
      <w:bookmarkStart w:id="160" w:name="ref_41"/>
      <w:pPr>
        <w:pStyle w:val="BookBibliography"/>
      </w:pPr>
      <w:bookmarkEnd w:id="160"/>
      <w:r>
        <w:rPr>
          <w:b/>
        </w:rPr>
        <w:t xml:space="preserve">[41] </w:t>
      </w:r>
      <w:r>
        <w:t>„Bohmian Mechanics”. Stanford Encyclopedia of Philosophy, versiunea online.</w:t>
      </w:r>
    </w:p>
    <w:p>
      <w:pPr>
        <w:pStyle w:val="BookSourceNote"/>
      </w:pPr>
      <w:r>
        <w:t>Sinteză academică; structura teoriei și distincția față de afirmațiile filosofice mai largi despre întreg.</w:t>
      </w:r>
      <w:r>
        <w:br/>
      </w:r>
      <w:hyperlink r:id="rId51">
        <w:r>
          <w:rPr>
            <w:color w:val="276168"/>
            <w:sz w:val="18"/>
          </w:rPr>
          <w:t xml:space="preserve">https://plato.stanford.edu/entries/qm-bohm/</w:t>
        </w:r>
      </w:hyperlink>
    </w:p>
    <w:p>
      <w:bookmarkStart w:id="161" w:name="ref_42"/>
      <w:pPr>
        <w:pStyle w:val="BookBibliography"/>
      </w:pPr>
      <w:bookmarkEnd w:id="161"/>
      <w:r>
        <w:rPr>
          <w:b/>
        </w:rPr>
        <w:t xml:space="preserve">[42] </w:t>
      </w:r>
      <w:r>
        <w:t>David Bohm. Wholeness and the Implicate Order. Routledge &amp; Kegan Paul, 1980.</w:t>
      </w:r>
    </w:p>
    <w:p>
      <w:pPr>
        <w:pStyle w:val="BookSourceNote"/>
      </w:pPr>
      <w:r>
        <w:t>Referință bibliografică pentru conceptul de ordine implicită, nu lectură integrală revendicată aici. Delimitarea față de mecanica bohmiană se sprijină pe sursa academică citată separat.</w:t>
      </w:r>
    </w:p>
    <w:p>
      <w:bookmarkStart w:id="162" w:name="ref_43"/>
      <w:pPr>
        <w:pStyle w:val="BookBibliography"/>
      </w:pPr>
      <w:bookmarkEnd w:id="162"/>
      <w:r>
        <w:rPr>
          <w:b/>
        </w:rPr>
        <w:t xml:space="preserve">[43] </w:t>
      </w:r>
      <w:r>
        <w:t>Erwin Schrödinger. What Is Life? (1944), epilogul filosofic; extras reprodus de Information Philosopher.</w:t>
      </w:r>
    </w:p>
    <w:p>
      <w:pPr>
        <w:pStyle w:val="BookSourceNote"/>
      </w:pPr>
      <w:r>
        <w:t>Text primar consultat în reproducere online, secțiunea „On Determinism and Free Will”. Este folosit numai epilogul citat, nu comentariile fizice ale site-ului.</w:t>
      </w:r>
      <w:r>
        <w:br/>
      </w:r>
      <w:hyperlink r:id="rId52">
        <w:r>
          <w:rPr>
            <w:color w:val="276168"/>
            <w:sz w:val="18"/>
          </w:rPr>
          <w:t xml:space="preserve">https://www.informationphilosopher.com/solutions/scientists/schrodinger/</w:t>
        </w:r>
      </w:hyperlink>
    </w:p>
    <w:p>
      <w:bookmarkStart w:id="163" w:name="ref_44"/>
      <w:pPr>
        <w:pStyle w:val="BookBibliography"/>
      </w:pPr>
      <w:bookmarkEnd w:id="163"/>
      <w:r>
        <w:rPr>
          <w:b/>
        </w:rPr>
        <w:t xml:space="preserve">[44] </w:t>
      </w:r>
      <w:r>
        <w:t>„Consciousness”. Stanford Encyclopedia of Philosophy, versiunea online.</w:t>
      </w:r>
    </w:p>
    <w:p>
      <w:pPr>
        <w:pStyle w:val="BookSourceNote"/>
      </w:pPr>
      <w:r>
        <w:t>Sinteză academică; problemele explicării experienței subiective și diversitatea pozițiilor filosofice.</w:t>
      </w:r>
      <w:r>
        <w:br/>
      </w:r>
      <w:hyperlink r:id="rId53">
        <w:r>
          <w:rPr>
            <w:color w:val="276168"/>
            <w:sz w:val="18"/>
          </w:rPr>
          <w:t xml:space="preserve">https://plato.stanford.edu/entries/consciousness/</w:t>
        </w:r>
      </w:hyperlink>
    </w:p>
    <w:p>
      <w:bookmarkStart w:id="164" w:name="ref_45"/>
      <w:pPr>
        <w:pStyle w:val="BookBibliography"/>
      </w:pPr>
      <w:bookmarkEnd w:id="164"/>
      <w:r>
        <w:rPr>
          <w:b/>
        </w:rPr>
        <w:t xml:space="preserve">[45] </w:t>
      </w:r>
      <w:r>
        <w:t>Walter Pagel. Joan Baptista Van Helmont: Reformer of Science and Medicine. Cambridge University Press, 1982.</w:t>
      </w:r>
    </w:p>
    <w:p>
      <w:pPr>
        <w:pStyle w:val="BookSourceNote"/>
      </w:pPr>
      <w:r>
        <w:t>Au fost consultate datele bibliografice și prezentarea editorială, nu monografia integrală. Citatul particular din postare nu este autentificat prin această referință.</w:t>
      </w:r>
      <w:r>
        <w:br/>
      </w:r>
      <w:hyperlink r:id="rId54">
        <w:r>
          <w:rPr>
            <w:color w:val="276168"/>
            <w:sz w:val="18"/>
          </w:rPr>
          <w:t xml:space="preserve">https://books.google.com/books/about/Joan_Baptista_Van_Helmont.html?id=VTdOAQAAIAAJ</w:t>
        </w:r>
      </w:hyperlink>
    </w:p>
    <w:p>
      <w:bookmarkStart w:id="165" w:name="ref_46"/>
      <w:pPr>
        <w:pStyle w:val="BookBibliography"/>
      </w:pPr>
      <w:bookmarkEnd w:id="165"/>
      <w:r>
        <w:rPr>
          <w:b/>
        </w:rPr>
        <w:t xml:space="preserve">[46] </w:t>
      </w:r>
      <w:r>
        <w:t>Robert Boyle Project, Birkbeck, University of London. „Introduction”.</w:t>
      </w:r>
    </w:p>
    <w:p>
      <w:pPr>
        <w:pStyle w:val="BookSourceNote"/>
      </w:pPr>
      <w:r>
        <w:t>Sinteză a proiectului academic; experiment, mecanism corpuscular, alchimie, religie și instituirea Boyle Lectures.</w:t>
      </w:r>
      <w:r>
        <w:br/>
      </w:r>
      <w:hyperlink r:id="rId55">
        <w:r>
          <w:rPr>
            <w:color w:val="276168"/>
            <w:sz w:val="18"/>
          </w:rPr>
          <w:t xml:space="preserve">https://boyle.bbk.ac.uk/learn--introduction.html</w:t>
        </w:r>
      </w:hyperlink>
    </w:p>
    <w:p>
      <w:bookmarkStart w:id="166" w:name="ref_47"/>
      <w:pPr>
        <w:pStyle w:val="BookBibliography"/>
      </w:pPr>
      <w:bookmarkEnd w:id="166"/>
      <w:r>
        <w:rPr>
          <w:b/>
        </w:rPr>
        <w:t xml:space="preserve">[47] </w:t>
      </w:r>
      <w:r>
        <w:t>Robert Boyle. Text despre elasticitatea aerului, 1662, extras în colecția de texte istorice a lui Carmen Giunta, Le Moyne College.</w:t>
      </w:r>
    </w:p>
    <w:p>
      <w:pPr>
        <w:pStyle w:val="BookSourceNote"/>
      </w:pPr>
      <w:r>
        <w:t>Text primar în reproducere academică; raporturile experimentale dintre presiune și volum.</w:t>
      </w:r>
      <w:r>
        <w:br/>
      </w:r>
      <w:hyperlink r:id="rId56">
        <w:r>
          <w:rPr>
            <w:color w:val="276168"/>
            <w:sz w:val="18"/>
          </w:rPr>
          <w:t xml:space="preserve">https://web.lemoyne.edu/giunta/boyle.html</w:t>
        </w:r>
      </w:hyperlink>
    </w:p>
    <w:p>
      <w:bookmarkStart w:id="167" w:name="ref_48"/>
      <w:pPr>
        <w:pStyle w:val="BookBibliography"/>
      </w:pPr>
      <w:bookmarkEnd w:id="167"/>
      <w:r>
        <w:rPr>
          <w:b/>
        </w:rPr>
        <w:t xml:space="preserve">[48] </w:t>
      </w:r>
      <w:r>
        <w:t>Louis Pasteur. „Discours de réception”, Académie française, 27 aprilie 1882.</w:t>
      </w:r>
    </w:p>
    <w:p>
      <w:pPr>
        <w:pStyle w:val="BookSourceNote"/>
      </w:pPr>
      <w:r>
        <w:t>Text primar efectiv consultat. Susține analiza raportului dintre spiritualism și exigența metodei experimentale, nu anecdotele neidentificate din postare.</w:t>
      </w:r>
      <w:r>
        <w:br/>
      </w:r>
      <w:hyperlink r:id="rId57">
        <w:r>
          <w:rPr>
            <w:color w:val="276168"/>
            <w:sz w:val="18"/>
          </w:rPr>
          <w:t xml:space="preserve">https://www.academie-francaise.fr/discours-de-reception-de-louis-pasteur</w:t>
        </w:r>
      </w:hyperlink>
    </w:p>
    <w:p>
      <w:bookmarkStart w:id="168" w:name="ref_49"/>
      <w:pPr>
        <w:pStyle w:val="BookBibliography"/>
      </w:pPr>
      <w:bookmarkEnd w:id="168"/>
      <w:r>
        <w:rPr>
          <w:b/>
        </w:rPr>
        <w:t xml:space="preserve">[49] </w:t>
      </w:r>
      <w:r>
        <w:t>„Cosmological Argument”. Stanford Encyclopedia of Philosophy, versiunea online.</w:t>
      </w:r>
    </w:p>
    <w:p>
      <w:pPr>
        <w:pStyle w:val="BookSourceNote"/>
      </w:pPr>
      <w:r>
        <w:t>Sinteză academică; familii de argumente, premise și obiecții. Reconstrucțiile din carte sunt explicații conceptuale, nu demonstrații originale ale existenței lui Dumnezeu.</w:t>
      </w:r>
      <w:r>
        <w:br/>
      </w:r>
      <w:hyperlink r:id="rId58">
        <w:r>
          <w:rPr>
            <w:color w:val="276168"/>
            <w:sz w:val="18"/>
          </w:rPr>
          <w:t xml:space="preserve">https://plato.stanford.edu/entries/cosmological-argument/</w:t>
        </w:r>
      </w:hyperlink>
    </w:p>
    <w:p>
      <w:bookmarkStart w:id="169" w:name="ref_50"/>
      <w:pPr>
        <w:pStyle w:val="BookBibliography"/>
      </w:pPr>
      <w:bookmarkEnd w:id="169"/>
      <w:r>
        <w:rPr>
          <w:b/>
        </w:rPr>
        <w:t xml:space="preserve">[50] </w:t>
      </w:r>
      <w:r>
        <w:t>„Fine-Tuning”. Stanford Encyclopedia of Philosophy, versiunea online.</w:t>
      </w:r>
    </w:p>
    <w:p>
      <w:pPr>
        <w:pStyle w:val="BookSourceNote"/>
      </w:pPr>
      <w:r>
        <w:t>Sinteză academică; interpretarea sensibilităților fizice și dificultățile comparațiilor probabilistice.</w:t>
      </w:r>
      <w:r>
        <w:br/>
      </w:r>
      <w:hyperlink r:id="rId59">
        <w:r>
          <w:rPr>
            <w:color w:val="276168"/>
            <w:sz w:val="18"/>
          </w:rPr>
          <w:t xml:space="preserve">https://plato.stanford.edu/entries/fine-tuning/</w:t>
        </w:r>
      </w:hyperlink>
    </w:p>
    <w:p>
      <w:bookmarkStart w:id="170" w:name="ref_51"/>
      <w:pPr>
        <w:pStyle w:val="BookBibliography"/>
      </w:pPr>
      <w:bookmarkEnd w:id="170"/>
      <w:r>
        <w:rPr>
          <w:b/>
        </w:rPr>
        <w:t xml:space="preserve">[51] </w:t>
      </w:r>
      <w:r>
        <w:t>„The Problem of Evil”. Stanford Encyclopedia of Philosophy, versiunea online.</w:t>
      </w:r>
    </w:p>
    <w:p>
      <w:pPr>
        <w:pStyle w:val="BookSourceNote"/>
      </w:pPr>
      <w:r>
        <w:t>Sinteză academică; distincția dintre argumente logice și evidențiale și principalele tipuri de răspuns.</w:t>
      </w:r>
      <w:r>
        <w:br/>
      </w:r>
      <w:hyperlink r:id="rId60">
        <w:r>
          <w:rPr>
            <w:color w:val="276168"/>
            <w:sz w:val="18"/>
          </w:rPr>
          <w:t xml:space="preserve">https://plato.stanford.edu/entries/evil/</w:t>
        </w:r>
      </w:hyperlink>
    </w:p>
    <w:p>
      <w:bookmarkStart w:id="171" w:name="ref_52"/>
      <w:pPr>
        <w:pStyle w:val="BookBibliography"/>
      </w:pPr>
      <w:bookmarkEnd w:id="171"/>
      <w:r>
        <w:rPr>
          <w:b/>
        </w:rPr>
        <w:t xml:space="preserve">[52] </w:t>
      </w:r>
      <w:r>
        <w:t>„Divine Hiddenness”. Stanford Encyclopedia of Philosophy, versiunea online.</w:t>
      </w:r>
    </w:p>
    <w:p>
      <w:pPr>
        <w:pStyle w:val="BookSourceNote"/>
      </w:pPr>
      <w:r>
        <w:t>Sinteză academică; necredința fără rezistență, relația cu divinul și răspunsurile filosofice.</w:t>
      </w:r>
      <w:r>
        <w:br/>
      </w:r>
      <w:hyperlink r:id="rId61">
        <w:r>
          <w:rPr>
            <w:color w:val="276168"/>
            <w:sz w:val="18"/>
          </w:rPr>
          <w:t xml:space="preserve">https://plato.stanford.edu/entries/divine-hiddenness/</w:t>
        </w:r>
      </w:hyperlink>
    </w:p>
    <w:p>
      <w:bookmarkStart w:id="172" w:name="ref_53"/>
      <w:pPr>
        <w:pStyle w:val="BookBibliography"/>
      </w:pPr>
      <w:bookmarkEnd w:id="172"/>
      <w:r>
        <w:rPr>
          <w:b/>
        </w:rPr>
        <w:t xml:space="preserve">[53] </w:t>
      </w:r>
      <w:r>
        <w:t>„Religious Experience”. Stanford Encyclopedia of Philosophy, versiunea online.</w:t>
      </w:r>
    </w:p>
    <w:p>
      <w:pPr>
        <w:pStyle w:val="BookSourceNote"/>
      </w:pPr>
      <w:r>
        <w:t>Sinteză academică; justificare personală, mărturie, mecanisme naturale și diversitatea experiențelor religioase.</w:t>
      </w:r>
      <w:r>
        <w:br/>
      </w:r>
      <w:hyperlink r:id="rId62">
        <w:r>
          <w:rPr>
            <w:color w:val="276168"/>
            <w:sz w:val="18"/>
          </w:rPr>
          <w:t xml:space="preserve">https://plato.stanford.edu/entries/religious-experience/</w:t>
        </w:r>
      </w:hyperlink>
    </w:p>
    <w:sectPr w:rsidR="00FC693F" w:rsidRPr="0006063C" w:rsidSect="00034616">
      <w:headerReference w:type="default" r:id="rId9"/>
      <w:footerReference w:type="default" r:id="rId10"/>
      <w:pgSz w:w="11906" w:h="16838"/>
      <w:pgMar w:top="1162" w:right="1191" w:bottom="1134" w:left="1276" w:header="510"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5" w:color="CBD6D6"/>
      </w:pBdr>
    </w:pPr>
    <w:r>
      <w:t>ÎNTRE CREDINȚĂ ȘI DOVADĂ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02"/>
      <w:ind w:firstLine="272"/>
      <w:jc w:val="both"/>
    </w:pPr>
    <w:rPr>
      <w:rFonts w:ascii="Noto Serif" w:hAnsi="Noto Serif" w:eastAsia="Noto Serif" w:cs="Noto Serif"/>
      <w:b w:val="0"/>
      <w:color w:val="202A2D"/>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Lato" w:hAnsi="Lato" w:eastAsia="Lato" w:cs="Lato"/>
      <w:b w:val="0"/>
      <w:color w:val="67777A"/>
      <w:sz w:val="17"/>
      <w:lang w:val="ro-R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Lato" w:hAnsi="Lato" w:eastAsia="Lato" w:cs="Lato"/>
      <w:b w:val="0"/>
      <w:color w:val="67777A"/>
      <w:sz w:val="17"/>
      <w:lang w:val="ro-R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340" w:line="259" w:lineRule="auto"/>
      <w:ind w:firstLine="0"/>
      <w:jc w:val="left"/>
      <w:outlineLvl w:val="0"/>
    </w:pPr>
    <w:rPr>
      <w:rFonts w:asciiTheme="majorHAnsi" w:eastAsiaTheme="majorEastAsia" w:hAnsiTheme="majorHAnsi" w:cstheme="majorBidi" w:ascii="Lato" w:hAnsi="Lato" w:eastAsia="Lato" w:cs="Lato"/>
      <w:b/>
      <w:bCs/>
      <w:color w:val="16333D"/>
      <w:sz w:val="38"/>
      <w:szCs w:val="28"/>
      <w:lang w:val="ro-RO"/>
    </w:rPr>
  </w:style>
  <w:style w:type="paragraph" w:styleId="Heading2">
    <w:name w:val="heading 2"/>
    <w:basedOn w:val="Normal"/>
    <w:next w:val="Normal"/>
    <w:link w:val="Heading2Char"/>
    <w:uiPriority w:val="9"/>
    <w:unhideWhenUsed/>
    <w:qFormat/>
    <w:rsid w:val="00FC693F"/>
    <w:pPr>
      <w:keepNext/>
      <w:keepLines/>
      <w:spacing w:before="340" w:after="180" w:line="259" w:lineRule="auto"/>
      <w:ind w:firstLine="0"/>
      <w:jc w:val="left"/>
      <w:outlineLvl w:val="1"/>
    </w:pPr>
    <w:rPr>
      <w:rFonts w:asciiTheme="majorHAnsi" w:eastAsiaTheme="majorEastAsia" w:hAnsiTheme="majorHAnsi" w:cstheme="majorBidi" w:ascii="Lato" w:hAnsi="Lato" w:eastAsia="Lato" w:cs="Lato"/>
      <w:b/>
      <w:bCs/>
      <w:color w:val="16333D"/>
      <w:sz w:val="26"/>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OC">
    <w:name w:val="Book TOC"/>
    <w:basedOn w:val="Normal"/>
    <w:pPr>
      <w:spacing w:after="140" w:line="264" w:lineRule="auto"/>
      <w:ind w:firstLine="0"/>
      <w:jc w:val="left"/>
    </w:pPr>
    <w:rPr>
      <w:rFonts w:ascii="Lato" w:hAnsi="Lato" w:eastAsia="Lato" w:cs="Lato"/>
      <w:b w:val="0"/>
      <w:color w:val="16333D"/>
      <w:sz w:val="23"/>
      <w:lang w:val="ro-RO"/>
    </w:rPr>
  </w:style>
  <w:style w:type="paragraph" w:customStyle="1" w:styleId="BookKicker">
    <w:name w:val="Book Kicker"/>
    <w:basedOn w:val="Normal"/>
    <w:pPr>
      <w:spacing w:after="140" w:line="264" w:lineRule="auto"/>
      <w:ind w:firstLine="0"/>
      <w:jc w:val="left"/>
    </w:pPr>
    <w:rPr>
      <w:rFonts w:ascii="Lato" w:hAnsi="Lato" w:eastAsia="Lato" w:cs="Lato"/>
      <w:b/>
      <w:color w:val="276168"/>
      <w:sz w:val="20"/>
      <w:lang w:val="ro-RO"/>
    </w:rPr>
  </w:style>
  <w:style w:type="paragraph" w:customStyle="1" w:styleId="BookVerdict">
    <w:name w:val="Book Verdict"/>
    <w:basedOn w:val="Normal"/>
    <w:pPr>
      <w:spacing w:after="200" w:line="264" w:lineRule="auto" w:before="60"/>
      <w:ind w:firstLine="0"/>
    </w:pPr>
    <w:rPr>
      <w:rFonts w:ascii="Noto Serif" w:hAnsi="Noto Serif" w:eastAsia="Noto Serif" w:cs="Noto Serif"/>
      <w:b w:val="0"/>
      <w:color w:val="276168"/>
      <w:sz w:val="21"/>
      <w:lang w:val="ro-RO"/>
    </w:rPr>
  </w:style>
  <w:style w:type="paragraph" w:customStyle="1" w:styleId="BookBibliography">
    <w:name w:val="Book Bibliography"/>
    <w:basedOn w:val="Normal"/>
    <w:pPr>
      <w:keepNext/>
      <w:spacing w:after="60" w:line="264" w:lineRule="auto"/>
      <w:ind w:firstLine="0"/>
      <w:jc w:val="left"/>
    </w:pPr>
    <w:rPr>
      <w:rFonts w:ascii="Noto Serif" w:hAnsi="Noto Serif" w:eastAsia="Noto Serif" w:cs="Noto Serif"/>
      <w:b w:val="0"/>
      <w:color w:val="202A2D"/>
      <w:sz w:val="19"/>
      <w:lang w:val="ro-RO"/>
    </w:rPr>
  </w:style>
  <w:style w:type="paragraph" w:customStyle="1" w:styleId="BookSourceNote">
    <w:name w:val="Book Source Note"/>
    <w:basedOn w:val="Normal"/>
    <w:pPr>
      <w:spacing w:after="200" w:line="264" w:lineRule="auto"/>
      <w:ind w:firstLine="0"/>
      <w:jc w:val="left"/>
    </w:pPr>
    <w:rPr>
      <w:rFonts w:ascii="Lato" w:hAnsi="Lato" w:eastAsia="Lato" w:cs="Lato"/>
      <w:b w:val="0"/>
      <w:color w:val="67777A"/>
      <w:sz w:val="18"/>
      <w:lang w:val="ro-RO"/>
    </w:rPr>
  </w:style>
  <w:style w:type="paragraph" w:customStyle="1" w:styleId="BookSmall">
    <w:name w:val="Book Small"/>
    <w:basedOn w:val="Normal"/>
    <w:pPr>
      <w:spacing w:after="140" w:line="264" w:lineRule="auto"/>
      <w:ind w:firstLine="0"/>
      <w:jc w:val="left"/>
    </w:pPr>
    <w:rPr>
      <w:rFonts w:ascii="Lato" w:hAnsi="Lato" w:eastAsia="Lato" w:cs="Lato"/>
      <w:b w:val="0"/>
      <w:color w:val="67777A"/>
      <w:sz w:val="20"/>
      <w:lang w:val="ro-RO"/>
    </w:rPr>
  </w:style>
  <w:style w:type="paragraph" w:customStyle="1" w:styleId="BookOpening">
    <w:name w:val="Book Opening"/>
    <w:basedOn w:val="Normal"/>
    <w:pPr>
      <w:spacing w:after="140" w:line="264" w:lineRule="auto"/>
      <w:ind w:firstLine="0"/>
    </w:pPr>
    <w:rPr>
      <w:rFonts w:ascii="Noto Serif" w:hAnsi="Noto Serif" w:eastAsia="Noto Serif" w:cs="Noto Serif"/>
      <w:b w:val="0"/>
      <w:color w:val="202A2D"/>
      <w:sz w:val="22"/>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to.stanford.edu/entries/religion-science/" TargetMode="External"/><Relationship Id="rId12" Type="http://schemas.openxmlformats.org/officeDocument/2006/relationships/hyperlink" Target="https://plato.stanford.edu/entries/atheism-agnosticism/" TargetMode="External"/><Relationship Id="rId13" Type="http://schemas.openxmlformats.org/officeDocument/2006/relationships/hyperlink" Target="https://mathcs.clarku.edu/~djoyce/elements/bookI/propI47.html" TargetMode="External"/><Relationship Id="rId14" Type="http://schemas.openxmlformats.org/officeDocument/2006/relationships/hyperlink" Target="https://www.newtonproject.ox.ac.uk/" TargetMode="External"/><Relationship Id="rId15" Type="http://schemas.openxmlformats.org/officeDocument/2006/relationships/hyperlink" Target="https://www.newtonproject.ox.ac.uk/his-life-and-work-at-a-glance" TargetMode="External"/><Relationship Id="rId16" Type="http://schemas.openxmlformats.org/officeDocument/2006/relationships/hyperlink" Target="https://plato.stanford.edu/entries/physicalism/" TargetMode="External"/><Relationship Id="rId17" Type="http://schemas.openxmlformats.org/officeDocument/2006/relationships/hyperlink" Target="https://classics.mit.edu/Aristotle/soul.1.i.html" TargetMode="External"/><Relationship Id="rId18" Type="http://schemas.openxmlformats.org/officeDocument/2006/relationships/hyperlink" Target="https://plato.stanford.edu/entries/presocratics/" TargetMode="External"/><Relationship Id="rId19" Type="http://schemas.openxmlformats.org/officeDocument/2006/relationships/hyperlink" Target="https://mathshistory.st-andrews.ac.uk/Biographies/Thales/" TargetMode="External"/><Relationship Id="rId20" Type="http://schemas.openxmlformats.org/officeDocument/2006/relationships/hyperlink" Target="https://plato.stanford.edu/entries/pythagoras/" TargetMode="External"/><Relationship Id="rId21" Type="http://schemas.openxmlformats.org/officeDocument/2006/relationships/hyperlink" Target="https://plato.stanford.edu/entries/descartes/" TargetMode="External"/><Relationship Id="rId22" Type="http://schemas.openxmlformats.org/officeDocument/2006/relationships/hyperlink" Target="https://mathshistory.st-andrews.ac.uk/Biographies/Pascal/" TargetMode="External"/><Relationship Id="rId23" Type="http://schemas.openxmlformats.org/officeDocument/2006/relationships/hyperlink" Target="https://plato.stanford.edu/entries/pascal-wager/" TargetMode="External"/><Relationship Id="rId24" Type="http://schemas.openxmlformats.org/officeDocument/2006/relationships/hyperlink" Target="https://plato.stanford.edu/entries/leibniz/" TargetMode="External"/><Relationship Id="rId25" Type="http://schemas.openxmlformats.org/officeDocument/2006/relationships/hyperlink" Target="https://mitpress.mit.edu/9780262544344/leibniz-on-binary/" TargetMode="External"/><Relationship Id="rId26" Type="http://schemas.openxmlformats.org/officeDocument/2006/relationships/hyperlink" Target="https://scholarlycommons.pacific.edu/euler-works/92/" TargetMode="External"/><Relationship Id="rId27" Type="http://schemas.openxmlformats.org/officeDocument/2006/relationships/hyperlink" Target="https://arxiv.org/abs/1409.7444" TargetMode="External"/><Relationship Id="rId28" Type="http://schemas.openxmlformats.org/officeDocument/2006/relationships/hyperlink" Target="https://mathshistory.st-andrews.ac.uk/Biographies/Cantor/" TargetMode="External"/><Relationship Id="rId29" Type="http://schemas.openxmlformats.org/officeDocument/2006/relationships/hyperlink" Target="https://press.princeton.edu/books/paperback/9780691024479/georg-cantor" TargetMode="External"/><Relationship Id="rId30" Type="http://schemas.openxmlformats.org/officeDocument/2006/relationships/hyperlink" Target="https://arxiv.org/abs/1308.4526" TargetMode="External"/><Relationship Id="rId31" Type="http://schemas.openxmlformats.org/officeDocument/2006/relationships/hyperlink" Target="https://arxiv.org/abs/2202.06264" TargetMode="External"/><Relationship Id="rId32" Type="http://schemas.openxmlformats.org/officeDocument/2006/relationships/hyperlink" Target="https://en.wikipedia.org/wiki/G%C3%B6del%27s_ontological_proof" TargetMode="External"/><Relationship Id="rId33" Type="http://schemas.openxmlformats.org/officeDocument/2006/relationships/hyperlink" Target="https://plato.stanford.edu/entries/goedel/" TargetMode="External"/><Relationship Id="rId34" Type="http://schemas.openxmlformats.org/officeDocument/2006/relationships/hyperlink" Target="https://plato.stanford.edu/entries/copernicus/" TargetMode="External"/><Relationship Id="rId35" Type="http://schemas.openxmlformats.org/officeDocument/2006/relationships/hyperlink" Target="https://plato.stanford.edu/entries/galileo/" TargetMode="External"/><Relationship Id="rId36" Type="http://schemas.openxmlformats.org/officeDocument/2006/relationships/hyperlink" Target="https://plato.stanford.edu/entries/kepler/" TargetMode="External"/><Relationship Id="rId37" Type="http://schemas.openxmlformats.org/officeDocument/2006/relationships/hyperlink" Target="https://mathshistory.st-andrews.ac.uk/Biographies/Kepler/" TargetMode="External"/><Relationship Id="rId38" Type="http://schemas.openxmlformats.org/officeDocument/2006/relationships/hyperlink" Target="https://www.newtonproject.ox.ac.uk/view/texts/normalized/NATP00056" TargetMode="External"/><Relationship Id="rId39" Type="http://schemas.openxmlformats.org/officeDocument/2006/relationships/hyperlink" Target="https://mathshistory.st-andrews.ac.uk/Biographies/Faraday/" TargetMode="External"/><Relationship Id="rId40" Type="http://schemas.openxmlformats.org/officeDocument/2006/relationships/hyperlink" Target="https://books.google.com/books/about/Michael_Faraday_Sandemanian_and_Scientis.html?id=ONTPzAEACAAJ" TargetMode="External"/><Relationship Id="rId41" Type="http://schemas.openxmlformats.org/officeDocument/2006/relationships/hyperlink" Target="https://mathshistory.st-andrews.ac.uk/Biographies/Ampere/" TargetMode="External"/><Relationship Id="rId42" Type="http://schemas.openxmlformats.org/officeDocument/2006/relationships/hyperlink" Target="https://clerkmaxwellfoundation.org/html/JCM_faith.html" TargetMode="External"/><Relationship Id="rId43" Type="http://schemas.openxmlformats.org/officeDocument/2006/relationships/hyperlink" Target="https://books.google.com/books/about/Researches_in_the_Phenomena_of_Spiritual.html?id=kvq_0QEACAAJ" TargetMode="External"/><Relationship Id="rId44" Type="http://schemas.openxmlformats.org/officeDocument/2006/relationships/hyperlink" Target="https://plato.stanford.edu/entries/qt-issues/" TargetMode="External"/><Relationship Id="rId45" Type="http://schemas.openxmlformats.org/officeDocument/2006/relationships/hyperlink" Target="https://plato.stanford.edu/entries/qt-consciousness/" TargetMode="External"/><Relationship Id="rId46" Type="http://schemas.openxmlformats.org/officeDocument/2006/relationships/hyperlink" Target="https://mathshistory.st-andrews.ac.uk/Biographies/Planck/" TargetMode="External"/><Relationship Id="rId47" Type="http://schemas.openxmlformats.org/officeDocument/2006/relationships/hyperlink" Target="https://mathshistory.st-andrews.ac.uk/Biographies/Bohr_Niels/" TargetMode="External"/><Relationship Id="rId48" Type="http://schemas.openxmlformats.org/officeDocument/2006/relationships/hyperlink" Target="https://en.wikipedia.org/wiki/Niels_Bohr" TargetMode="External"/><Relationship Id="rId49" Type="http://schemas.openxmlformats.org/officeDocument/2006/relationships/hyperlink" Target="https://en.wikiquote.org/wiki/Werner_Heisenberg" TargetMode="External"/><Relationship Id="rId50" Type="http://schemas.openxmlformats.org/officeDocument/2006/relationships/hyperlink" Target="https://books.google.com/books/about/Atom_and_Archetype.html?id=NNAPngEACAAJ" TargetMode="External"/><Relationship Id="rId51" Type="http://schemas.openxmlformats.org/officeDocument/2006/relationships/hyperlink" Target="https://plato.stanford.edu/entries/qm-bohm/" TargetMode="External"/><Relationship Id="rId52" Type="http://schemas.openxmlformats.org/officeDocument/2006/relationships/hyperlink" Target="https://www.informationphilosopher.com/solutions/scientists/schrodinger/" TargetMode="External"/><Relationship Id="rId53" Type="http://schemas.openxmlformats.org/officeDocument/2006/relationships/hyperlink" Target="https://plato.stanford.edu/entries/consciousness/" TargetMode="External"/><Relationship Id="rId54" Type="http://schemas.openxmlformats.org/officeDocument/2006/relationships/hyperlink" Target="https://books.google.com/books/about/Joan_Baptista_Van_Helmont.html?id=VTdOAQAAIAAJ" TargetMode="External"/><Relationship Id="rId55" Type="http://schemas.openxmlformats.org/officeDocument/2006/relationships/hyperlink" Target="https://boyle.bbk.ac.uk/learn--introduction.html" TargetMode="External"/><Relationship Id="rId56" Type="http://schemas.openxmlformats.org/officeDocument/2006/relationships/hyperlink" Target="https://web.lemoyne.edu/giunta/boyle.html" TargetMode="External"/><Relationship Id="rId57" Type="http://schemas.openxmlformats.org/officeDocument/2006/relationships/hyperlink" Target="https://www.academie-francaise.fr/discours-de-reception-de-louis-pasteur" TargetMode="External"/><Relationship Id="rId58" Type="http://schemas.openxmlformats.org/officeDocument/2006/relationships/hyperlink" Target="https://plato.stanford.edu/entries/cosmological-argument/" TargetMode="External"/><Relationship Id="rId59" Type="http://schemas.openxmlformats.org/officeDocument/2006/relationships/hyperlink" Target="https://plato.stanford.edu/entries/fine-tuning/" TargetMode="External"/><Relationship Id="rId60" Type="http://schemas.openxmlformats.org/officeDocument/2006/relationships/hyperlink" Target="https://plato.stanford.edu/entries/evil/" TargetMode="External"/><Relationship Id="rId61" Type="http://schemas.openxmlformats.org/officeDocument/2006/relationships/hyperlink" Target="https://plato.stanford.edu/entries/divine-hiddenness/" TargetMode="External"/><Relationship Id="rId62" Type="http://schemas.openxmlformats.org/officeDocument/2006/relationships/hyperlink" Target="https://plato.stanford.edu/entries/religious-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Între credință și dovadă</dc:title>
  <dc:subject>Știința, religia și tentația certitudinii — o investigație agnostică în 25 de dosare istorice</dc:subject>
  <dc:creator/>
  <cp:keywords>știință, religie, agnosticism, ateism, istoria științei, epistemologie, educație</cp:keywords>
  <dc:description>Sinteză critică documentată. Data documentării: 11 septembrie 2026.</dc:description>
  <cp:lastModifiedBy/>
  <cp:revision>1</cp:revision>
  <dcterms:created xsi:type="dcterms:W3CDTF">2026-09-11T00:00:00Z</dcterms:created>
  <dcterms:modified xsi:type="dcterms:W3CDTF">2026-09-11T00:00:00Z</dcterms:modified>
  <cp:category/>
</cp:coreProperties>
</file>