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420"/>
        <w:ind w:firstLine="0"/>
        <w:jc w:val="left"/>
      </w:pPr>
      <w:r>
        <w:rPr>
          <w:rFonts w:ascii="Lato" w:hAnsi="Lato"/>
          <w:b/>
          <w:color w:val="A06C38"/>
          <w:sz w:val="18"/>
        </w:rPr>
        <w:t>ȘTIINȚĂ  /  FILOSOFIE</w:t>
      </w:r>
    </w:p>
    <w:p>
      <w:pPr>
        <w:spacing w:line="245" w:lineRule="auto" w:after="440"/>
        <w:ind w:firstLine="0"/>
        <w:jc w:val="left"/>
      </w:pPr>
      <w:r>
        <w:rPr>
          <w:rFonts w:ascii="Lato" w:hAnsi="Lato"/>
          <w:b/>
          <w:color w:val="152E40"/>
          <w:sz w:val="72"/>
        </w:rPr>
        <w:t>ARHITECTURA</w:t>
        <w:br/>
      </w:r>
      <w:r>
        <w:rPr>
          <w:rFonts w:ascii="Lato" w:hAnsi="Lato"/>
          <w:b/>
          <w:color w:val="152E40"/>
          <w:sz w:val="96"/>
        </w:rPr>
        <w:t>REALULUI</w:t>
      </w:r>
    </w:p>
    <w:p>
      <w:pPr>
        <w:spacing w:line="293" w:lineRule="auto" w:after="400"/>
        <w:ind w:firstLine="0"/>
        <w:jc w:val="left"/>
      </w:pPr>
      <w:r>
        <w:rPr>
          <w:rFonts w:ascii="Noto Serif" w:hAnsi="Noto Serif"/>
          <w:color w:val="344D5E"/>
          <w:sz w:val="32"/>
        </w:rPr>
        <w:t>De la spațiu și timp la cauzalitate,</w:t>
        <w:br/>
        <w:t>conștiință și existență</w:t>
      </w:r>
    </w:p>
    <w:p>
      <w:pPr>
        <w:spacing w:before="1660" w:after="200"/>
        <w:ind w:firstLine="0"/>
        <w:pBdr>
          <w:bottom w:val="single" w:sz="8" w:color="A06C38" w:space="1"/>
        </w:pBdr>
        <w:jc w:val="left"/>
      </w:pPr>
    </w:p>
    <w:p>
      <w:pPr>
        <w:spacing w:before="160"/>
        <w:ind w:firstLine="0"/>
        <w:jc w:val="left"/>
      </w:pPr>
      <w:r>
        <w:rPr>
          <w:rFonts w:ascii="Noto Serif" w:hAnsi="Noto Serif"/>
          <w:i/>
          <w:color w:val="53616B"/>
          <w:sz w:val="22"/>
        </w:rPr>
        <w:t>Ce este lumea, ce putem înțelege</w:t>
        <w:br/>
        <w:t>și ce schimbă felul în care o descriem</w:t>
      </w:r>
    </w:p>
    <w:p>
      <w:pPr>
        <w:pStyle w:val="Heading1"/>
        <w:pageBreakBefore/>
        <w:spacing w:after="240"/>
      </w:pPr>
      <w:r>
        <w:t>Cuprins</w:t>
      </w:r>
    </w:p>
    <w:p>
      <w:pPr>
        <w:pStyle w:val="BookNote"/>
      </w:pPr>
      <w:r>
        <w:t>Un traseu de la structura lumii la limitele și responsabilitățile înțelegerii.</w:t>
      </w:r>
    </w:p>
    <w:p>
      <w:pPr>
        <w:pStyle w:val="TOCEntry"/>
        <w:keepLines/>
      </w:pPr>
      <w:hyperlink w:anchor="chapter_1" w:history="1">
        <w:r>
          <w:rPr>
            <w:color w:val="253D4E"/>
          </w:rPr>
          <w:t>Prolog. Universul care a făcut o pauză</w:t>
        </w:r>
      </w:hyperlink>
    </w:p>
    <w:p>
      <w:pPr>
        <w:pStyle w:val="TOCPart"/>
      </w:pPr>
      <w:r>
        <w:t>PARTEA I · LUMEA ÎN CARE NE AFLĂM</w:t>
      </w:r>
    </w:p>
    <w:p>
      <w:pPr>
        <w:pStyle w:val="TOCEntry"/>
        <w:keepLines/>
      </w:pPr>
      <w:hyperlink w:anchor="chapter_2" w:history="1">
        <w:r>
          <w:rPr>
            <w:color w:val="253D4E"/>
          </w:rPr>
          <w:t>1. Unde se află spațiul?</w:t>
        </w:r>
      </w:hyperlink>
    </w:p>
    <w:p>
      <w:pPr>
        <w:pStyle w:val="TOCEntry"/>
        <w:keepLines/>
      </w:pPr>
      <w:hyperlink w:anchor="chapter_3" w:history="1">
        <w:r>
          <w:rPr>
            <w:color w:val="253D4E"/>
          </w:rPr>
          <w:t>2. Ce trece atunci când trece timpul?</w:t>
        </w:r>
      </w:hyperlink>
    </w:p>
    <w:p>
      <w:pPr>
        <w:pStyle w:val="TOCPart"/>
      </w:pPr>
      <w:r>
        <w:t>PARTEA A II-A · CE LEAGĂ LUCRURILE</w:t>
      </w:r>
    </w:p>
    <w:p>
      <w:pPr>
        <w:pStyle w:val="TOCEntry"/>
        <w:keepLines/>
      </w:pPr>
      <w:hyperlink w:anchor="chapter_4" w:history="1">
        <w:r>
          <w:rPr>
            <w:color w:val="253D4E"/>
          </w:rPr>
          <w:t>3. Ce înseamnă „din cauza”?</w:t>
        </w:r>
      </w:hyperlink>
    </w:p>
    <w:p>
      <w:pPr>
        <w:pStyle w:val="TOCEntry"/>
        <w:keepLines/>
      </w:pPr>
      <w:hyperlink w:anchor="chapter_5" w:history="1">
        <w:r>
          <w:rPr>
            <w:color w:val="253D4E"/>
          </w:rPr>
          <w:t>4. Cine scrie legile naturii?</w:t>
        </w:r>
      </w:hyperlink>
    </w:p>
    <w:p>
      <w:pPr>
        <w:pStyle w:val="TOCEntry"/>
        <w:keepLines/>
      </w:pPr>
      <w:hyperlink w:anchor="chapter_6" w:history="1">
        <w:r>
          <w:rPr>
            <w:color w:val="253D4E"/>
          </w:rPr>
          <w:t>5. Mai mult decât suma părților?</w:t>
        </w:r>
      </w:hyperlink>
    </w:p>
    <w:p>
      <w:pPr>
        <w:pStyle w:val="TOCPart"/>
      </w:pPr>
      <w:r>
        <w:t>PARTEA A III-A · LUMEA CARE SE SIMTE</w:t>
      </w:r>
    </w:p>
    <w:p>
      <w:pPr>
        <w:pStyle w:val="TOCEntry"/>
        <w:keepLines/>
      </w:pPr>
      <w:hyperlink w:anchor="chapter_7" w:history="1">
        <w:r>
          <w:rPr>
            <w:color w:val="253D4E"/>
          </w:rPr>
          <w:t>6. De ce există ceva care contează pentru cineva?</w:t>
        </w:r>
      </w:hyperlink>
    </w:p>
    <w:p>
      <w:pPr>
        <w:pStyle w:val="TOCEntry"/>
        <w:keepLines/>
      </w:pPr>
      <w:hyperlink w:anchor="chapter_8" w:history="1">
        <w:r>
          <w:rPr>
            <w:color w:val="253D4E"/>
          </w:rPr>
          <w:t>7. Cine este aici când spunem „eu”?</w:t>
        </w:r>
      </w:hyperlink>
    </w:p>
    <w:p>
      <w:pPr>
        <w:pStyle w:val="TOCEntry"/>
        <w:keepLines/>
      </w:pPr>
      <w:hyperlink w:anchor="chapter_9" w:history="1">
        <w:r>
          <w:rPr>
            <w:color w:val="253D4E"/>
          </w:rPr>
          <w:t>8. Când știm că am înțeles?</w:t>
        </w:r>
      </w:hyperlink>
    </w:p>
    <w:p>
      <w:pPr>
        <w:pStyle w:val="TOCPart"/>
      </w:pPr>
      <w:r>
        <w:t>PARTEA A IV-A · EXISTENȚA ȘI LUMILE POSIBILE</w:t>
      </w:r>
    </w:p>
    <w:p>
      <w:pPr>
        <w:pStyle w:val="TOCEntry"/>
        <w:keepLines/>
      </w:pPr>
      <w:hyperlink w:anchor="chapter_10" w:history="1">
        <w:r>
          <w:rPr>
            <w:color w:val="253D4E"/>
          </w:rPr>
          <w:t>9. De ce există ceva care poate întreba?</w:t>
        </w:r>
      </w:hyperlink>
    </w:p>
    <w:p>
      <w:pPr>
        <w:pStyle w:val="TOCEntry"/>
        <w:keepLines/>
      </w:pPr>
      <w:hyperlink w:anchor="chapter_11" w:history="1">
        <w:r>
          <w:rPr>
            <w:color w:val="253D4E"/>
          </w:rPr>
          <w:t>10. Universul cu administrator</w:t>
        </w:r>
      </w:hyperlink>
    </w:p>
    <w:p>
      <w:pPr>
        <w:pStyle w:val="TOCEntry"/>
        <w:keepLines/>
      </w:pPr>
      <w:hyperlink w:anchor="chapter_12" w:history="1">
        <w:r>
          <w:rPr>
            <w:color w:val="253D4E"/>
          </w:rPr>
          <w:t>11. Fenomene pentru care nu avem încă nume</w:t>
        </w:r>
      </w:hyperlink>
    </w:p>
    <w:p>
      <w:pPr>
        <w:pStyle w:val="TOCEntry"/>
        <w:keepLines/>
      </w:pPr>
      <w:hyperlink w:anchor="chapter_13" w:history="1">
        <w:r>
          <w:rPr>
            <w:color w:val="253D4E"/>
          </w:rPr>
          <w:t>12. Cum cercetăm un mister fără să îl fabricăm?</w:t>
        </w:r>
      </w:hyperlink>
    </w:p>
    <w:p>
      <w:pPr>
        <w:pStyle w:val="TOCEntry"/>
        <w:keepLines/>
      </w:pPr>
      <w:hyperlink w:anchor="chapter_14" w:history="1">
        <w:r>
          <w:rPr>
            <w:color w:val="253D4E"/>
          </w:rPr>
          <w:t>Epilog. Ce rămâne după explicație?</w:t>
        </w:r>
      </w:hyperlink>
    </w:p>
    <w:p>
      <w:pPr>
        <w:pStyle w:val="TOCEntry"/>
        <w:keepLines/>
      </w:pPr>
      <w:hyperlink w:anchor="chapter_15" w:history="1">
        <w:r>
          <w:rPr>
            <w:color w:val="253D4E"/>
          </w:rPr>
          <w:t>Glosar. Distincții care împiedică falsele soluții</w:t>
        </w:r>
      </w:hyperlink>
    </w:p>
    <w:p>
      <w:pPr>
        <w:pStyle w:val="TOCEntry"/>
      </w:pPr>
      <w:hyperlink w:anchor="bibliography" w:history="1">
        <w:r>
          <w:rPr>
            <w:color w:val="253D4E"/>
          </w:rPr>
          <w:t>Bibliografie și surse</w:t>
        </w:r>
      </w:hyperlink>
    </w:p>
    <w:p>
      <w:pPr>
        <w:sectPr>
          <w:pgSz w:w="9360" w:h="13320"/>
          <w:pgMar w:top="1008" w:right="979" w:bottom="979" w:left="1123" w:header="432" w:footer="432" w:gutter="0"/>
          <w:cols w:space="720"/>
          <w:docGrid w:linePitch="360"/>
        </w:sectPr>
      </w:pPr>
    </w:p>
    <w:p>
      <w:bookmarkStart w:id="1" w:name="chapter_1"/>
      <w:pPr>
        <w:pStyle w:val="Heading1"/>
        <w:pageBreakBefore w:val="0"/>
      </w:pPr>
      <w:r>
        <w:t>Prolog. Universul care a făcut o pauză</w:t>
      </w:r>
      <w:bookmarkEnd w:id="1"/>
    </w:p>
    <w:p>
      <w:pPr>
        <w:ind w:firstLine="0"/>
      </w:pPr>
      <w:r>
        <w:t>Să presupunem că universul s-a oprit pentru un miliard de ani. Nu doar stelele, ci și lumina dintre ele. Nu doar inimile, ci și reacțiile chimice, ceasurile, amintirile în curs de formare. Apoi totul a continuat exact din starea în care fusese întrerupt. Nicio urmă a pauzei nu a rămas înăuntru.</w:t>
      </w:r>
    </w:p>
    <w:p>
      <w:pPr/>
      <w:r>
        <w:t>S-a întâmplat ceva?</w:t>
      </w:r>
    </w:p>
    <w:p>
      <w:pPr/>
      <w:r>
        <w:t>Prima tentație este să răspundem afirmativ: a trecut un miliard de ani. Dar cine a numărat acești ani? Dacă timpul este ceea ce indică procesele fizice, am eliminat tocmai criteriul prin care pauza ar putea avea o durată. Dacă timpul curge independent de orice proces, am presupus deja o anumită metafizică. Iar dacă cineva din afara universului a apăsat un buton, am introdus un alt univers, cu propriul timp, fără să explicăm timpul însuși.</w:t>
      </w:r>
    </w:p>
    <w:p>
      <w:pPr/>
      <w:r>
        <w:t>Experimentul imaginar nu demonstrează că timpul este o iluzie. Face ceva mai util: ne obligă să descoperim ce am ascuns în întrebare.</w:t>
      </w:r>
    </w:p>
    <w:p>
      <w:pPr/>
      <w:r>
        <w:t>Același lucru se poate întâmpla cu spațiul. Unde se află spațiul, dacă orice „unde” îl presupune? Cu o cauză: ce produce relația prin care un eveniment îl produce pe altul? Cu existența: în ce fel ar trebui să existe existența însăși? Cu înțelegerea: cum am recunoaște o explicație completă a înțelegerii fără să ne folosim deja capacitatea de a înțelege?</w:t>
      </w:r>
    </w:p>
    <w:p>
      <w:pPr/>
      <w:r>
        <w:t>Unele dificultăți apar fiindcă lumea este complicată. Altele apar fiindcă încercăm să folosim o unealtă în afara domeniului pentru care a fost construită. O riglă nu măsoară regretul. Dar concluzia nu este că regretul nu există. Poate că avem nevoie de altă măsură; poate că măsurarea surprinde doar o parte din ceea ce încercăm să cunoaștem.</w:t>
      </w:r>
    </w:p>
    <w:p>
      <w:pPr/>
      <w:r>
        <w:t>Cartea urmărește un traseu. Începem cu ceea ce pare cel mai exterior: distanțe, durate, mișcări. Ajungem la cauzalitate, adică la ceea ce leagă schimbările. Întrebăm apoi ce sunt legile care fac aceste legături stabile. Trecem prin viață, emoție și conștiință, unde lumea nu doar se schimbă, ci pare să fie trăită din interior. În final revenim la întrebarea care le cuprinde pe toate: ce anume spunem când afirmăm că ceva există?</w:t>
      </w:r>
    </w:p>
    <w:p>
      <w:pPr/>
      <w:r>
        <w:t>Traseul nu este o scară de la lucruri simple la lucruri misterioase. Spațiul poate fi la fel de enigmatic ca durerea. Diferența este că, în cazul spațiului, ne-am obișnuit să confundăm folosirea competentă cu înțelegerea ultimă. Știm să găsim o adresă și presupunem că știm ce este un loc. Știm să respectăm o oră și presupunem că știm ce este timpul. Știm să spunem „eu” și presupunem că știm ce este cel care vorbește.</w:t>
      </w:r>
    </w:p>
    <w:p>
      <w:pPr/>
      <w:r>
        <w:t>Vom păstra o distincție esențială: un concept poate fi construit de minte fără ca obiectul său să fie inventat de minte. Harta este făcută de oameni; muntele nu trebuie să fie. Uneori însă și obiectul depinde de oameni: o datorie financiară nu este o piatră, dar poate produce evacuarea cuiva dintr-o casă. Alteori avem o realitate trăită, precum teama, care nu devine fictivă doar fiindcă nu ocupă spațiul așa cum îl ocupă o masă.</w:t>
      </w:r>
    </w:p>
    <w:p>
      <w:pPr/>
      <w:r>
        <w:t>În consecință, întrebarea „real sau imaginar?” va fi desfăcută în întrebări mai precise. Independent de cine? Real în ce sens? Prin ce efecte? Cu ce criteriu de identificare? Ar exista fără observatori sau doar fără un anumit observator? Poate fi eroarea unei reprezentări ea însăși un eveniment real?</w:t>
      </w:r>
    </w:p>
    <w:p>
      <w:pPr/>
      <w:r>
        <w:t>Nici „știința a demonstrat”, nici „știința nu poate explica” nu vor funcționa ca formule magice. O observație poate fi robustă, iar interpretarea ei disputată. O teorie poate explica mult, fără să explice tot. O ipoteză metafizică poate fi coerentă, fără să fie susținută experimental. Iar o întrebare poate fi autentică chiar înainte să avem un instrument potrivit pentru a o investiga.</w:t>
      </w:r>
    </w:p>
    <w:p>
      <w:pPr/>
      <w:r>
        <w:t>Există și o miză care depășește curiozitatea. Definițiile împart costuri. Cine definește timpul eficient poate decide cât valorează așteptarea altuia. Cine definește cauza unui eșec poate distribui vina. Cine definește conștiința poate extinde sau restrânge cercul ființelor a căror suferință contează. Cine definește înțelegerea poate construi o școală care produce oameni autonomi sau oameni care repetă răspunsuri acceptabile.</w:t>
      </w:r>
    </w:p>
    <w:p>
      <w:pPr/>
      <w:r>
        <w:t>A întreba cine câștigă nu înseamnă a declara orice idee o conspirație. O teorie adevărată poate fi folosită nedrept; o teorie falsă poate consola; o convenție arbitrară poate coordona benefic milioane de oameni. Interesul social nu stabilește singur adevărul. Dar adevărul nu anulează obligația de a examina utilizarea lui.</w:t>
      </w:r>
    </w:p>
    <w:p>
      <w:pPr/>
      <w:r>
        <w:t>Poziția acestei cărți este un realism fără triumfalism: avem motive serioase să presupunem că întâlnim o lume care ne rezistă, însă nu avem dreptul să identificăm automat această lume cu vocabularul prin care o administrăm. Înțelegerea înaintează când o explicație riscă să piardă în fața experienței și când o definiție poate fi revizuită fără ca oamenii care au folosit-o să fie umiliți.</w:t>
      </w:r>
    </w:p>
    <w:p>
      <w:pPr/>
      <w:r>
        <w:t>Poate că nu există o ultimă cameră în care toate misterele devin evidente. Dar între a poseda răspunsul final și a nu putea spune nimic se află aproape întreaga cunoaștere omenească.</w:t>
      </w:r>
    </w:p>
    <w:p>
      <w:pPr>
        <w:pStyle w:val="Heading2"/>
      </w:pPr>
      <w:r>
        <w:t>Despre dovezi și experimente imaginare</w:t>
      </w:r>
    </w:p>
    <w:p>
      <w:pPr>
        <w:ind w:firstLine="0"/>
      </w:pPr>
      <w:r>
        <w:t>Trimiterile numerotate conduc la bibliografia de la final. Lucrările istorice sunt folosite pentru ideile autorilor lor, nu ca validare a fizicii contemporane. Rezultatele experimentale sunt separate de interpretări și de propunerile speculative. Exemplele numerice inventate și micile lumi computaționale sunt marcate explicit; ele verifică raționamente în interiorul unor modele, nu descriu observații asupra universului. Literatura selectată a fost verificată pentru această ediție în septembrie 2026; selecția este orientativă, nu o revizuire sistematică exhaustivă.</w:t>
      </w:r>
    </w:p>
    <w:p>
      <w:pPr>
        <w:pStyle w:val="PartLabel"/>
        <w:pageBreakBefore/>
      </w:pPr>
      <w:r>
        <w:t>PARTEA I · LUMEA ÎN CARE NE AFLĂM</w:t>
      </w:r>
    </w:p>
    <w:p>
      <w:bookmarkStart w:id="2" w:name="chapter_2"/>
      <w:pPr>
        <w:pStyle w:val="Heading1"/>
        <w:pageBreakBefore w:val="0"/>
      </w:pPr>
      <w:r>
        <w:t>1. Unde se află spațiul?</w:t>
      </w:r>
      <w:bookmarkEnd w:id="2"/>
    </w:p>
    <w:p>
      <w:pPr>
        <w:pStyle w:val="Heading2"/>
        <w:spacing w:before="0"/>
      </w:pPr>
      <w:r>
        <w:t>Recipientul, relația și geometria</w:t>
      </w:r>
    </w:p>
    <w:p>
      <w:pPr>
        <w:ind w:firstLine="0"/>
      </w:pPr>
      <w:r>
        <w:t>Imaginați-vă că toate obiectele din univers sunt mutate simultan cu un metru spre dreapta. Nu se schimbă nicio distanță dintre ele. Nu rămâne în urmă niciun reper. A avut loc o deplasare sau am schimbat doar povestea pe care o spunem despre poziții?</w:t>
      </w:r>
    </w:p>
    <w:p>
      <w:pPr/>
      <w:r>
        <w:t>Întrebarea desparte două intuiții. Prima vede spațiul ca pe un recipient: obiectele pot fi scoase, recipientul rămâne. A doua îl vede ca pe o ordine a relațiilor: fără lucruri și fără posibilități de relaționare, nu mai este limpede ce anume ar rămâne. Niciuna nu se lasă eliminată doar prin faptul că cealaltă pare mai firească.</w:t>
      </w:r>
    </w:p>
    <w:p>
      <w:pPr/>
      <w:r>
        <w:t xml:space="preserve">În fizica lui Aristotel, locul nu era spațiul omogen și infinit al manualelor moderne. Era legat de corpul care înconjoară un alt corp și de ordinea unei lumi în care anumite mișcări aveau direcții naturale. A întreba unde se află ceva însemna și a întreba unde îi este locul în alcătuirea cosmosului. Discuția despre vid era astfel și o discuție despre posibilitatea mișcării și despre natura corpurilor. </w:t>
      </w:r>
      <w:hyperlink w:anchor="ref_1" w:history="1">
        <w:r>
          <w:rPr>
            <w:color w:val="28516A"/>
            <w:rFonts w:ascii="Lato" w:hAnsi="Lato" w:cs="Lato" w:eastAsia="Lato"/>
            <w:sz w:val="17"/>
            <w:vertAlign w:val="superscript"/>
          </w:rPr>
          <w:t>[1]</w:t>
        </w:r>
      </w:hyperlink>
    </w:p>
    <w:p>
      <w:pPr/>
      <w:r>
        <w:t xml:space="preserve">Trecerea la spațiul matematic uniform schimbă tipul întrebării. Nu mai căutăm locul potrivit unui lucru, ci relații măsurabile care pot fi aceleași oriunde. În reconstrucția newtoniană, spațiul absolut oferea un cadru pentru mișcarea adevărată, distinctă de mișcarea față de un reper ales. Leibniz susținea, în schimb, că spațiul exprimă ordinea coexistențelor. O deplasare uniformă a întregului univers, fără schimbări relaționale, ridica pentru el problema unei diferențe fără motiv suficient. Controversa nu era doar verbală: implica felul în care identificăm accelerația și ce entități acceptăm în explicație. </w:t>
      </w:r>
      <w:hyperlink w:anchor="ref_2" w:history="1">
        <w:r>
          <w:rPr>
            <w:color w:val="28516A"/>
            <w:rFonts w:ascii="Lato" w:hAnsi="Lato" w:cs="Lato" w:eastAsia="Lato"/>
            <w:sz w:val="17"/>
            <w:vertAlign w:val="superscript"/>
          </w:rPr>
          <w:t>[2]</w:t>
        </w:r>
      </w:hyperlink>
      <w:r>
        <w:t xml:space="preserve"> </w:t>
      </w:r>
      <w:hyperlink w:anchor="ref_3" w:history="1">
        <w:r>
          <w:rPr>
            <w:color w:val="28516A"/>
            <w:rFonts w:ascii="Lato" w:hAnsi="Lato" w:cs="Lato" w:eastAsia="Lato"/>
            <w:sz w:val="17"/>
            <w:vertAlign w:val="superscript"/>
          </w:rPr>
          <w:t>[3]</w:t>
        </w:r>
      </w:hyperlink>
    </w:p>
    <w:p>
      <w:pPr/>
      <w:r>
        <w:t>Merită să observăm structura dezacordului. Ambii gânditori puteau descrie distanțe. Nu distanța dintre două case era în dispută, ci ceea ce face posibilă existența unei distanțe. Această diferență între succesul practic și interpretarea ontologică va reapărea în fiecare capitol.</w:t>
      </w:r>
    </w:p>
    <w:p>
      <w:pPr/>
      <w:r>
        <w:t xml:space="preserve">Kant a mutat problema încă o dată. În loc să decidă direct dacă spațiul este recipient sau relație între lucrurile considerate independent de noi, a întrebat ce condiții fac posibilă experiența noastră. Spațiul și timpul sunt, în proiectul său, forme ale sensibilității: moduri în care lucrurile ne pot fi date. Aceasta nu înseamnă că fiecare om își inventează arbitrar universul. Distincția este între lumea așa cum poate apărea experienței și lucrurile considerate independent de condițiile acestei apariții. </w:t>
      </w:r>
      <w:hyperlink w:anchor="ref_4" w:history="1">
        <w:r>
          <w:rPr>
            <w:color w:val="28516A"/>
            <w:rFonts w:ascii="Lato" w:hAnsi="Lato" w:cs="Lato" w:eastAsia="Lato"/>
            <w:sz w:val="17"/>
            <w:vertAlign w:val="superscript"/>
          </w:rPr>
          <w:t>[4]</w:t>
        </w:r>
      </w:hyperlink>
    </w:p>
    <w:p>
      <w:pPr/>
      <w:r>
        <w:t>Putem folosi o analogie, cu o limită importantă. O cameră fotografică produce imagini potrivit construcției sale, dar nu produce prin aceasta și muntele fotografiat. Din faptul că imaginea depinde de aparat nu rezultă nici că muntele este fictiv, nici că imaginea reproduce toate proprietățile muntelui. Analogia nu dovedește filosofia lui Kant. Arată doar de ce dependența unei reprezentări de un sistem cognitiv nu rezolvă singură problema realității reprezentate.</w:t>
      </w:r>
    </w:p>
    <w:p>
      <w:pPr/>
      <w:r>
        <w:t xml:space="preserve">Relativitatea generală a introdus o schimbare fizică mai precisă: geometria spațiu-timpului nu mai este doar scena fixă a evenimentelor, ci participă la descrierea dinamică a gravitației. Distanțele și duratele sunt legate de structura metrică, iar aceasta se află în relație cu materia și energia prin ecuațiile teoriei. Nu rezultă că orice mișcare devine indistinct relativă sau că alegerea coordonatelor poate elimina toate efectele gravitaționale. O schimbare de etichete nu șterge, de pildă, diferențele fizice dintre traiectorii. </w:t>
      </w:r>
      <w:hyperlink w:anchor="ref_5" w:history="1">
        <w:r>
          <w:rPr>
            <w:color w:val="28516A"/>
            <w:rFonts w:ascii="Lato" w:hAnsi="Lato" w:cs="Lato" w:eastAsia="Lato"/>
            <w:sz w:val="17"/>
            <w:vertAlign w:val="superscript"/>
          </w:rPr>
          <w:t>[5]</w:t>
        </w:r>
      </w:hyperlink>
      <w:r>
        <w:t xml:space="preserve"> </w:t>
      </w:r>
      <w:hyperlink w:anchor="ref_2" w:history="1">
        <w:r>
          <w:rPr>
            <w:color w:val="28516A"/>
            <w:rFonts w:ascii="Lato" w:hAnsi="Lato" w:cs="Lato" w:eastAsia="Lato"/>
            <w:sz w:val="17"/>
            <w:vertAlign w:val="superscript"/>
          </w:rPr>
          <w:t>[2]</w:t>
        </w:r>
      </w:hyperlink>
    </w:p>
    <w:p>
      <w:pPr/>
      <w:r>
        <w:t>„Spațiul este curbat” nu trebuie imaginat obligatoriu ca o foaie îndoită într-o încăpere mai mare. Curbura poate fi definită prin relații interne: ce se întâmplă cu traiectoriile, cu transportul direcțiilor, cu măsurătorile locale comparate între ele. Imaginea foii ajută inițial și încurcă ulterior dacă ne obligă să inventăm un spațiu exterior în care întregul univers ar trebui să fie așezat.</w:t>
      </w:r>
    </w:p>
    <w:p>
      <w:pPr/>
      <w:r>
        <w:t>Lecția este metodologică. A înțelege un concept poate presupune să renunțăm la imaginea care ne-a ajutat să-l învățăm. O metaforă bună este un sprijin temporar, nu o obligație impusă realității.</w:t>
      </w:r>
    </w:p>
    <w:p>
      <w:pPr>
        <w:pStyle w:val="Heading2"/>
      </w:pPr>
      <w:r>
        <w:t>Poate spațiul să apară din ceva care nu este spațial?</w:t>
      </w:r>
    </w:p>
    <w:p>
      <w:pPr>
        <w:ind w:firstLine="0"/>
      </w:pPr>
      <w:r>
        <w:t>Să construim un univers imaginar format numai din puncte și conexiuni. Nu desenăm punctele pe o foaie; păstrăm doar informația despre cine poate influența pe cine. Două puncte sunt „aproape” dacă un semnal poate trece între ele în puțini pași. Ele sunt „departe” dacă sunt necesare multe treceri. Într-un asemenea model, distanța apare din conectivitate.</w:t>
      </w:r>
    </w:p>
    <w:p>
      <w:pPr/>
      <w:r>
        <w:t>Am fabricat deja spațiul nostru? Nu. Am construit un analog al unei proprietăți spațiale. Graful poate avea scurtături stranii, vecinătăți care nu seamănă cu cele tridimensionale sau distanțe care depind de sensul deplasării. Pentru a obține ceva asemănător spațiului fizic, trebuie să explicăm mult mai mult: dimensionalitatea, localitatea, simetriile, comportamentul semnalelor și felul în care apare geometria la scară mare.</w:t>
      </w:r>
    </w:p>
    <w:p>
      <w:pPr/>
      <w:r>
        <w:t xml:space="preserve">Tocmai aici devin interesante programele de gravitație cuantică în care geometria nu este ingredientul primitiv. Într-un argument teoretic influent, Mark Van Raamsdonk a explorat legătura dintre entanglementul cuantic și conectivitatea spațiu-timpului în cadre holografice. Ideea nu este că două persoane care se gândesc una la alta creează un pod geometric. Este o relație matematică între structuri cuantice și descrieri gravitaționale, valabilă în contexte specifice. </w:t>
      </w:r>
      <w:hyperlink w:anchor="ref_6" w:history="1">
        <w:r>
          <w:rPr>
            <w:color w:val="28516A"/>
            <w:rFonts w:ascii="Lato" w:hAnsi="Lato" w:cs="Lato" w:eastAsia="Lato"/>
            <w:sz w:val="17"/>
            <w:vertAlign w:val="superscript"/>
          </w:rPr>
          <w:t>[6]</w:t>
        </w:r>
      </w:hyperlink>
    </w:p>
    <w:p>
      <w:pPr/>
      <w:r>
        <w:t xml:space="preserve">O altă familie de propuneri pornește de la mulțimi de evenimente cu o ordine cauzală discretă. În abordarea mulțimilor cauzale, structura elementară nu este o rețea obișnuită de căsuțe dispuse într-un spațiu dat, ci o ordine parțială cu cerințe suplimentare. Programul încearcă să recupereze o geometrie continuă adecvată atunci când privim la scară mare. Nu orice ordine discretă produce însă un spațiu-timp asemănător celui observat. Aceasta este parte a dificultății, nu un detaliu rezolvat prin alegerea cuvântului „emergență”. </w:t>
      </w:r>
      <w:hyperlink w:anchor="ref_7" w:history="1">
        <w:r>
          <w:rPr>
            <w:color w:val="28516A"/>
            <w:rFonts w:ascii="Lato" w:hAnsi="Lato" w:cs="Lato" w:eastAsia="Lato"/>
            <w:sz w:val="17"/>
            <w:vertAlign w:val="superscript"/>
          </w:rPr>
          <w:t>[7]</w:t>
        </w:r>
      </w:hyperlink>
    </w:p>
    <w:p>
      <w:pPr/>
      <w:r>
        <w:t>Aceste idei justifică o posibilitate intelectuală importantă: ceea ce folosim ca fundament intuitiv ar putea fi un rezultat. Dar posibilitatea nu este confirmare. Nu avem dreptul să trecem de la „există modele în care geometria este reconstruită” la „s-a demonstrat că universul nostru este făcut din informație”. Ultima propoziție este și prea vagă: ce fel de informație, despre ce, în ce suport și cu ce dinamică?</w:t>
      </w:r>
    </w:p>
    <w:p>
      <w:pPr/>
      <w:r>
        <w:t>Să ne întoarcem la graful imaginar. Pentru locuitorii săi, care pot trimite semnale doar prin conexiuni, distanța operațională ar fi reală: ar limita comunicarea și acțiunea. Pentru programator, două noduri îndepărtate intern ar putea fi înregistrate în poziții alăturate ale memoriei calculatorului. Cele două descrieri nu se anulează. Vorbesc despre relații diferite.</w:t>
      </w:r>
    </w:p>
    <w:p>
      <w:pPr/>
      <w:r>
        <w:t>Aceasta oferă un răspuns mai bun decât opoziția „fundamental sau fals”. O proprietate poate fi reală la nivelul la care organizează posibilitățile de interacțiune, chiar dacă depinde de o structură mai profundă. Distanța dintre două stații de metrou, măsurată prin timpul necesar deplasării, nu este identică cu distanța pe hartă. Niciuna nu este, din acest motiv, o minciună.</w:t>
      </w:r>
    </w:p>
    <w:p>
      <w:pPr/>
      <w:r>
        <w:t>Întrebarea dificilă devine: care dintre aceste distanțe este relevantă pentru fenomenul studiat? Un medic, un urbanist și un fizician pot răspunde diferit fără ca unul dintre ei să nege realitatea celorlalți. Eroarea apare când răspunsul adecvat unui scop este proclamat singura descriere legitimă a existenței.</w:t>
      </w:r>
    </w:p>
    <w:p>
      <w:pPr>
        <w:pStyle w:val="Heading2"/>
      </w:pPr>
      <w:r>
        <w:t>Spațiul din creier și spațiul împărțit între oameni</w:t>
      </w:r>
    </w:p>
    <w:p>
      <w:pPr>
        <w:ind w:firstLine="0"/>
      </w:pPr>
      <w:r>
        <w:t xml:space="preserve">Organismul nu primește o hartă neutră gata desenată. Experimentele lui John O’Keefe și Jonathan Dostrovsky au identificat activități neuronale legate de poziția animalului, iar lucrările ulterioare ale lui Torkel Hafting și colaboratorilor au descris celule cu un tipar regulat de activare spațială în cortexul entorinal. Aceste rezultate au făcut studiul reprezentării spațiului mult mai concret. Ele nu demonstrează că spațiul exterior se află literalmente în creier sau că nu există fără acesta. </w:t>
      </w:r>
      <w:hyperlink w:anchor="ref_8" w:history="1">
        <w:r>
          <w:rPr>
            <w:color w:val="28516A"/>
            <w:rFonts w:ascii="Lato" w:hAnsi="Lato" w:cs="Lato" w:eastAsia="Lato"/>
            <w:sz w:val="17"/>
            <w:vertAlign w:val="superscript"/>
          </w:rPr>
          <w:t>[8]</w:t>
        </w:r>
      </w:hyperlink>
      <w:r>
        <w:t xml:space="preserve"> </w:t>
      </w:r>
      <w:hyperlink w:anchor="ref_9" w:history="1">
        <w:r>
          <w:rPr>
            <w:color w:val="28516A"/>
            <w:rFonts w:ascii="Lato" w:hAnsi="Lato" w:cs="Lato" w:eastAsia="Lato"/>
            <w:sz w:val="17"/>
            <w:vertAlign w:val="superscript"/>
          </w:rPr>
          <w:t>[9]</w:t>
        </w:r>
      </w:hyperlink>
    </w:p>
    <w:p>
      <w:pPr/>
      <w:r>
        <w:t>Un sistem de orientare are nevoie de o reprezentare selectivă. Pentru o ființă care se deplasează, pot conta rutele traversabile, obstacolele, refugiile și costul întoarcerii. O descriere perfectă a fiecărui atom din cameră ar fi inutilă dacă nu ar permite găsirea ușii. Aceasta este o observație funcțională: o reprezentare se judecă și prin întrebările la care îi permite organismului să răspundă.</w:t>
      </w:r>
    </w:p>
    <w:p>
      <w:pPr/>
      <w:r>
        <w:t>De aici nu rezultă că evoluția preferă sistematic falsul. O eroare despre marginea unei prăpăstii poate fi costisitoare. Rezultă doar că utilitatea unei reprezentări nu cere o metafizică completă. Poți avea o hartă bună pentru supraviețuire și o teorie slabă despre natura spațiului.</w:t>
      </w:r>
    </w:p>
    <w:p>
      <w:pPr/>
      <w:r>
        <w:t>În societate, selecția relevanței devine și distribuție a puterii. Luați același oraș văzut de un copil, de un utilizator de scaun rulant, de un proprietar și de o persoană fără locuință. Coordonatele clădirilor sunt aceleași. Spațiul practic nu este. O treaptă, un gard, un preț sau o interdicție transformă apropierea geometrică în inaccesibilitate.</w:t>
      </w:r>
    </w:p>
    <w:p>
      <w:pPr/>
      <w:r>
        <w:t>Distanța în kilometri poate omite costurile și riscurile deplasării. Neutralitatea cifrei nu garantează neutralitatea întrebării.</w:t>
      </w:r>
    </w:p>
    <w:p>
      <w:pPr/>
      <w:r>
        <w:t xml:space="preserve">Un experiment social major oferă un reper empiric. Analiza realizată de Raj Chetty, Nathaniel Hendren și Lawrence Katz asupra programului Moving to Opportunity a găsit beneficii ulterioare pentru copiii care se mutaseră mai devreme în cartiere cu sărăcie mai redusă, pe baza unei intervenții cu vouchere distribuite prin loterie. Pentru adolescenți, rezultatele erau diferite și sugerau costuri posibile ale perturbării. Studiul nu spune că orice mutare este benefică. Arată că locul poate participa cauzal la oportunități și că momentul expunerii contează. </w:t>
      </w:r>
      <w:hyperlink w:anchor="ref_10" w:history="1">
        <w:r>
          <w:rPr>
            <w:color w:val="28516A"/>
            <w:rFonts w:ascii="Lato" w:hAnsi="Lato" w:cs="Lato" w:eastAsia="Lato"/>
            <w:sz w:val="17"/>
            <w:vertAlign w:val="superscript"/>
          </w:rPr>
          <w:t>[10]</w:t>
        </w:r>
      </w:hyperlink>
    </w:p>
    <w:p>
      <w:pPr/>
      <w:r>
        <w:t>Prin urmare, întrebarea „cine câștigă din conceptul de spațiu?” are mai multe răspunsuri. Câștigă cei care pot naviga, construi, coordona și verifica măsurători. Pot câștiga disproporționat cei care controlează accesul și pot prezenta distanțele instituționale drept simple fapte naturale. Pierd cei ale căror obstacole nu apar pe harta oficială.</w:t>
      </w:r>
    </w:p>
    <w:p>
      <w:pPr/>
      <w:r>
        <w:t>Arta poate face vizibile asemenea spații omise. Să imaginăm două picturi ale aceleiași piețe. Una păstrează perspectiva geometrică. Cealaltă mărește zonele interzise și comprimă locurile accesibile protagonistului. A doua este mai puțin exactă optic și poate fi mai exactă existențial. Nu concurează cu planul cadastral.</w:t>
      </w:r>
    </w:p>
    <w:p>
      <w:bookmarkStart w:id="3" w:name="chapter_3"/>
      <w:pPr>
        <w:pStyle w:val="Heading1"/>
        <w:pageBreakBefore/>
      </w:pPr>
      <w:r>
        <w:t>2. Ce trece atunci când trece timpul?</w:t>
      </w:r>
      <w:bookmarkEnd w:id="3"/>
    </w:p>
    <w:p>
      <w:pPr>
        <w:pStyle w:val="Heading2"/>
        <w:spacing w:before="0"/>
      </w:pPr>
      <w:r>
        <w:t>Ceasul nu este durata</w:t>
      </w:r>
    </w:p>
    <w:p>
      <w:pPr>
        <w:ind w:firstLine="0"/>
      </w:pPr>
      <w:r>
        <w:t>Un minut petrecut așteptând un rezultat medical și un minut petrecut într-o conversație fericită pot avea aceeași durată măsurată și o greutate trăită foarte diferită. Este timpul însuși schimbător sau se schimbă doar felul în care îl locuim?</w:t>
      </w:r>
    </w:p>
    <w:p>
      <w:pPr/>
      <w:r>
        <w:t>Întrebarea pare să ceară alegerea dintre fizică și experiență. Alegerea este prematură. Putem deosebi ordinea evenimentelor, intervalul măsurat de un ceas, orientarea proceselor ireversibile și senzația trecerii. Acestea sunt legate, dar nu sunt sinonime. O carte de fizică poate explica diferențele dintre două ceasuri fără să explice de ce o după-amiază a copilăriei pare mai întinsă decât o săptămână recentă.</w:t>
      </w:r>
    </w:p>
    <w:p>
      <w:pPr/>
      <w:r>
        <w:t xml:space="preserve">În Confesiuni, Augustin a formulat dificultatea timpului pornind tocmai de la această familiaritate care se destramă când încercăm să o explicăm. Trecutul nu mai este prezent, viitorul încă nu este, iar prezentul pare să se micșoreze atunci când vrem să-l fixăm. El a legat experiența temporală de memorie, atenție și așteptare. Nu era o teorie experimentală a creierului, ci o analiză a condițiilor în care putem trăi și măsura o succesiune. </w:t>
      </w:r>
      <w:hyperlink w:anchor="ref_11" w:history="1">
        <w:r>
          <w:rPr>
            <w:color w:val="28516A"/>
            <w:rFonts w:ascii="Lato" w:hAnsi="Lato" w:cs="Lato" w:eastAsia="Lato"/>
            <w:sz w:val="17"/>
            <w:vertAlign w:val="superscript"/>
          </w:rPr>
          <w:t>[11]</w:t>
        </w:r>
      </w:hyperlink>
    </w:p>
    <w:p>
      <w:pPr/>
      <w:r>
        <w:t>Puterea analizei se vede într-o melodie. O notă izolată nu este melodia. Pentru a auzi fraza muzicală, trebuie să păstrăm într-un fel ceea ce tocmai a trecut și să anticipăm ceea ce ar putea urma. Prezentul experienței nu funcționează ca un punct matematic lipsit de orice întindere. Aceasta nu demonstrează că timpul fizic are o „grosime psihologică”; demonstrează că descrierea unei experiențe cere relații între momente.</w:t>
      </w:r>
    </w:p>
    <w:p>
      <w:pPr/>
      <w:r>
        <w:t xml:space="preserve">Bergson a insistat asupra deosebirii dintre durata trăită și timpul tratat ca o succesiune de unități omogene. Experiențele se pot modifica reciproc: o teamă schimbă sensul unui sunet, iar finalul unei întâmplări reorganizează felul în care îi înțelegem începutul. Numărarea segmentelor nu epuizează acest fel de continuitate. Totuși, critica unei reprezentări spațializate a duratei nu este o infirmare a măsurătorilor fizice. </w:t>
      </w:r>
      <w:hyperlink w:anchor="ref_12" w:history="1">
        <w:r>
          <w:rPr>
            <w:color w:val="28516A"/>
            <w:rFonts w:ascii="Lato" w:hAnsi="Lato" w:cs="Lato" w:eastAsia="Lato"/>
            <w:sz w:val="17"/>
            <w:vertAlign w:val="superscript"/>
          </w:rPr>
          <w:t>[12]</w:t>
        </w:r>
      </w:hyperlink>
    </w:p>
    <w:p>
      <w:pPr/>
      <w:r>
        <w:t>Există aici două greșeli simetrice. Prima declară că numai timpul ceasului este real și că restul este o eroare fără importanță. A doua transformă orice variație subiectivă în dovadă că individul își poate modifica fizic timpul prin voință. O durere trăită mai lung nu modifică automat ritmul unui ceas atomic. Dar faptul că acel ceas nu înregistrează suferința nu anulează suferința.</w:t>
      </w:r>
    </w:p>
    <w:p>
      <w:pPr/>
      <w:r>
        <w:t xml:space="preserve">Experimentul realizat de Chess Stetson, Matthew Fiesta și David Eagleman asupra unei căderi controlate a separat două ipoteze: un eveniment înfricoșător poate fi estimat retrospectiv ca mai lung fără ca persoana să dobândească o rezoluție temporală vizuală mai bună. Rezultatele au susținut această disociere în sarcina studiată. Eșantionul și situația erau limitate; nu avem o lege universală a tuturor experiențelor traumatice. Avem însă un avertisment util: senzația de încetinire nu dovedește automat procesare perceptivă mai rapidă. </w:t>
      </w:r>
      <w:hyperlink w:anchor="ref_13" w:history="1">
        <w:r>
          <w:rPr>
            <w:color w:val="28516A"/>
            <w:rFonts w:ascii="Lato" w:hAnsi="Lato" w:cs="Lato" w:eastAsia="Lato"/>
            <w:sz w:val="17"/>
            <w:vertAlign w:val="superscript"/>
          </w:rPr>
          <w:t>[13]</w:t>
        </w:r>
      </w:hyperlink>
    </w:p>
    <w:p>
      <w:pPr/>
      <w:r>
        <w:t>Aceeași disciplină a distincțiilor ne va proteja și când vorbim despre conștiință. Ceea ce pare evident din interior poate fi autentic ca experiență și totuși interpretat greșit ca mecanism.</w:t>
      </w:r>
    </w:p>
    <w:p>
      <w:pPr>
        <w:pStyle w:val="Heading2"/>
      </w:pPr>
      <w:r>
        <w:t>De ce relativitatea schimbă sensul lui „acum”</w:t>
      </w:r>
    </w:p>
    <w:p>
      <w:pPr>
        <w:ind w:firstLine="0"/>
      </w:pPr>
      <w:r>
        <w:t xml:space="preserve">În viața cotidiană, presupunem un prezent comun. Chiar dacă două ceasuri nu sunt sincronizate, imaginăm că există o oră adevărată pe care am putea-o recupera. Relativitatea restrânge această intuiție: simultaneitatea evenimentelor îndepărtate depinde de cadrul de referință, în condițiile precizate de teorie. Nu există o procedură universală de a transforma toate ceasurile într-un singur prezent privilegiat al întregului univers. </w:t>
      </w:r>
      <w:hyperlink w:anchor="ref_5" w:history="1">
        <w:r>
          <w:rPr>
            <w:color w:val="28516A"/>
            <w:rFonts w:ascii="Lato" w:hAnsi="Lato" w:cs="Lato" w:eastAsia="Lato"/>
            <w:sz w:val="17"/>
            <w:vertAlign w:val="superscript"/>
          </w:rPr>
          <w:t>[5]</w:t>
        </w:r>
      </w:hyperlink>
    </w:p>
    <w:p>
      <w:pPr/>
      <w:r>
        <w:t>Putem înțelege miza fără să confundăm efectul cu întârzierea banală a luminii. Desigur că vedem lucrurile după ce semnalele ajung la noi. Dar relativitatea simultaneității rămâne chiar după ce corectăm metodic întârzierile în fiecare cadru. Dezacordul privește atribuirea timpului unor evenimente îndepărtate, nu simplul fapt că unul dintre observatori a primit târziu o fotografie.</w:t>
      </w:r>
    </w:p>
    <w:p>
      <w:pPr/>
      <w:r>
        <w:t>În schimb, teoria nu spune că orice ordine este arbitrară. Pentru evenimente între care poate exista o influență cauzală obișnuită, structura spațiu-timpului impune constrângeri. Libertatea de a alege coordonate nu oferă libertatea de a transforma orice efect în cauza sa. Un vocabular flexibil poate descrie o lume cu restricții foarte ferme.</w:t>
      </w:r>
    </w:p>
    <w:p>
      <w:pPr/>
      <w:r>
        <w:t xml:space="preserve">Timpul propriu este durata măsurată de un ceas de-a lungul traiectoriei sale. Două ceasuri care se separă și se reîntâlnesc pot acumula durate diferite, în funcție de traiectorii și de condițiile gravitaționale. Aceasta nu este doar o metaforă despre experiențe de viață diferite. Este o diferență fizică măsurabilă. </w:t>
      </w:r>
      <w:hyperlink w:anchor="ref_5" w:history="1">
        <w:r>
          <w:rPr>
            <w:color w:val="28516A"/>
            <w:rFonts w:ascii="Lato" w:hAnsi="Lato" w:cs="Lato" w:eastAsia="Lato"/>
            <w:sz w:val="17"/>
            <w:vertAlign w:val="superscript"/>
          </w:rPr>
          <w:t>[5]</w:t>
        </w:r>
      </w:hyperlink>
    </w:p>
    <w:p>
      <w:pPr/>
      <w:r>
        <w:t xml:space="preserve">În cercetarea cu ceasuri atomice, Tobias Bothwell și colaboratorii au rezolvat deplasarea gravitațională spre roșu chiar în interiorul unei probe atomice cu extindere milimetrică. Un rezultat atât de fin mută discuția din zona imaginilor spectaculoase cu nave cosmice în cea a metrologiei de laborator. El testează o predicție a relativității, nu o teorie a sensului personal al timpului. </w:t>
      </w:r>
      <w:hyperlink w:anchor="ref_14" w:history="1">
        <w:r>
          <w:rPr>
            <w:color w:val="28516A"/>
            <w:rFonts w:ascii="Lato" w:hAnsi="Lato" w:cs="Lato" w:eastAsia="Lato"/>
            <w:sz w:val="17"/>
            <w:vertAlign w:val="superscript"/>
          </w:rPr>
          <w:t>[14]</w:t>
        </w:r>
      </w:hyperlink>
    </w:p>
    <w:p>
      <w:pPr/>
      <w:r>
        <w:t>De aici până la ideea unui „univers-bloc” este însă un pas interpretativ. Putem reprezenta evenimentele într-o structură cu patru dimensiuni și putem discuta dacă trecutul, prezentul și viitorul au același statut ontologic. Reprezentarea matematică nu trebuie confundată cu o fotografie făcută din exteriorul timpului. Disputa dintre prezentism, eternalism și alte concepții privește ceea ce există, nu doar modul convenabil de a desena o diagramă.</w:t>
      </w:r>
    </w:p>
    <w:p>
      <w:pPr/>
      <w:r>
        <w:t>Să presupunem că alegem interpretarea în care toate evenimentele sunt părți ale unei structuri complete. Rezultă că efortul este inutil? Nu. În acea structură, efortul poate fi tocmai unul dintre procesele prin care apare rezultatul. Fatalismul spune că rezultatul vine indiferent de ceea ce facem. Determinismul spune, mult mai modest și mai precis, că ceea ce se întâmplă depinde potrivit unor reguli de stările relevante. Diferența dintre „cu acțiunea mea” și „indiferent de acțiunea mea” este enormă.</w:t>
      </w:r>
    </w:p>
    <w:p>
      <w:pPr/>
      <w:r>
        <w:t>Aceasta este o demonstrație conceptuală, nu o soluție a liberului arbitru. Ne eliberează însă de o falsă alternativă: ori suntem în afara naturii, ori deliberarea nu are nicio funcție. Un proces poate fi natural și totuși să modifice ceea ce urmează.</w:t>
      </w:r>
    </w:p>
    <w:p>
      <w:pPr>
        <w:pStyle w:val="Heading2"/>
      </w:pPr>
      <w:r>
        <w:t>Săgeata, memoria și dreptul de a folosi timpul altuia</w:t>
      </w:r>
    </w:p>
    <w:p>
      <w:pPr>
        <w:ind w:firstLine="0"/>
      </w:pPr>
      <w:r>
        <w:t>De ce ne amintim trecutul și nu viitorul? De ce se amestecă laptele cu cafeaua, în timp ce separarea spontană ne-ar surprinde? Răspunsurile care invocă entropia trebuie formulate cu mai multă grijă decât sloganul „totul tinde spre dezordine”. Entropia nu este o măsură universală a urâțeniei sau a haosului. În descrierile statistice, contează câte microstări sunt compatibile cu o descriere macroscopică și ce condiții inițiale presupunem.</w:t>
      </w:r>
    </w:p>
    <w:p>
      <w:pPr/>
      <w:r>
        <w:t>O imagine didactică ajută. Putem aranja un pachet de cărți într-o ordine foarte specifică. Există o singură ordine aleasă astfel, dar foarte multe aranjamente pe care le-am numi „amestecate”. Dacă dinamica explorează suficient spațiul posibilităților, este mult mai ușor să întâlnim un aranjament din clasa largă decât exact aranjamentul special. Nu am dedus termodinamica universului dintr-un pachet de cărți. Am identificat rolul unei asimetrii între descrieri grosiere și numeroasele lor realizări.</w:t>
      </w:r>
    </w:p>
    <w:p>
      <w:pPr/>
      <w:r>
        <w:t xml:space="preserve">Condițiile de frontieră sunt decisive. Murray Gell-Mann și James Hartle au examinat relația dintre simetrie temporală, condiții cosmologice și săgețile timpului. O lege dinamică nu epuizează singură povestea orientării temporale. Trebuie întrebat și în ce fel de stare se află sistemul și ce condiții sunt impuse la capetele istoriei sale. </w:t>
      </w:r>
      <w:hyperlink w:anchor="ref_15" w:history="1">
        <w:r>
          <w:rPr>
            <w:color w:val="28516A"/>
            <w:rFonts w:ascii="Lato" w:hAnsi="Lato" w:cs="Lato" w:eastAsia="Lato"/>
            <w:sz w:val="17"/>
            <w:vertAlign w:val="superscript"/>
          </w:rPr>
          <w:t>[15]</w:t>
        </w:r>
      </w:hyperlink>
    </w:p>
    <w:p>
      <w:pPr/>
      <w:r>
        <w:t>Aceasta împiedică o explicație circulară: nu putem explica pur și simplu trecutul special spunând că trecutul este locul de unde începe creșterea entropiei. Am redenumit problema. Originea unei stări cosmologice care permite asemenea asimetrii rămâne o întrebare fizică și filosofică distinctă.</w:t>
      </w:r>
    </w:p>
    <w:p>
      <w:pPr/>
      <w:r>
        <w:t>Memoria mai adaugă o relație: o urmă prezentă trebuie să poarte informație despre ceva care nu mai este prezent în același fel. O fotografie, o fosilă și o amintire neuronală sunt mecanisme foarte diferite, dar toate presupun corelații păstrate. Dacă orice schimbare ar șterge imediat toate urmele, ar exista succesiune fără istorie accesibilă.</w:t>
      </w:r>
    </w:p>
    <w:p>
      <w:pPr/>
      <w:r>
        <w:t xml:space="preserve">Informația are și condiții materiale. Verificarea experimentală a principiului lui Landauer de către Antoine Bérut și colaboratorii săi a investigat legătura dintre ștergerea logică a informației și disiparea termică într-un sistem controlat. Principiul privește anumite operații și condiții fizice; nu înseamnă că fiecare act de gândire costă exact o cantitate universală de energie. El arată de ce prelucrarea informației nu trebuie imaginată ca activitate desprinsă complet de termodinamică. </w:t>
      </w:r>
      <w:hyperlink w:anchor="ref_16" w:history="1">
        <w:r>
          <w:rPr>
            <w:color w:val="28516A"/>
            <w:rFonts w:ascii="Lato" w:hAnsi="Lato" w:cs="Lato" w:eastAsia="Lato"/>
            <w:sz w:val="17"/>
            <w:vertAlign w:val="superscript"/>
          </w:rPr>
          <w:t>[16]</w:t>
        </w:r>
      </w:hyperlink>
    </w:p>
    <w:p>
      <w:pPr/>
      <w:r>
        <w:t xml:space="preserve">Timpul social introduce altă ordine, construită, dar eficientă. În studiul său despre disciplina muncii, E. P. Thompson a urmărit transformarea relației dintre activitate, măsurarea timpului și organizarea industrială. Miza nu era inventarea timpului fizic, ci consolidarea unor practici prin care timpul de muncă devenea supravegheat, negociat și valorizat. </w:t>
      </w:r>
      <w:hyperlink w:anchor="ref_17" w:history="1">
        <w:r>
          <w:rPr>
            <w:color w:val="28516A"/>
            <w:rFonts w:ascii="Lato" w:hAnsi="Lato" w:cs="Lato" w:eastAsia="Lato"/>
            <w:sz w:val="17"/>
            <w:vertAlign w:val="superscript"/>
          </w:rPr>
          <w:t>[17]</w:t>
        </w:r>
      </w:hyperlink>
    </w:p>
    <w:p>
      <w:pPr/>
      <w:r>
        <w:t>O oră standard poate fi eliberatoare. Fără coordonare, întâlnirile, transportul și cooperarea la distanță devin mai dificile. Dar aceeași standardizare permite ca timpul cuiva să fie cumpărat în blocuri fără să fie observate costurile diferite ale acelor blocuri. O oră de noapte, o oră de îngrijire și o oră de așteptare impusă nu au aceeași semnificație doar fiindcă au aceeași durată.</w:t>
      </w:r>
    </w:p>
    <w:p>
      <w:pPr/>
      <w:r>
        <w:t>Să imaginăm o administrație care economisește zece minute pentru fiecare funcționar transferând câte treizeci de minute de așteptare fiecărui solicitant. În raportul intern, eficiența crește. Pentru comunitate, timpul total consumat poate crește. Fizica nu a fost încălcată; contabilitatea morală a fost îngustată. Acest exemplu inventat arată de ce cine definește unitatea relevantă poate decide și cine devine invizibil.</w:t>
      </w:r>
    </w:p>
    <w:p>
      <w:pPr/>
      <w:r>
        <w:t xml:space="preserve">Nici reprezentarea culturală a timpului nu are o singură formă. Într-un studiu realizat în Pormpuraaw, Lera Boroditsky și Alice Gaby au găsit ordonări ale secvențelor temporale pe direcția est–vest, nu pur și simplu de la stânga la dreapta față de corp. Rezultatul privește participanții și sarcinile studiate; nu autorizează o psihologie totală a unei culturi. Arată că unele convenții cognitive considerate evidente nu sunt universale. </w:t>
      </w:r>
      <w:hyperlink w:anchor="ref_18" w:history="1">
        <w:r>
          <w:rPr>
            <w:color w:val="28516A"/>
            <w:rFonts w:ascii="Lato" w:hAnsi="Lato" w:cs="Lato" w:eastAsia="Lato"/>
            <w:sz w:val="17"/>
            <w:vertAlign w:val="superscript"/>
          </w:rPr>
          <w:t>[18]</w:t>
        </w:r>
      </w:hyperlink>
    </w:p>
    <w:p>
      <w:pPr/>
      <w:r>
        <w:t>Arta exploatează tocmai separarea dintre succesiune și prezentare. Un roman poate arăta mai întâi efectul și abia apoi cauza. O piesă muzicală poate transforma așteptarea în tensiune și repetarea în sens. Din asemenea experiențe putem învăța să distingem timpul unei întâmplări de timpul în care o înțelegem. Sensul nu trebuie să fie disponibil simultan cu evenimentul.</w:t>
      </w:r>
    </w:p>
    <w:p>
      <w:pPr/>
      <w:r>
        <w:t>Cine câștigă din timpul măsurabil? Aproape oricine participă la o cooperare complexă. Cine poate pierde? Cel a cărui durată trăită, recuperare sau îngrijire este redusă la o rubrică fără context. Soluția nu este abolirea ceasurilor, ci refuzul de a le transforma în singurii judecători ai vieții.</w:t>
      </w:r>
    </w:p>
    <w:p>
      <w:pPr/>
      <w:r>
        <w:t>Timpul ne confruntă astfel cu o limită fertilă. Putem măsura foarte exact unele relații temporale fără să știm de ce există temporalitate. Putem trăi intens trecerea fără să identificăm mecanismul ei. Iar o civilizație poate deveni tot mai precisă în cronometrare și tot mai puțin atentă la ceea ce face cu timpul celor care o alcătuiesc.</w:t>
      </w:r>
    </w:p>
    <w:p>
      <w:pPr>
        <w:pStyle w:val="PartLabel"/>
        <w:pageBreakBefore/>
      </w:pPr>
      <w:r>
        <w:t>PARTEA A II-A · CE LEAGĂ LUCRURILE</w:t>
      </w:r>
    </w:p>
    <w:p>
      <w:bookmarkStart w:id="4" w:name="chapter_4"/>
      <w:pPr>
        <w:pStyle w:val="Heading1"/>
        <w:pageBreakBefore w:val="0"/>
      </w:pPr>
      <w:r>
        <w:t>3. Ce înseamnă „din cauza”?</w:t>
      </w:r>
      <w:bookmarkEnd w:id="4"/>
    </w:p>
    <w:p>
      <w:pPr>
        <w:pStyle w:val="Heading2"/>
        <w:spacing w:before="0"/>
      </w:pPr>
      <w:r>
        <w:t>Patru întrebări ascunse într-un singur cuvânt</w:t>
      </w:r>
    </w:p>
    <w:p>
      <w:pPr>
        <w:ind w:firstLine="0"/>
      </w:pPr>
      <w:r>
        <w:t>Un pod s-a prăbușit. Inginerul vorbește despre o fisură. Administratorul, despre un buget insuficient. Un martor spune că ultimul camion era prea greu. Un istoric amintește o cultură instituțională a amânării reparațiilor. Care dintre ei a identificat cauza?</w:t>
      </w:r>
    </w:p>
    <w:p>
      <w:pPr/>
      <w:r>
        <w:t>Pot avea dreptate mai mulți, dar nu în același sens. Unii descriu mecanismul imediat. Alții, condițiile care au făcut mecanismul probabil. Alții identifică intervenția care ar fi prevenit dezastrul. Dacă transformăm problema într-o competiție pentru un singur cuvânt, riscăm să pierdem tocmai informația necesară pentru a construi un pod mai sigur.</w:t>
      </w:r>
    </w:p>
    <w:p>
      <w:pPr/>
      <w:r>
        <w:t xml:space="preserve">Aristotel distingea explicații prin materie, formă, sursa schimbării și finalitate. În exemplul unei case, materialele, organizarea lor, constructorul și scopul adăpostirii răspund unor întrebări diferite. Nu trebuie să introducem aceste patru explicații nemodificate în fizica actuală. Merită însă păstrată observația că „de ce?” nu formulează întotdeauna aceeași cerere. </w:t>
      </w:r>
      <w:hyperlink w:anchor="ref_19" w:history="1">
        <w:r>
          <w:rPr>
            <w:color w:val="28516A"/>
            <w:rFonts w:ascii="Lato" w:hAnsi="Lato" w:cs="Lato" w:eastAsia="Lato"/>
            <w:sz w:val="17"/>
            <w:vertAlign w:val="superscript"/>
          </w:rPr>
          <w:t>[19]</w:t>
        </w:r>
      </w:hyperlink>
    </w:p>
    <w:p>
      <w:pPr/>
      <w:r>
        <w:t>Când întrebăm de ce bate inima, putem căuta mecanismul contracției, istoria evolutivă a organului sau rolul circulației în organism. Explicația prin funcție nu presupune automat că viitorul trage prezentul după el. Putem spune că un sistem are un rol fără să atribuim fiecărui proces intenții omenești. Confuzia dintre funcție și intenție este una dintre sursele impresiei că natura trebuie să gândească înainte să producă ordine.</w:t>
      </w:r>
    </w:p>
    <w:p>
      <w:pPr/>
      <w:r>
        <w:t xml:space="preserve">Hume a pus sub presiune ideea unei necesități cauzale pe care am vedea-o direct. Observăm succesiuni și regularități, apoi ne așteptăm ca ele să continue. Dar saltul de la ceea ce s-a întâmplat la ceea ce trebuie să se întâmple nu este justificat doar prin repetarea experienței. Problema nu era că oamenii ar trebui să înceteze să învețe, ci că temeiul inferenței este mai dificil decât pare. </w:t>
      </w:r>
      <w:hyperlink w:anchor="ref_20" w:history="1">
        <w:r>
          <w:rPr>
            <w:color w:val="28516A"/>
            <w:rFonts w:ascii="Lato" w:hAnsi="Lato" w:cs="Lato" w:eastAsia="Lato"/>
            <w:sz w:val="17"/>
            <w:vertAlign w:val="superscript"/>
          </w:rPr>
          <w:t>[20]</w:t>
        </w:r>
      </w:hyperlink>
    </w:p>
    <w:p>
      <w:pPr/>
      <w:r>
        <w:t>O mie de dimineți în care un om hrănește un animal pot forma o regularitate solidă din perspectiva animalului. Ele nu garantează intențiile omului în dimineața următoare. Exemplul nu infirmă inducția; arată de ce o regularitate devine mai informativă când înțelegem condițiile care o susțin.</w:t>
      </w:r>
    </w:p>
    <w:p>
      <w:pPr/>
      <w:r>
        <w:t xml:space="preserve">Kant a răspuns schimbând nivelul analizei: cauzalitatea nu este doar o obișnuință adăugată unor impresii, ci participă la organizarea experienței obiective a succesiunii. Proiectul său încearcă să explice cum putem avea o lume de evenimente, nu doar un flux privat de impresii. Totuși, dintr-o condiție filosofică a experienței nu decurge direct forma unei anumite ecuații fizice. </w:t>
      </w:r>
      <w:hyperlink w:anchor="ref_4" w:history="1">
        <w:r>
          <w:rPr>
            <w:color w:val="28516A"/>
            <w:rFonts w:ascii="Lato" w:hAnsi="Lato" w:cs="Lato" w:eastAsia="Lato"/>
            <w:sz w:val="17"/>
            <w:vertAlign w:val="superscript"/>
          </w:rPr>
          <w:t>[4]</w:t>
        </w:r>
      </w:hyperlink>
    </w:p>
    <w:p>
      <w:pPr/>
      <w:r>
        <w:t>În această tensiune trăim și astăzi. Avem nevoie de cauze pentru a acționa, dar nu primim cauzele sub forma unor etichete vizibile pe evenimente. Trebuie să le inferăm, să le testăm și să precizăm față de ce alternativă le considerăm relevante.</w:t>
      </w:r>
    </w:p>
    <w:p>
      <w:pPr>
        <w:pStyle w:val="Heading2"/>
      </w:pPr>
      <w:r>
        <w:t>De ce o corelație poate spune povestea invers</w:t>
      </w:r>
    </w:p>
    <w:p>
      <w:pPr>
        <w:ind w:firstLine="0"/>
      </w:pPr>
      <w:r>
        <w:t>Să inventăm un exemplu complet, fără pretenția că descrie un studiu real. O organizație vrea să afle dacă un curs îmbunătățește promovarea la un examen. Are o sută de angajați experimentați și o sută de începători.</w:t>
      </w:r>
    </w:p>
    <w:p>
      <w:pPr/>
      <w:r>
        <w:t>Dintre cei experimentați, nouăzeci urmează cursul: șaptezeci și doi promovează. Dintre cei zece care nu îl urmează, nouă promovează. Ratele sunt 80% și 90%. În acest grup, participanții la curs au rezultate mai slabe cu zece puncte procentuale.</w:t>
      </w:r>
    </w:p>
    <w:p>
      <w:pPr/>
      <w:r>
        <w:t>Dintre începători, zece urmează cursul și doi promovează. Dintre cei nouăzeci care nu îl urmează, douăzeci și șapte promovează. Ratele sunt 20% și 30%. Și în acest grup, participanții au rezultate mai slabe cu zece puncte procentuale.</w:t>
      </w:r>
    </w:p>
    <w:p>
      <w:pPr/>
      <w:r>
        <w:t>Acum agregăm datele. La curs au mers o sută de oameni, dintre care șaptezeci și patru au promovat: 74%. Fără curs au rămas o sută, dintre care treizeci și șase au promovat: 36%. O prezentare comercială ar putea anunța un avantaj spectaculos al cursului, deși în fiecare dintre cele două categorii asocierea merge în direcția opusă.</w:t>
      </w:r>
    </w:p>
    <w:p>
      <w:pPr/>
      <w:r>
        <w:t>Aritmetica nu este contradictorie. Grupurile agregate au compoziții diferite. Cursul a atras mai ales persoane care aveau deja șanse mari de promovare. Dar nici comparațiile pe categorii nu dovedesc singure că acest curs face rău. Pot exista diferențe suplimentare între participanți și neparticipanți. Exemplul este o demonstrație a insuficienței unei anumite inferențe, nu un experiment care identifică un efect real.</w:t>
      </w:r>
    </w:p>
    <w:p>
      <w:pPr/>
      <w:r>
        <w:t xml:space="preserve">Distincția centrală a inferenței cauzale este între a observa o asociere și a modifica deliberat o condiție. Judea Pearl a formulat instrumente prin care ipotezele despre structură pot fi exprimate explicit și legate de date observaționale sau intervenționale. Un graf cauzal nu este o fotografie a cauzelor ascunse. Este un set de angajamente despre relații, pe care identificarea efectelor se sprijină. </w:t>
      </w:r>
      <w:hyperlink w:anchor="ref_21" w:history="1">
        <w:r>
          <w:rPr>
            <w:color w:val="28516A"/>
            <w:rFonts w:ascii="Lato" w:hAnsi="Lato" w:cs="Lato" w:eastAsia="Lato"/>
            <w:sz w:val="17"/>
            <w:vertAlign w:val="superscript"/>
          </w:rPr>
          <w:t>[21]</w:t>
        </w:r>
      </w:hyperlink>
    </w:p>
    <w:p>
      <w:pPr/>
      <w:r>
        <w:t>Într-un experiment randomizat bine executat, alocarea intervenției reduce anumite confuzii sistematice. Tot rămân întrebări: cine a intrat în studiu, ce s-a măsurat, ce efecte secundare au fost omise, cât a durat urmărirea, în ce alte contexte se păstrează rezultatul? A demonstra un efect într-un cadru nu înseamnă a obține o lege fără condiții pentru toate cadrele.</w:t>
      </w:r>
    </w:p>
    <w:p>
      <w:pPr/>
      <w:r>
        <w:t>Cauzalitatea are și o dimensiune contrafactuală. Când afirmăm că un gard a împiedicat accidentul, comparăm lumea observată cu o alternativă în care gardul lipsea, păstrând relevante alte condiții. Nu observăm direct ambele istorii ale aceluiași eveniment. Construim justificarea comparației din mecanisme, experimente, regularități și ipoteze.</w:t>
      </w:r>
    </w:p>
    <w:p>
      <w:pPr/>
      <w:r>
        <w:t>Această dependență de alternative explică de ce oamenii pot numi cauze diferite fără să fie complet iraționali. În cazul incendiului, oxigenul este indispensabil. Totuși, ancheta caută adesea scurtcircuitul, deoarece acesta este condiția neobișnuită și modificabilă. Dacă am cerceta arderea într-o navă cu atmosferă controlată, concentrația oxigenului ar putea deveni tocmai variabila centrală.</w:t>
      </w:r>
    </w:p>
    <w:p>
      <w:pPr/>
      <w:r>
        <w:t>O explicație utilă face vizibilă alegerea: „cauză pentru ce rezultat, comparat cu ce alternativă și în vederea cărei intervenții?”. Când aceste întrebări rămân ascunse, dezbaterea despre cauze poate funcționa ca o luptă pentru distribuirea costurilor.</w:t>
      </w:r>
    </w:p>
    <w:p>
      <w:pPr>
        <w:pStyle w:val="Heading2"/>
      </w:pPr>
      <w:r>
        <w:t>Cât de departe poate merge ordinea cauzală?</w:t>
      </w:r>
    </w:p>
    <w:p>
      <w:pPr>
        <w:ind w:firstLine="0"/>
      </w:pPr>
      <w:r>
        <w:t xml:space="preserve">Experiența obișnuită sugerează evenimente localizate care se influențează într-o ordine clară. Fizica cuantică nu permite să extindem fără precauții toate aceste intuiții. Experimentele asupra inegalităților Bell, inclusiv cel realizat de Bas Hensen și colaboratorii săi în 2015, pun sub presiune descrieri care satisfac simultan anumite condiții de localitate și independență a alegerilor de măsurare. Rezultatul nu este demonstrația că mintea creează materia și nici un protocol pentru transmiterea controlată a mesajelor mai repede decât lumina. </w:t>
      </w:r>
      <w:hyperlink w:anchor="ref_22" w:history="1">
        <w:r>
          <w:rPr>
            <w:color w:val="28516A"/>
            <w:rFonts w:ascii="Lato" w:hAnsi="Lato" w:cs="Lato" w:eastAsia="Lato"/>
            <w:sz w:val="17"/>
            <w:vertAlign w:val="superscript"/>
          </w:rPr>
          <w:t>[22]</w:t>
        </w:r>
      </w:hyperlink>
    </w:p>
    <w:p>
      <w:pPr/>
      <w:r>
        <w:t>Putem înțelege forma lecției chiar fără detaliile experimentului. O teorie poate exclude un pachet de presupuneri fără să ne spună că orice presupunere extravagantă rămasă este adevărată. Când un suspect este eliminat, nu este condamnat automat primul trecător.</w:t>
      </w:r>
    </w:p>
    <w:p>
      <w:pPr/>
      <w:r>
        <w:t xml:space="preserve">Ognyan Oreshkov, Fabio Costa și Časlav Brukner au investigat un cadru teoretic în care corelațiile cuantice pot fi analizate fără a presupune de la început o ordine cauzală globală fixă. Acest lucru lărgește vocabularul fizicii. Nu echivalează cu posibilitatea cotidiană de a trimite un avertisment în propria copilărie și de a produce orice paradox dorim. „Fără ordine cauzală globală fixă” are un sens tehnic, nu înseamnă absența tuturor constrângerilor. </w:t>
      </w:r>
      <w:hyperlink w:anchor="ref_23" w:history="1">
        <w:r>
          <w:rPr>
            <w:color w:val="28516A"/>
            <w:rFonts w:ascii="Lato" w:hAnsi="Lato" w:cs="Lato" w:eastAsia="Lato"/>
            <w:sz w:val="17"/>
            <w:vertAlign w:val="superscript"/>
          </w:rPr>
          <w:t>[23]</w:t>
        </w:r>
      </w:hyperlink>
    </w:p>
    <w:p>
      <w:pPr/>
      <w:r>
        <w:t>Dacă ordinea cauzală ar fi ea însăși emergentă, ar trebui să explicăm de ce la scara vieții noastre este atât de stabilă. Un fundament straniu nu scutește teoria de obligația de a recupera lucrurile obișnuite. Tocmai banalitatea robustă a experienței devine atunci una dintre cele mai importante date de explicat.</w:t>
      </w:r>
    </w:p>
    <w:p>
      <w:pPr/>
      <w:r>
        <w:t>Există și o limită conceptuală: nu orice dependență este o cauză temporală. Triunghiul are trei laturi prin ceea ce înțelegem prin triunghi, nu fiindcă definiția a lovit un obiect și i-a produs încă o latură. O datorie poate exista în virtutea unui contract și a unor instituții. Această constituire nu este identică cu impulsul transmis între două bile. Vom avea nevoie de asemenea distincții când vom întreba de ce există universul însuși.</w:t>
      </w:r>
    </w:p>
    <w:p>
      <w:pPr/>
      <w:r>
        <w:t>În viața socială, însă, cea mai periculoasă confuzie este între explicație și absolvire. Dacă identificăm condiții care au contribuit la o agresiune, nu rezultă că agresiunea devine acceptabilă. Dacă recunoaștem rolul alegerii unui individ, nu rezultă că instituțiile nu au nicio responsabilitate. Răspunderea implică norme despre capacitate, control, prevenție și reparație; nu poate fi citită direct dintr-o ecuație a mișcării.</w:t>
      </w:r>
    </w:p>
    <w:p>
      <w:pPr/>
      <w:r>
        <w:t>Să ne întoarcem la pod. Explicația exclusiv microscopică poate enumera interacțiuni până la ruperea materialului. Ea nu răspunde automat întrebării cine trebuia să închidă circulația. Explicația exclusiv morală poate găsi un vinovat fără să identifice defectul care va distruge următorul pod. O societate competentă are nevoie de ambele tipuri de muncă, legate, dar neconfundate.</w:t>
      </w:r>
    </w:p>
    <w:p>
      <w:pPr/>
      <w:r>
        <w:t>Cine câștigă din ambiguitatea cauzalității? Uneori cel care poate prezenta o condiție manipulabilă drept inevitabilitate. Alteori cel care atribuie unei persoane toate efectele unui sistem. Dar și explicațiile structurale pot fi instrumentalizate: dacă „sistemul” este definit astfel încât nimeni să nu mai poată face nimic, o analiză aparent profundă poate deveni o tehnică de demobilizare.</w:t>
      </w:r>
    </w:p>
    <w:p>
      <w:pPr/>
      <w:r>
        <w:t>Criteriul practic propus aici este simplu: o explicație cauzală bună ar trebui să îmbunătățească atât predicția, cât și alegerea intervențiilor, fără să ascundă ipotezele și distribuția consecințelor. Uneori trebuie completată cu o explicație istorică sau morală. Completarea nu este un defect al științei; este recunoașterea faptului că întrebările noastre nu sunt toate de același tip.</w:t>
      </w:r>
    </w:p>
    <w:p>
      <w:pPr/>
      <w:r>
        <w:t>Cauzalitatea nu este doar lanțul care ne leagă de trecut. Este vocabularul prin care încercăm să aflăm unde mai există loc pentru o diferență produsă de acțiune. Dar dacă asemenea diferențe sunt stabile, ce anume le stabilizează? Aici intrăm în teritoriul legilor.</w:t>
      </w:r>
    </w:p>
    <w:p>
      <w:bookmarkStart w:id="5" w:name="chapter_5"/>
      <w:pPr>
        <w:pStyle w:val="Heading1"/>
        <w:pageBreakBefore/>
      </w:pPr>
      <w:r>
        <w:t>4. Cine scrie legile naturii?</w:t>
      </w:r>
      <w:bookmarkEnd w:id="5"/>
    </w:p>
    <w:p>
      <w:pPr>
        <w:pStyle w:val="Heading2"/>
        <w:spacing w:before="0"/>
      </w:pPr>
      <w:r>
        <w:t>O lege nu este o poruncă</w:t>
      </w:r>
    </w:p>
    <w:p>
      <w:pPr>
        <w:ind w:firstLine="0"/>
      </w:pPr>
      <w:r>
        <w:t>O piatră nu poate fi amendată pentru că încalcă gravitația. Observația pare o glumă, dar arată capcana cuvântului „lege”. Legile sociale pot fi încălcate și continuă să fie legi. O pretinsă lege fizică infirmată în condițiile ei de aplicare trebuie revizuită, restrânsă sau abandonată.</w:t>
      </w:r>
    </w:p>
    <w:p>
      <w:pPr/>
      <w:r>
        <w:t xml:space="preserve">Când vorbim despre legi ale naturii, importăm uneori fără să observăm imaginea unui legislator. Natura ar avea instrucțiuni, iar lucrurile le-ar executa. Aceasta este o interpretare posibilă, nu ceva demonstrat de faptul că o ecuație prezice bine. O altă interpretare vede legea ca descriere compactă a regularităților. O a treia o leagă de capacitățile sau dispozițiile reale ale lucrurilor. Aceste familii de poziții încearcă să explice aceeași stabilitate fără să o situeze în același loc ontologic. </w:t>
      </w:r>
      <w:hyperlink w:anchor="ref_24" w:history="1">
        <w:r>
          <w:rPr>
            <w:color w:val="28516A"/>
            <w:rFonts w:ascii="Lato" w:hAnsi="Lato" w:cs="Lato" w:eastAsia="Lato"/>
            <w:sz w:val="17"/>
            <w:vertAlign w:val="superscript"/>
          </w:rPr>
          <w:t>[24]</w:t>
        </w:r>
      </w:hyperlink>
    </w:p>
    <w:p>
      <w:pPr/>
      <w:r>
        <w:t>Trebuie întâi separat inventarul. Există legi dinamice, care descriu schimbări. Există principii de simetrie, care indică transformări sub care descrierea își păstrează structura. Există legi de conservare, constrângeri și relații statistice. Există relații constitutive pentru materiale și regimuri particulare. Există regularități empirice utile, dar fragile. Iar o condiție inițială nu devine lege doar fiindcă avem nevoie de ea pentru a calcula ce urmează.</w:t>
      </w:r>
    </w:p>
    <w:p>
      <w:pPr/>
      <w:r>
        <w:t>Într-un model simplu al unui pendul, regula mișcării și poziția din care este eliberat au roluri diferite. Regula poate fi aceeași pentru multe experimente; condiția inițială le diferențiază. Dacă schimbăm pendulul cu un dispozitiv cu frecare importantă, nu am demonstrat că universul și-a modificat legea fundamentală. Am depășit idealizările modelului precedent.</w:t>
      </w:r>
    </w:p>
    <w:p>
      <w:pPr/>
      <w:r>
        <w:t>Aceeași precauție se aplică unor „legi” din economie sau psihologie. O regularitate condiționată de instituții, învățare și așteptări nu trebuie tratată ca o constantă cosmică. Uneori oamenii își schimbă comportamentul chiar pentru că au aflat predicția. Dacă o instituție folosește un indicator ca țintă, actorii pot învăța să optimizeze indicatorul, nu fenomenul pe care acesta trebuia să-l reprezinte. Acest scenariu se poate deduce din diferența dintre scop și măsură; nu are nevoie de o nouă forță naturală.</w:t>
      </w:r>
    </w:p>
    <w:p>
      <w:pPr/>
      <w:r>
        <w:t>Există și reguli logice sau matematice. Într-o demonstrație, concluzia este constrânsă de premise și de regulile de inferență. Acesta nu este același sens al constrângerii ca într-un experiment fizic. Faptul că o ecuație are o soluție nu garantează că natura realizează acea soluție. Trebuie specificate interpretarea și legătura cu observațiile.</w:t>
      </w:r>
    </w:p>
    <w:p>
      <w:pPr/>
      <w:r>
        <w:t>De aceea, legile nu „justifică” direct conceptele de spațiu, emoție sau existență. Ele constrâng modelele fenomenelor cărora le aplicăm aceste concepte. Definiția stabilește despre ce încercăm să vorbim. Experimentul verifică dacă distincția făcută surprinde ceva reproductibil. Teoria explică relațiile. Metafizica întreabă ce fel de realitate presupunem. Cercetarea devine confuză când una dintre aceste sarcini pretinde că le-a rezolvat automat pe celelalte.</w:t>
      </w:r>
    </w:p>
    <w:p>
      <w:pPr>
        <w:pStyle w:val="Heading2"/>
      </w:pPr>
      <w:r>
        <w:t>Simetrie, necesitate și posibilitatea schimbării</w:t>
      </w:r>
    </w:p>
    <w:p>
      <w:pPr>
        <w:ind w:firstLine="0"/>
      </w:pPr>
      <w:r>
        <w:t xml:space="preserve">Una dintre cele mai profunde legături descoperite în fizica matematică este cea formulată de Emmy Noether între anumite simetrii continue ale acțiunii și mărimi conservate. Rezultatul are ipoteze matematice precise; nu spune că orice fel de frumusețe sau regularitate produce o conservare. În contextul potrivit, invarianța față de translații în timp se leagă de conservarea energiei. </w:t>
      </w:r>
      <w:hyperlink w:anchor="ref_25" w:history="1">
        <w:r>
          <w:rPr>
            <w:color w:val="28516A"/>
            <w:rFonts w:ascii="Lato" w:hAnsi="Lato" w:cs="Lato" w:eastAsia="Lato"/>
            <w:sz w:val="17"/>
            <w:vertAlign w:val="superscript"/>
          </w:rPr>
          <w:t>[25]</w:t>
        </w:r>
      </w:hyperlink>
    </w:p>
    <w:p>
      <w:pPr/>
      <w:r>
        <w:t xml:space="preserve">Această legătură explică și de ce trebuie să fim atenți cu sloganurile. În relativitatea generală, conservarea locală și existența unei energii globale definite în modul familiar nu sunt aceeași afirmație. Geometria și simetriile disponibile contează. Nu este corect să folosim fără precizări ideea „energia universului este întotdeauna o sumă constantă” ca soluție a oricărei întrebări cosmologice. </w:t>
      </w:r>
      <w:hyperlink w:anchor="ref_25" w:history="1">
        <w:r>
          <w:rPr>
            <w:color w:val="28516A"/>
            <w:rFonts w:ascii="Lato" w:hAnsi="Lato" w:cs="Lato" w:eastAsia="Lato"/>
            <w:sz w:val="17"/>
            <w:vertAlign w:val="superscript"/>
          </w:rPr>
          <w:t>[25]</w:t>
        </w:r>
      </w:hyperlink>
      <w:r>
        <w:t xml:space="preserve"> </w:t>
      </w:r>
      <w:hyperlink w:anchor="ref_5" w:history="1">
        <w:r>
          <w:rPr>
            <w:color w:val="28516A"/>
            <w:rFonts w:ascii="Lato" w:hAnsi="Lato" w:cs="Lato" w:eastAsia="Lato"/>
            <w:sz w:val="17"/>
            <w:vertAlign w:val="superscript"/>
          </w:rPr>
          <w:t>[5]</w:t>
        </w:r>
      </w:hyperlink>
    </w:p>
    <w:p>
      <w:pPr/>
      <w:r>
        <w:t>Frumusețea matematică poate astfel avea valoare euristică: o simetrie sugerează o structură de investigat. Dar frumusețea nu este un vot prin care universul trebuie să accepte teoria noastră. Putem admira o ecuație și totuși cere o predicție care să o expună riscului de a greși.</w:t>
      </w:r>
    </w:p>
    <w:p>
      <w:pPr/>
      <w:r>
        <w:t>Ce ar însemna să se schimbe o lege? Cel puțin trei lucruri distincte. S-ar putea schimba comportamentul efectiv al unui sistem fiindcă acesta intră într-o altă fază. S-ar putea schimba o constantă aparentă deoarece, într-o teorie mai largă, ea este valoarea unui câmp dinamic. Sau s-ar putea modifica însuși mecanismul fundamental, dacă o asemenea descriere are sens și poate fi specificată. Nu putem deduce a treia situație doar observând prima.</w:t>
      </w:r>
    </w:p>
    <w:p>
      <w:pPr/>
      <w:r>
        <w:t>Apa care îngheață oferă o imagine accesibilă a primei posibilități. Proprietățile macroscopice se schimbă dramatic fără ca atomii să primească, în acea clipă, o constituție cosmică nouă. În mod analog, o teorie efectivă poate avea parametri care depind de scara la care o folosim. Dependența de scară nu este identică cu îmbătrânirea temporală a legilor.</w:t>
      </w:r>
    </w:p>
    <w:p>
      <w:pPr/>
      <w:r>
        <w:t>Nici verificarea constantelor nu este pur verbală. Pentru a distinge o variație fizică de o schimbare de unități, trebuie să formulăm comparații operaționale și, în mod deosebit, să urmărim rapoarte fără dimensiuni. Dacă modificăm simultan rigla și ceea ce numim metru, o schimbare de număr poate să nu exprime o schimbare detectabilă a lumii. Întrebarea relevantă este ce comparație între procese ar da alt rezultat.</w:t>
      </w:r>
    </w:p>
    <w:p>
      <w:pPr/>
      <w:r>
        <w:t>Putem imagina o lume în care o regulă este înlocuită periodic de alta. Dar dacă succesiunea înlocuirilor urmează o regulă stabilă, am descris o metalege. Dacă succesiunea nu urmează nicio regularitate accesibilă, capacitatea de predicție se reduce. În niciun caz nu am explicat automat de ce există ordinea completă. Am deplasat întrebarea cu un nivel.</w:t>
      </w:r>
    </w:p>
    <w:p>
      <w:pPr/>
      <w:r>
        <w:t>Această deplasare nu este neapărat inutilă. Multe explicații bune au arătat că un fenomen considerat elementar rezultă din altul. Devine însă înșelătoare când este prezentată drept eliminarea tuturor presupunerilor. O explicație profundă poate reduce numărul presupunerilor și fără să ajungă la zero.</w:t>
      </w:r>
    </w:p>
    <w:p>
      <w:pPr>
        <w:pStyle w:val="Heading2"/>
      </w:pPr>
      <w:r>
        <w:t>De unde ar putea veni ordinea?</w:t>
      </w:r>
    </w:p>
    <w:p>
      <w:pPr>
        <w:ind w:firstLine="0"/>
      </w:pPr>
      <w:r>
        <w:t>Să examinăm răspunsurile fără să le transformăm în tabere cu caricaturi.</w:t>
      </w:r>
    </w:p>
    <w:p>
      <w:pPr/>
      <w:r>
        <w:t xml:space="preserve">Într-o perspectivă de tip humean, legile aparțin celui mai bun sistem de descriere a faptelor: un compromis între simplitate și putere explicativă. Nu mai trebuie imaginat un mecanism exterior prin care legea obligă evenimentele. Dificultatea se mută spre criteriile sistemului „cel mai bun” și spre întrebarea dacă regularitatea este doar consemnată sau efectiv explicată. </w:t>
      </w:r>
      <w:hyperlink w:anchor="ref_24" w:history="1">
        <w:r>
          <w:rPr>
            <w:color w:val="28516A"/>
            <w:rFonts w:ascii="Lato" w:hAnsi="Lato" w:cs="Lato" w:eastAsia="Lato"/>
            <w:sz w:val="17"/>
            <w:vertAlign w:val="superscript"/>
          </w:rPr>
          <w:t>[24]</w:t>
        </w:r>
      </w:hyperlink>
    </w:p>
    <w:p>
      <w:pPr/>
      <w:r>
        <w:t>O concepție a legilor ca principii care guvernează lumea ia necesitatea mai în serios ca ingredient al realității. Ea răspunde intuiției că legea ar trebui să explice și ceea ce s-ar fi întâmplat în situații neobservate. Costul este să clarifice ce înseamnă această guvernare fără să ascundă în cuvântul „necesitate” exact misterul pe care voia să-l rezolve.</w:t>
      </w:r>
    </w:p>
    <w:p>
      <w:pPr/>
      <w:r>
        <w:t>O concepție dispozițională situează ordinea în puterile entităților: lucrurile se comportă astfel în virtutea naturii lor. Dar și aici întrebarea revine: ce identifică acea natură, cum o cunoaștem independent de comportament și de ce are tocmai aceste puteri? Răspunsul poate fi coerent fără să fie ultim.</w:t>
      </w:r>
    </w:p>
    <w:p>
      <w:pPr/>
      <w:r>
        <w:t>O perspectivă structurală acordă prioritate relațiilor. În locul unor obiecte complet determinate înainte de orice legătură, avem entități identificate prin locul ocupat într-o rețea de relații. Aceasta se potrivește unor intuiții ale fizicii moderne, dar potrivirea nu este o demonstrație metafizică. Rămâne de explicat ce deosebește structura realizată fizic de o structură doar posibilă matematic.</w:t>
      </w:r>
    </w:p>
    <w:p>
      <w:pPr/>
      <w:r>
        <w:t xml:space="preserve">Teismul poate propune un fundament intențional al ordinii. În unele tradiții, Dumnezeu susține continuu existența; în altele, este accentuată autonomia cauzelor create. Ocazionalismul formulează o variantă mai radicală, în care eficacitatea cauzală ultimă este atribuită lui Dumnezeu, nu creaturilor considerate separat. Tradițiile islamice și creștine nu au avut o singură poziție în această problemă. </w:t>
      </w:r>
      <w:hyperlink w:anchor="ref_26" w:history="1">
        <w:r>
          <w:rPr>
            <w:color w:val="28516A"/>
            <w:rFonts w:ascii="Lato" w:hAnsi="Lato" w:cs="Lato" w:eastAsia="Lato"/>
            <w:sz w:val="17"/>
            <w:vertAlign w:val="superscript"/>
          </w:rPr>
          <w:t>[26]</w:t>
        </w:r>
      </w:hyperlink>
    </w:p>
    <w:p>
      <w:pPr/>
      <w:r>
        <w:t>Critica serioasă nu constă în a declara dinainte orice răspuns religios lipsit de sens. Constă în a întreba ce explică suplimentar, ce presupune și ce observații ar putea conta împotriva unei afirmații empirice asociate lui. Dacă orice rezultat posibil este compatibil cu aceeași intenție divină nespecificată, ipoteza poate funcționa ca interpretare metafizică, dar nu discriminează între rezultate experimentale.</w:t>
      </w:r>
    </w:p>
    <w:p>
      <w:pPr/>
      <w:r>
        <w:t xml:space="preserve">Emergența oferă o altă direcție. Ted Jacobson a arătat cum ecuația lui Einstein poate fi obținută, într-un argument teoretic, din ipoteze termodinamice despre orizonturi locale și entropie. Este un exemplu important de schimbare a statutului unei ecuații: ea poate fi privită ca o relație de tip ecuație de stare, nu neapărat ca instrucțiune microscopică ultimă. Argumentul are ipoteze și domeniu; nu dovedește că am identificat substratul final al universului. </w:t>
      </w:r>
      <w:hyperlink w:anchor="ref_27" w:history="1">
        <w:r>
          <w:rPr>
            <w:color w:val="28516A"/>
            <w:rFonts w:ascii="Lato" w:hAnsi="Lato" w:cs="Lato" w:eastAsia="Lato"/>
            <w:sz w:val="17"/>
            <w:vertAlign w:val="superscript"/>
          </w:rPr>
          <w:t>[27]</w:t>
        </w:r>
      </w:hyperlink>
    </w:p>
    <w:p>
      <w:pPr/>
      <w:r>
        <w:t>Selecția dintre lumi posibile sau dintre regiuni cosmologice ridică problema observatorului. Nu ar trebui să fim surprinși că observăm condiții compatibile cu existența observatorilor. Dar această observație nu produce singură o probabilitate pentru diferite legi. Pentru asta ar trebui specificate alternativele, distribuția lor și modul în care sunt numărați observatorii. Fără asemenea ingrediente, invocarea selecției poate fi doar o reformulare elegantă a surprizei.</w:t>
      </w:r>
    </w:p>
    <w:p>
      <w:pPr/>
      <w:r>
        <w:t>Rămâne și posibilitatea unui fapt brut: există această ordine și nu avem o explicație mai adâncă. Ea este frustrantă, dar nu incoerentă prin simpla frustrare. În sens opus, faptul că un răspuns ne oferă satisfacție nu este dovada că universul l-a ales. Nevoia umană de încheiere este un fapt despre oameni, nu o regulă obligatorie a realității.</w:t>
      </w:r>
    </w:p>
    <w:p>
      <w:pPr/>
      <w:r>
        <w:t>Cine beneficiază de imaginea unor legi fixe? Cercetarea, coordonarea și încrederea în intervenții reproductibile. Dar retorica inevitabilității poate proteja și aranjamente sociale schimbabile. Cine beneficiază de imaginea că totul este maleabil? Creativitatea și reforma, uneori; alteori vânzătorul de promisiuni fără constrângeri. Nici rigiditatea, nici fluiditatea nu au valoare morală independent de obiectul lor.</w:t>
      </w:r>
    </w:p>
    <w:p>
      <w:pPr/>
      <w:r>
        <w:t>O societate matură ar trebui să poată spune simultan: această constrângere fizică este reală; această regulă instituțională este negociabilă; această limită a modelului este necunoscută. A le amesteca produce fie fatalism, fie magie. A le separa produce spațiu pentru cunoaștere și pentru acțiune.</w:t>
      </w:r>
    </w:p>
    <w:p>
      <w:bookmarkStart w:id="6" w:name="chapter_6"/>
      <w:pPr>
        <w:pStyle w:val="Heading1"/>
        <w:pageBreakBefore/>
      </w:pPr>
      <w:r>
        <w:t>5. Mai mult decât suma părților?</w:t>
      </w:r>
      <w:bookmarkEnd w:id="6"/>
    </w:p>
    <w:p>
      <w:pPr>
        <w:pStyle w:val="Heading2"/>
        <w:spacing w:before="0"/>
      </w:pPr>
      <w:r>
        <w:t>Trei sensuri ale reducționismului</w:t>
      </w:r>
    </w:p>
    <w:p>
      <w:pPr>
        <w:ind w:firstLine="0"/>
      </w:pPr>
      <w:r>
        <w:t>Dacă am cunoaște perfect toate particulele unei biblioteci, am cunoaște și sensul cărților? Întrebarea este mai puțin simplă decât pare. O descriere fizică suficientă ar putea determina fiecare literă. Dar citirea literelor, identificarea limbii și înțelegerea unei ironii cer alte organizări ale informației. Dependența de suport nu este identică cu accesibilitatea explicației.</w:t>
      </w:r>
    </w:p>
    <w:p>
      <w:pPr/>
      <w:r>
        <w:t xml:space="preserve">„Reducționism” poate însemna cel puțin trei lucruri. Ontologic, poate afirma că nu avem nevoie de un tip suplimentar de substanță pentru a explica obiectele complexe. Metodologic, poate recomanda să desfacem sistemele în componente pentru a înțelege mecanismele. Explicativ, poate pretinde că explicația la nivel inferior înlocuiește toate explicațiile la nivel superior. Primele două nu implică automat a treia. </w:t>
      </w:r>
      <w:hyperlink w:anchor="ref_28" w:history="1">
        <w:r>
          <w:rPr>
            <w:color w:val="28516A"/>
            <w:rFonts w:ascii="Lato" w:hAnsi="Lato" w:cs="Lato" w:eastAsia="Lato"/>
            <w:sz w:val="17"/>
            <w:vertAlign w:val="superscript"/>
          </w:rPr>
          <w:t>[28]</w:t>
        </w:r>
      </w:hyperlink>
    </w:p>
    <w:p>
      <w:pPr/>
      <w:r>
        <w:t>Să luăm o propoziție banală: fereastra s-a spart deoarece a fost lovită de o piatră. Putem coborî către elasticitate, structura materialului și interacțiuni microscopice. Această aprofundare este valoroasă. Totuși, dacă vrem să împiedicăm repetarea unui act de vandalism, o descriere mai exactă a legăturilor atomice nu înlocuiește investigarea motivelor, a supravegherii sau a conflictului.</w:t>
      </w:r>
    </w:p>
    <w:p>
      <w:pPr/>
      <w:r>
        <w:t>Nu apar prin aceasta două lumi fără legătură. Apar întrebări diferite adresate aceleiași lumi. Reducerea poate explica posibilitatea unui fenomen fără să furnizeze singură explicația cea mai utilă pentru toate aspectele sale.</w:t>
      </w:r>
    </w:p>
    <w:p>
      <w:pPr/>
      <w:r>
        <w:t xml:space="preserve">Philip Anderson a condensat critica unei reconstrucții naive în formula „mai mult este diferit”. A cunoaște legile componentelor nu oferă automat o înțelegere efectivă a organizării colective. Într-un rezultat ulterior, Mile Gu și colaboratorii au demonstrat limite generale de derivare a unor proprietăți macroscopice pentru o clasă idealizată de rețele Ising infinite și periodice. Calificarea „infinite” este esențială: rezultatul nu arată că orice proprietate a oricărui sistem finit este imposibil de calculat. </w:t>
      </w:r>
      <w:hyperlink w:anchor="ref_29" w:history="1">
        <w:r>
          <w:rPr>
            <w:color w:val="28516A"/>
            <w:rFonts w:ascii="Lato" w:hAnsi="Lato" w:cs="Lato" w:eastAsia="Lato"/>
            <w:sz w:val="17"/>
            <w:vertAlign w:val="superscript"/>
          </w:rPr>
          <w:t>[29]</w:t>
        </w:r>
      </w:hyperlink>
    </w:p>
    <w:p>
      <w:pPr/>
      <w:r>
        <w:t>Avem astfel o scară a dificultăților. Uneori calculul este posibil și ieftin. Alteori este posibil în principiu, dar resursele îl fac impracticabil. Alteori o problemă formulată pentru o clasă nelimitată de sisteme nu admite un algoritm general. Și există întrebări prost formulate, unde nu calculul lipsește, ci criteriul rezultatului. A numi toate aceste situații „mister” nu ajută.</w:t>
      </w:r>
    </w:p>
    <w:p>
      <w:pPr/>
      <w:r>
        <w:t>La extrema opusă, cuvântul „emergență” poate ascunde lipsa unei explicații. Dacă spunem că o proprietate apare din interacțiuni, trebuie să indicăm care interacțiuni, ce organizare, în ce condiții și ce diferență produce schimbarea lor. Altfel, „emergent” devine doar forma respectabilă a expresiei „și apoi s-a întâmplat ceva”.</w:t>
      </w:r>
    </w:p>
    <w:p>
      <w:pPr/>
      <w:r>
        <w:t xml:space="preserve">Un mecanism mai precis decât invocarea generală a emergenței este renormalizarea. În studiul fenomenelor critice, descrierea se schimbă treptat de la detaliile mici la scări mai mari. Unele diferențe microscopice își pierd importanța pentru comportamentul urmărit; altele rămân decisive. Sisteme cu componente diferite pot astfel aparține aceleiași clase de universalitate. Nu au devenit identice în orice privință: împărtășesc anumite relații și forme de comportament în regimul relevant. Ideea punctelor fixe ale acestei transformări între scări explică de ce regularitățile colective pot fi robuste. </w:t>
      </w:r>
      <w:hyperlink w:anchor="ref_30" w:history="1">
        <w:r>
          <w:rPr>
            <w:color w:val="28516A"/>
            <w:rFonts w:ascii="Lato" w:hAnsi="Lato" w:cs="Lato" w:eastAsia="Lato"/>
            <w:sz w:val="17"/>
            <w:vertAlign w:val="superscript"/>
          </w:rPr>
          <w:t>[30]</w:t>
        </w:r>
      </w:hyperlink>
    </w:p>
    <w:p>
      <w:pPr/>
      <w:r>
        <w:t>Pentru o analogie controlată, să ne imaginăm un mozaic pe care îl privim mai întâi de aproape și apoi de departe. În primul caz vedem fiecare piesă. În al doilea păstrăm numai media unor blocuri. Dacă schimbăm o piesă, imaginea de ansamblu poate rămâne aproape aceeași. Dacă schimbăm organizarea pe regiuni mari, diferența persistă. Această mediere nu este ea însăși o derivare a teoriei fizice, dar arată de ce „a pierde informație” poate permite găsirea unei regularități relevante, nu doar degradarea cunoașterii.</w:t>
      </w:r>
    </w:p>
    <w:p>
      <w:pPr/>
      <w:r>
        <w:t>Există însă un preț. Două configurații microscopice foarte diferite pot produce aceeași descriere colectivă. Succesul legii macroscopice nu identifică atunci unic substratul. Paradoxul este instructiv: tocmai faptul că o lege efectivă ignoră multe detalii o poate face utilă, dar o face și insuficientă pentru a reconstrui toate acele detalii. Din robustețea predicției nu rezultă transparența fundamentului.</w:t>
      </w:r>
    </w:p>
    <w:p>
      <w:pPr/>
      <w:r>
        <w:t>Acesta este un răspuns parțial la întrebarea despre apariția legilor: unele regularități sunt stabile deoarece numeroase realizări microscopice converg către aceeași descriere la scara observată. Rămâne întrebarea de ce există familia de mecanisme care permite această convergență. Am explicat autonomia unei legi colective fără să pretindem că am explicat existența oricărei legi posibile.</w:t>
      </w:r>
    </w:p>
    <w:p>
      <w:pPr>
        <w:pStyle w:val="Heading2"/>
      </w:pPr>
      <w:r>
        <w:t>Cum poate întregul să conteze fără o forță magică</w:t>
      </w:r>
    </w:p>
    <w:p>
      <w:pPr>
        <w:ind w:firstLine="0"/>
      </w:pPr>
      <w:r>
        <w:t>Imaginați-vă două dispozitive construite din aceleași componente. Unul este cablat ca alarmă, celălalt ca instrument muzical. Inventarul pieselor poate fi identic, comportamentul nu. Diferența nu este o substanță nouă adăugată pieselor. Este organizarea relațiilor dintre ele și cu mediul.</w:t>
      </w:r>
    </w:p>
    <w:p>
      <w:pPr/>
      <w:r>
        <w:t>Într-un asemenea caz, a explica numai piesele înseamnă a omite tocmai variabila care diferențiază sistemele. Invers, a vorbi numai despre „întreg” fără să arătăm cum este realizat în componente lasă explicația suspendată. O analiză bună circulă între niveluri.</w:t>
      </w:r>
    </w:p>
    <w:p>
      <w:pPr/>
      <w:r>
        <w:t>Constrângerile sunt un exemplu. Forma unui canal schimbă felul în care curge apa. Putem numi această influență una a nivelului macro asupra mișcărilor locale, fără să presupunem că forma acționează în afara fizicii. Forma este realizată fizic de pereți; descrierea ei globală selectează aspectul relevant. „De sus în jos” poate desemna o relație explicativă între niveluri de organizare, nu un ordin imaterial transmis moleculelor.</w:t>
      </w:r>
    </w:p>
    <w:p>
      <w:pPr/>
      <w:r>
        <w:t>În biologie, o mutație nu are un efect independent de organism și mediu. Un organ nu funcționează într-un vid. Iar organismul își modifică uneori mediul, schimbând condițiile în care vor acționa alte procese. Aceste observații funcționale ne împiedică să identificăm simplist cauza cu cea mai mică piesă pe care o putem numi.</w:t>
      </w:r>
    </w:p>
    <w:p>
      <w:pPr/>
      <w:r>
        <w:t xml:space="preserve">Selecția naturală, în forma de bază formulată de Darwin, leagă variația, ereditatea și diferențele de succes reproductiv. Nu presupune o minte care planifică adaptările și nici nu oferă o scară morală a ființelor. Ceea ce se păstrează depinde de condiții și de istorie; nu este automat ceea ce ar alege un proiectant preocupat de bunăstarea tuturor. </w:t>
      </w:r>
      <w:hyperlink w:anchor="ref_31" w:history="1">
        <w:r>
          <w:rPr>
            <w:color w:val="28516A"/>
            <w:rFonts w:ascii="Lato" w:hAnsi="Lato" w:cs="Lato" w:eastAsia="Lato"/>
            <w:sz w:val="17"/>
            <w:vertAlign w:val="superscript"/>
          </w:rPr>
          <w:t>[31]</w:t>
        </w:r>
      </w:hyperlink>
    </w:p>
    <w:p>
      <w:pPr/>
      <w:r>
        <w:t>Un succes biologic nu este același lucru cu un succes economic, iar niciunul nu este identic cu o viață bună. Putem imagina un comportament care aduce resurse imediat, dar distruge relații esențiale ulterior. Putem imagina și un comportament costisitor individual care susține un mediu cooperant. Pentru a spune ce este selectat, trebuie descris mecanismul de transmitere și orizontul relevant, nu doar admirat câștigătorul vizibil.</w:t>
      </w:r>
    </w:p>
    <w:p>
      <w:pPr/>
      <w:r>
        <w:t>Să construim un mic joc imaginar. Doi participanți pot coopera sau trăda. Dacă ambii cooperează, fiecare primește trei unități. Dacă unul trădează și celălalt cooperează, primul primește cinci, al doilea zero. Dacă ambii trădează, fiecare primește una. Într-o singură rundă, structura stimulentelor favorizează trădarea. Dar dacă interacțiunea se repetă, cei doi își pot condiționa comportamentul de trecut. Beneficiul imediat de două unități al trădării poate fi depășit de pierderea cooperării viitoare.</w:t>
      </w:r>
    </w:p>
    <w:p>
      <w:pPr/>
      <w:r>
        <w:t>Nu am demonstrat că oamenii sunt buni sau răi. Am arătat că aceeași capacitate poate fi avantajoasă ori dezavantajoasă în funcție de organizarea relațiilor. Prin urmare, a întreba dacă empatia este „autosabotaj biologic” fără să precizăm mediul, partenerii și transmiterea trăsăturilor este ca și cum am întreba dacă viteza este bună fără să spunem pe ce drum mergem.</w:t>
      </w:r>
    </w:p>
    <w:p>
      <w:pPr/>
      <w:r>
        <w:t>Această distincție are o consecință politică. Instituțiile nu aleg doar între oameni deja formați; ele pot schimba ce comportamente sunt recompensate, observate și imitate. Nu rezultă automat că schimbările culturale produc imediat schimbări genetice. Transmiterea unei reguli, selectarea unui obicei și evoluția frecvențelor genetice sunt procese distincte, care trebuie investigate separat.</w:t>
      </w:r>
    </w:p>
    <w:p>
      <w:pPr>
        <w:pStyle w:val="Heading2"/>
      </w:pPr>
      <w:r>
        <w:t>Când simplitatea produce complexitate și când nu</w:t>
      </w:r>
    </w:p>
    <w:p>
      <w:pPr>
        <w:ind w:firstLine="0"/>
      </w:pPr>
      <w:r>
        <w:t xml:space="preserve">Un automat celular este o lume matematică în care elemente foarte simple își actualizează starea potrivit vecinilor și unei reguli locale. Matthew Cook a demonstrat că regula 110 poate susține calcul universal în construcția sa. Acest rezultat arată că o regulă scurtă poate permite comportamente computaționale foarte bogate. Nu arată că orice pornire aleatorie produce inteligență și nici că universul nostru folosește exact această regulă. </w:t>
      </w:r>
      <w:hyperlink w:anchor="ref_32" w:history="1">
        <w:r>
          <w:rPr>
            <w:color w:val="28516A"/>
            <w:rFonts w:ascii="Lato" w:hAnsi="Lato" w:cs="Lato" w:eastAsia="Lato"/>
            <w:sz w:val="17"/>
            <w:vertAlign w:val="superscript"/>
          </w:rPr>
          <w:t>[32]</w:t>
        </w:r>
      </w:hyperlink>
    </w:p>
    <w:p>
      <w:pPr/>
      <w:r>
        <w:t>Diferența dintre „permite” și „produce de obicei” este decisivă. O cutie cu litere permite scrierea unui tratat; agitația cutiei nu este o metodă suficientă de a-l scrie. O dinamică poate conține posibilitatea unui calcul complex, dar apariția și menținerea acelui calcul pot cere condiții inițiale, resurse și structuri foarte speciale.</w:t>
      </w:r>
    </w:p>
    <w:p>
      <w:pPr/>
      <w:r>
        <w:t>Când cineva propune că viața sau conștiința apare din câteva reguli simple, întrebarea corectă nu este „cum poate ceva atât de mic să producă ceva atât de mare?”. Exemplul calculului universal arată că simplitatea regulii nu exclude bogăția comportamentului. Întrebările mai bune sunt: ce reguli, ce stări inițiale, ce selecție a structurilor persistente, ce surse de energie, ce criteriu al vieții sau al conștiinței?</w:t>
      </w:r>
    </w:p>
    <w:p>
      <w:pPr/>
      <w:r>
        <w:t>Mai există o capcană. Desenăm în simulare un tipar în mișcare și îl numim „particulă”. Aceasta poate fi o abstracție utilă dacă tiparul persistă, interacționează și permite predicții. Dar nu am demonstrat că el posedă toate proprietățile unei particule fizice reale. Numele trebuie câștigat prin structură și comportament, nu doar prin asemănare vizuală.</w:t>
      </w:r>
    </w:p>
    <w:p>
      <w:pPr/>
      <w:r>
        <w:t>Același criteriu se aplică unei emoții simulate. Dacă agentul evită un pericol, am implementat un comportament de evitare. Dacă își ajustează resursele interne, am implementat o reglare. Dacă raportează „mi-e frică”, am implementat și un raport. Dacă toate acestea constituie o frică trăită este o întrebare suplimentară, care depinde de o teorie a experienței și de dovezi pe care simpla denumire nu le furnizează.</w:t>
      </w:r>
    </w:p>
    <w:p>
      <w:pPr/>
      <w:r>
        <w:t>În societate, reducționismul poate fi eliberator atunci când demontează explicații mistificatoare și descoperă mecanisme modificabile. Poate deveni opresiv când reduce o persoană la un scor și tratează ceea ce scorul omite ca inexistent. Holismul poate corecta această orbire, dar poate și proteja autorități care invocă un „întreg” inaccesibil oricărei verificări.</w:t>
      </w:r>
    </w:p>
    <w:p>
      <w:pPr/>
      <w:r>
        <w:t>Nu există, așadar, o alegere morală automată între mic și mare. Contează transparența trecerii dintre niveluri. Un spital are nevoie de mecanisme biologice, de organizare și de experiența pacientului. O explicație care leagă aceste niveluri este mai puternică decât una care proclamă victoria definitivă a unuia singur.</w:t>
      </w:r>
    </w:p>
    <w:p>
      <w:pPr/>
      <w:r>
        <w:t>Arta oferă un analog fără a ține loc de probă fizică. Același vocabular poate forma o insultă, o consolare sau o poezie. Ordinea și contextul modifică efectul. Sensul nu este un ingredient suplimentar turnat peste litere, dar nici nu poate fi recuperat prin simpla numărare a lor. Ceea ce trebuie explicat este tocmai relația dintre suport, organizare și interpretare.</w:t>
      </w:r>
    </w:p>
    <w:p>
      <w:pPr/>
      <w:r>
        <w:t>Poziția rezonabilă nu este „totul se reduce” și nici „nimic important nu se reduce”. Este mai exigentă: orice explicație trebuie să arate ce păstrează când schimbă nivelul și ce pierde. Dacă pierde proprietatea pe care trebuia să o explice, nu a realizat o reducere completă. Dacă invocă proprietăți suplimentare, trebuie să arate de ce sunt necesare și cum ar putea fi recunoscute.</w:t>
      </w:r>
    </w:p>
    <w:p>
      <w:pPr/>
      <w:r>
        <w:t>Cu această exigență putem trece de la ordinea lumii la interiorul ei trăit. Nu mai întrebăm doar cum se mișcă materia. Întrebăm cum ajunge o parte a naturii să aibă ceva de câștigat sau de pierdut și, eventual, cum ajunge acel câștig sau acea pierdere să fie simțit.</w:t>
      </w:r>
    </w:p>
    <w:p>
      <w:pPr>
        <w:pStyle w:val="PartLabel"/>
        <w:pageBreakBefore/>
      </w:pPr>
      <w:r>
        <w:t>PARTEA A III-A · LUMEA CARE SE SIMTE</w:t>
      </w:r>
    </w:p>
    <w:p>
      <w:bookmarkStart w:id="7" w:name="chapter_7"/>
      <w:pPr>
        <w:pStyle w:val="Heading1"/>
        <w:pageBreakBefore w:val="0"/>
      </w:pPr>
      <w:r>
        <w:t>6. De ce există ceva care contează pentru cineva?</w:t>
      </w:r>
      <w:bookmarkEnd w:id="7"/>
    </w:p>
    <w:p>
      <w:pPr>
        <w:pStyle w:val="Heading2"/>
        <w:spacing w:before="0"/>
      </w:pPr>
      <w:r>
        <w:t>De la pasiune la reglarea unei vieți</w:t>
      </w:r>
    </w:p>
    <w:p>
      <w:pPr>
        <w:ind w:firstLine="0"/>
      </w:pPr>
      <w:r>
        <w:t>Pe masă se află o fotografie. Pentru un observator este o suprafață cu contraste și culori. Pentru altul este ultima imagine a unei persoane iubite. Nicio analiză a pigmenților, luată singură, nu explică de ce același obiect poate fi indiferent sau devastator.</w:t>
      </w:r>
    </w:p>
    <w:p>
      <w:pPr/>
      <w:r>
        <w:t>Nu trebuie să alegem între a spune că fotografia posedă fizic tristețea și a spune că tristețea este ireală. Relația contează. Obiectul întâlnește un organism cu memorie, atașamente, anticipări și o anumită istorie. Experiența nu este doar în fotografie și nu poate fi înțeleasă complet fără fotografie.</w:t>
      </w:r>
    </w:p>
    <w:p>
      <w:pPr/>
      <w:r>
        <w:t>Vom folosi câteva distincții de lucru, nu definiții proclamate universale. „Afect” va desemna dimensiuni generale ale trăirii, precum plăcut–neplăcut și activare–liniștire. „Emoție” va desemna un episod organizat în raport cu ceva semnificativ, implicând în combinații variabile evaluări, corp, tendințe de acțiune și experiență. „Trăire afectivă” va desemna aspectul simțit. „Sentiment”, în sensul folosit aici, poate desemna o orientare mai durabilă, precum iubirea sau resentimentul. Limbajul cotidian nu respectă întotdeauna aceste granițe, iar cercetătorii nu au un singur vocabular comun.</w:t>
      </w:r>
    </w:p>
    <w:p>
      <w:pPr/>
      <w:r>
        <w:t>Distincția ne ajută să evităm o eroare: iubirea nu încetează să existe în fiecare clipă în care persoana iubită nu se află în centrul atenției. O dispoziție relațională poate persista fără un episod intens permanent. Invers, un episod intens nu stabilește singur existența unui angajament durabil.</w:t>
      </w:r>
    </w:p>
    <w:p>
      <w:pPr/>
      <w:r>
        <w:t xml:space="preserve">În Etica, Spinoza tratează afectele ca parte a naturii și le leagă de variațiile puterii noastre de a acționa. În loc să le considere simple accidente rușinoase ale unei minți care ar trebui să fie pură, încearcă să le facă inteligibile prin cauze. Libertatea nu este absența tuturor determinărilor, ci se leagă de o înțelegere mai adecvată a acestora. Putem găsi aici o perspectivă fertilă fără să adoptăm întregul său sistem metafizic. </w:t>
      </w:r>
      <w:hyperlink w:anchor="ref_33" w:history="1">
        <w:r>
          <w:rPr>
            <w:color w:val="28516A"/>
            <w:rFonts w:ascii="Lato" w:hAnsi="Lato" w:cs="Lato" w:eastAsia="Lato"/>
            <w:sz w:val="17"/>
            <w:vertAlign w:val="superscript"/>
          </w:rPr>
          <w:t>[33]</w:t>
        </w:r>
      </w:hyperlink>
    </w:p>
    <w:p>
      <w:pPr/>
      <w:r>
        <w:t xml:space="preserve">Darwin a adus expresia emoțională într-o istorie naturală care include continuități între oameni și alte animale. William James a provocat ulterior intuiția că întâi apare emoția completă și abia apoi corpul îi execută ordinul. În analiza sa, perceperea schimbărilor corporale participa constitutiv la ceea ce numim emoție. Nu toate formele actuale ale cercetării păstrează teoria lui James, dar întrebarea despre rolul corpului nu mai poate fi tratată ca un amănunt. </w:t>
      </w:r>
      <w:hyperlink w:anchor="ref_34" w:history="1">
        <w:r>
          <w:rPr>
            <w:color w:val="28516A"/>
            <w:rFonts w:ascii="Lato" w:hAnsi="Lato" w:cs="Lato" w:eastAsia="Lato"/>
            <w:sz w:val="17"/>
            <w:vertAlign w:val="superscript"/>
          </w:rPr>
          <w:t>[34]</w:t>
        </w:r>
      </w:hyperlink>
      <w:r>
        <w:t xml:space="preserve"> </w:t>
      </w:r>
      <w:hyperlink w:anchor="ref_35" w:history="1">
        <w:r>
          <w:rPr>
            <w:color w:val="28516A"/>
            <w:rFonts w:ascii="Lato" w:hAnsi="Lato" w:cs="Lato" w:eastAsia="Lato"/>
            <w:sz w:val="17"/>
            <w:vertAlign w:val="superscript"/>
          </w:rPr>
          <w:t>[35]</w:t>
        </w:r>
      </w:hyperlink>
    </w:p>
    <w:p>
      <w:pPr/>
      <w:r>
        <w:t>Aceste mutări au o consecință comună: emoția încetează să fie doar adversarul rațiunii. Un organism are nevoie să selecteze ce este urgent, ce merită păstrat și ce poate fi ignorat. Din faptul că o emoție are un rol nu rezultă că verdictul ei este întotdeauna corect. O alarmă poate fi indispensabilă și poate produce alarme false.</w:t>
      </w:r>
    </w:p>
    <w:p>
      <w:pPr/>
      <w:r>
        <w:t>Un sistem perfect indiferent ar avea o problemă diferită de eroare: de ce ar alege să facă ceva? Chiar și o mașină fără experiență poate primi obiective și funcții de evaluare. Aceasta arată că prioritizarea se poate defini funcțional. Nu arată încă de ce la unele organisme prioritizarea este însoțită de o trăire.</w:t>
      </w:r>
    </w:p>
    <w:p>
      <w:pPr/>
      <w:r>
        <w:t>Aici apare puntea dintre emoție și conștiință. Unele întrebări privesc controlul comportamentului: cum evităm pericolul? Altele privesc experiența: de ce evitarea poate să doară înainte de contactul cu pericolul? Dacă le confundăm, vom pretinde fie prea repede că am explicat trăirea, fie prea repede că nu am explicat nimic.</w:t>
      </w:r>
    </w:p>
    <w:p>
      <w:pPr>
        <w:pStyle w:val="Heading2"/>
      </w:pPr>
      <w:r>
        <w:t>Emoțiile sunt descoperite sau construite?</w:t>
      </w:r>
    </w:p>
    <w:p>
      <w:pPr>
        <w:ind w:firstLine="0"/>
      </w:pPr>
      <w:r>
        <w:t>Luați două persoane cu puls accelerat înainte de a urca pe scenă. Una își numește starea panică, cealaltă entuziasm. Nu putem concluziona că stările sunt identice doar pentru că un indicator corporal este similar. Dar nici nu putem concluziona că denumirea verbală creează din nimic corpul, situația și istoria lor.</w:t>
      </w:r>
    </w:p>
    <w:p>
      <w:pPr/>
      <w:r>
        <w:t xml:space="preserve">Teoriile emoțiilor de bază caută organizări biologice relativ distincte, cu funcții și tipare recurente. Teoriile evaluării pun accent pe felul în care situația este interpretată în raport cu scopurile. Teoriile construcționiste examinează cum sunt alcătuite episoadele din procese mai generale, concepte, experiență și reglarea organismului. Aceste abordări nu se suprapun perfect și nici nu reprezintă o simplă alegere între biologie și cultură. </w:t>
      </w:r>
      <w:hyperlink w:anchor="ref_36" w:history="1">
        <w:r>
          <w:rPr>
            <w:color w:val="28516A"/>
            <w:rFonts w:ascii="Lato" w:hAnsi="Lato" w:cs="Lato" w:eastAsia="Lato"/>
            <w:sz w:val="17"/>
            <w:vertAlign w:val="superscript"/>
          </w:rPr>
          <w:t>[36]</w:t>
        </w:r>
      </w:hyperlink>
    </w:p>
    <w:p>
      <w:pPr/>
      <w:r>
        <w:t xml:space="preserve">Lisa Feldman Barrett propune, în teoria emoției construite, un rol central pentru interocepție, predicție și categorizare. Este un model teoretic influent, nu verdictul final al domeniului. El ne invită să întrebăm ce regularități provin din organizarea organismului și ce regularități depind de categoriile prin care situațiile sunt recunoscute. </w:t>
      </w:r>
      <w:hyperlink w:anchor="ref_36" w:history="1">
        <w:r>
          <w:rPr>
            <w:color w:val="28516A"/>
            <w:rFonts w:ascii="Lato" w:hAnsi="Lato" w:cs="Lato" w:eastAsia="Lato"/>
            <w:sz w:val="17"/>
            <w:vertAlign w:val="superscript"/>
          </w:rPr>
          <w:t>[36]</w:t>
        </w:r>
      </w:hyperlink>
    </w:p>
    <w:p>
      <w:pPr/>
      <w:r>
        <w:t xml:space="preserve">Un studiu al lui Alan Cowen și Dacher Keltner a identificat, în autoevaluările provocate de un anumit set de materiale video, douăzeci și șapte de categorii de experiență emoțională, conectate prin tranziții graduale. Numărul nu trebuie transformat într-un tabel periodic definitiv al sufletului. El depinde de material, participanți, raportare și analiză. Rezultatul este interesant tocmai fiindcă sugerează o organizare mai bogată decât câteva etichete izolate și complet separate. </w:t>
      </w:r>
      <w:hyperlink w:anchor="ref_37" w:history="1">
        <w:r>
          <w:rPr>
            <w:color w:val="28516A"/>
            <w:rFonts w:ascii="Lato" w:hAnsi="Lato" w:cs="Lato" w:eastAsia="Lato"/>
            <w:sz w:val="17"/>
            <w:vertAlign w:val="superscript"/>
          </w:rPr>
          <w:t>[37]</w:t>
        </w:r>
      </w:hyperlink>
    </w:p>
    <w:p>
      <w:pPr/>
      <w:r>
        <w:t>Putem formula astfel un principiu general: descoperirea unei structuri statistice nu stabilește singură statutul ontologic al categoriilor. Dacă datele formează trei grupuri, trebuie să întrebăm de ce: trei mecanisme distincte, trei contexte, trei cuvinte folosite frecvent sau efectul instrumentului de măsurare? Gruparea este începutul explicației, nu sfârșitul ei.</w:t>
      </w:r>
    </w:p>
    <w:p>
      <w:pPr/>
      <w:r>
        <w:t>Același lucru este valabil pentru expresiile feței. Un zâmbet poate apărea într-o bucurie, într-o încercare de politețe sau într-o situație de disconfort. Exemplul arată logic de ce o expresie, considerată fără context, nu oferă o identificare infailibilă a unei stări. Un sistem care clasifică mișcarea mușchilor nu a demonstrat prin asta că citește experiența persoanei.</w:t>
      </w:r>
    </w:p>
    <w:p>
      <w:pPr/>
      <w:r>
        <w:t>A construi un concept poate totuși schimba experiența. Să presupunem că o persoană simte de mult o tensiune pe care o tratează ca defect personal. Descoperă apoi o distincție între oboseală, teamă și umilință. Noua distincție îi poate modifica întrebările și acțiunile. Dar beneficiul unei etichete trebuie judecat după ce permite să observăm și să facem, nu după cât de mult pare să explice instantaneu.</w:t>
      </w:r>
    </w:p>
    <w:p>
      <w:pPr/>
      <w:r>
        <w:t>Există și etichete care îngustează. Dacă orice nemulțumire devine „negativitate”, nu mai putem distinge o reacție disproporționată de un protest justificat. Dacă orice teamă devine patologie, putem pierde informația despre pericol. Dacă orice suferință devine dovada unei profunzimi superioare, putem romantiza o stare care are nevoie de ajutor. Numele poate elibera sau închide, în funcție de utilizare.</w:t>
      </w:r>
    </w:p>
    <w:p>
      <w:pPr/>
      <w:r>
        <w:t>Prin urmare, emoțiile nu sunt nici simple obiecte interne cu etichete naturale perfecte, nici ficțiuni sociale fără corp. Cel puțin pentru analiza practică, ele trebuie urmărite ca procese situate: organism, istorie, interpretare, mediu și relație. O explicație completă ar trebui să precizeze contribuția fiecăruia și să arate ce se modifică atunci când intervenim.</w:t>
      </w:r>
    </w:p>
    <w:p>
      <w:pPr>
        <w:pStyle w:val="Heading2"/>
      </w:pPr>
      <w:r>
        <w:t>Cine are voie să simtă și cine trebuie să zâmbească?</w:t>
      </w:r>
    </w:p>
    <w:p>
      <w:pPr>
        <w:ind w:firstLine="0"/>
      </w:pPr>
      <w:r>
        <w:t xml:space="preserve">Sociologia emoțiilor adaugă o întrebare pe care laboratorul o poate omite: ce emoție este permisă cui? Arlie Hochschild a analizat „regulile sentimentelor” și munca prin care oamenii încearcă să-și modeleze trăirile potrivit așteptărilor sociale. Nu gestionăm doar comportamente vizibile; uneori ni se cere să devenim interior persoana pe care rolul o pretinde. </w:t>
      </w:r>
      <w:hyperlink w:anchor="ref_38" w:history="1">
        <w:r>
          <w:rPr>
            <w:color w:val="28516A"/>
            <w:rFonts w:ascii="Lato" w:hAnsi="Lato" w:cs="Lato" w:eastAsia="Lato"/>
            <w:sz w:val="17"/>
            <w:vertAlign w:val="superscript"/>
          </w:rPr>
          <w:t>[38]</w:t>
        </w:r>
      </w:hyperlink>
    </w:p>
    <w:p>
      <w:pPr/>
      <w:r>
        <w:t>Să imaginăm două scene. Un client se declară indignat și cere imediat atenție. Un angajat, la fel de indignat, trebuie să răspundă calm și cald. Nu este necesar ca unul să aibă o biologie mai rațională decât celălalt. Rolurile distribuie diferit dreptul de a exterioriza emoția și obligația de a o regla.</w:t>
      </w:r>
    </w:p>
    <w:p>
      <w:pPr/>
      <w:r>
        <w:t>Aceste reguli pot avea funcții bune. Un profesor nu trebuie să descarce orice iritare asupra elevului. Un medic trebuie să poată continua să ajute într-o situație dificilă. Dar un ideal de autoreglare poate deveni exploatare când instituția cere disponibilitate afectivă nelimitată fără timp de recuperare, recunoaștere sau protecție.</w:t>
      </w:r>
    </w:p>
    <w:p>
      <w:pPr/>
      <w:r>
        <w:t>Cine câștigă din dificultatea definirii emoției? Un furnizor de servicii poate profita dacă numește orice clasificare automată „înțelegere emoțională”. Un lider poate profita dacă numește disconfortul produs de propriile decizii „lipsă de reziliență”. În sens invers, grupurile marginalizate pot câștiga atunci când un vocabular nou face descriibile experiențe anterior negate. Acestea sunt mecanisme posibile, nu acuzații generale la adresa tuturor celor care folosesc acești termeni.</w:t>
      </w:r>
    </w:p>
    <w:p>
      <w:pPr/>
      <w:r>
        <w:t>Succesul economic poate recompensa uneori expresia corectă mai mult decât trăirea autentică. Dar nici autenticitatea nu este o soluție simplă. O izbucnire sinceră poate răni; o amabilitate disciplinată poate proteja. Întrebarea etică nu este numai dacă emoția este „adevărată”, ci dacă relația în care este cerută păstrează autonomia și demnitatea celor implicați.</w:t>
      </w:r>
    </w:p>
    <w:p>
      <w:pPr/>
      <w:r>
        <w:t>La nivel biologic, costurile emoției trebuie judecate contextual. Teama poate preveni o expunere periculoasă și poate împiedica explorarea necesară. Atașamentul poate susține îngrijirea și poate face separarea dureroasă. Nu avem nevoie să proclamăm orice suferință adaptativă pentru a admite că un sistem afectiv are funcții. Un mecanism poate avea o istorie selectivă și poate deveni nepotrivit într-un mediu schimbat.</w:t>
      </w:r>
    </w:p>
    <w:p>
      <w:pPr/>
      <w:r>
        <w:t>Arta oferă un spațiu în care relația dintre emoție și acțiune poate fi reconfigurată. Putem trăi tristețe într-o poveste fără să dorim dispariția poveștii. Putem explora frica fără să ne aflăm în pericolul reprezentat. Aceasta nu face emoția falsă; schimbă condițiile și sensul ei. O suferință reprezentată poate fi tolerabilă tocmai fiindcă relația cu ea nu este aceeași ca în viața imediată.</w:t>
      </w:r>
    </w:p>
    <w:p>
      <w:pPr/>
      <w:r>
        <w:t>Să comparăm două cântece imaginare despre pierdere. Unul numește direct tristețea. Celălalt construiește un ritm întrerupt și lasă o așteptare neîmplinită. Primul transmite o categorie, al doilea poate organiza o experiență. A înțelege emoția artistică nu înseamnă doar a traduce fiecare sunet într-o propoziție. Înseamnă și a observa ce face forma cu atenția și anticiparea.</w:t>
      </w:r>
    </w:p>
    <w:p>
      <w:pPr/>
      <w:r>
        <w:t>Întrebarea rămasă este radicală: prin ce se deosebește un sistem care doar evită o stare de unul pentru care acea stare este efectiv rea?</w:t>
      </w:r>
    </w:p>
    <w:p>
      <w:bookmarkStart w:id="8" w:name="chapter_8"/>
      <w:pPr>
        <w:pStyle w:val="Heading1"/>
        <w:pageBreakBefore/>
      </w:pPr>
      <w:r>
        <w:t>7. Cine este aici când spunem „eu”?</w:t>
      </w:r>
      <w:bookmarkEnd w:id="8"/>
    </w:p>
    <w:p>
      <w:pPr>
        <w:pStyle w:val="Heading2"/>
        <w:spacing w:before="0"/>
      </w:pPr>
      <w:r>
        <w:t>Experiența, accesul și observatorul imaginar</w:t>
      </w:r>
    </w:p>
    <w:p>
      <w:pPr>
        <w:ind w:firstLine="0"/>
      </w:pPr>
      <w:r>
        <w:t>Imaginați-vă un dispozitiv care vede o flacără, se retrage, explică pericolul și spune că s-a speriat. Acum imaginați-vă că puteți inspecta fiecare operație a sa. Găsiți senzori, memorie, evaluări, decizii și propoziții. Ce ar trebui să găsiți în plus pentru a spune că există cineva acolo?</w:t>
      </w:r>
    </w:p>
    <w:p>
      <w:pPr/>
      <w:r>
        <w:t>Întrebarea nu se rezolvă prin a cere o cameră interioară în care un mic observator privește imaginile. Acel observator ar avea nevoie, la rândul său, de o explicație a vederii. Dacă repetăm construcția, nu explicăm experiența; o mutăm dintr-o încăpere în alta.</w:t>
      </w:r>
    </w:p>
    <w:p>
      <w:pPr/>
      <w:r>
        <w:t>„Conștiință” reunește fenomene pe care trebuie să le distingem. Starea de veghe nu este identică cu orice conținut conștient. Accesul la informație pentru raportare și control nu este identic, prin definiție, cu caracterul trăit al acelei informații. Conștiința de sine nu trebuie presupusă în orice experiență. Iar capacitatea de a vorbi despre conștiință este o competență suplimentară, nu o definiție neutră a tuturor formelor ei.</w:t>
      </w:r>
    </w:p>
    <w:p>
      <w:pPr/>
      <w:r>
        <w:t xml:space="preserve">David Chalmers a formulat distincția devenită celebră dintre problemele funcționale și problema dificilă a experienței: de ce procesele care discriminează, integrează și controlează sunt însoțite de ceva trăit? Expresia „probleme ușoare” nu înseamnă că mecanismele respective sunt simplu de descoperit. Înseamnă că putem vedea mai clar forma unei explicații funcționale. Statutul explicației experienței rămâne disputat. </w:t>
      </w:r>
      <w:hyperlink w:anchor="ref_39" w:history="1">
        <w:r>
          <w:rPr>
            <w:color w:val="28516A"/>
            <w:rFonts w:ascii="Lato" w:hAnsi="Lato" w:cs="Lato" w:eastAsia="Lato"/>
            <w:sz w:val="17"/>
            <w:vertAlign w:val="superscript"/>
          </w:rPr>
          <w:t>[39]</w:t>
        </w:r>
      </w:hyperlink>
    </w:p>
    <w:p>
      <w:pPr/>
      <w:r>
        <w:t>Să luăm culoarea roșie. Putem întreba ce lungimi de undă sunt prezente, cum răspund receptorii, ce informație devine disponibilă pentru alegere și ce cuvânt este folosit. Fiecare răspuns adaugă cunoaștere. Întrebarea despre felul în care apare roșul pentru subiect nu trebuie eliminată doar fiindcă e mai dificilă. Dar nici nu trebuie tratată ca dovadă că mecanismele nu au nicio relevanță.</w:t>
      </w:r>
    </w:p>
    <w:p>
      <w:pPr/>
      <w:r>
        <w:t xml:space="preserve">Poziția fizicalistă afirmă, în forme diferite, dependența lumii mentale de realitatea fizică. Ea nu trebuie confundată cu ideea că neuronii sunt niște bile clasice sau că vocabularul psihologic este inutil. Provocarea sa este să clarifice în ce sens o descriere fizică suficientă ar explica și experiența, nu doar comportamentul asociat. </w:t>
      </w:r>
      <w:hyperlink w:anchor="ref_28" w:history="1">
        <w:r>
          <w:rPr>
            <w:color w:val="28516A"/>
            <w:rFonts w:ascii="Lato" w:hAnsi="Lato" w:cs="Lato" w:eastAsia="Lato"/>
            <w:sz w:val="17"/>
            <w:vertAlign w:val="superscript"/>
          </w:rPr>
          <w:t>[28]</w:t>
        </w:r>
      </w:hyperlink>
    </w:p>
    <w:p>
      <w:pPr/>
      <w:r>
        <w:t>Un adversar poate răspunde: oricâte relații descriem, relațiile nu ne spun de ce există trăire. Fizicalistul poate replica: această impresie de distanță ar putea proveni din diferența dintre modurile noastre de a accesa același proces. Nici replica, nici obiecția nu se transformă automat în experiment. Avem nevoie de concepte mai precise și de predicții care leagă interpretările de organizări concrete.</w:t>
      </w:r>
    </w:p>
    <w:p>
      <w:pPr/>
      <w:r>
        <w:t>O problemă asemănătoare apare când încercăm să identificăm experiența la cineva care nu poate răspunde în felul așteptat. Lipsa unui raport poate însemna lipsa experienței, dar poate însemna și lipsa accesului la canalul de raportare. Acesta este un argument logic despre măsurare, nu un criteriu clinic suficient. Ar fi greșit să decidem starea unui pacient dintr-un experiment imaginar.</w:t>
      </w:r>
    </w:p>
    <w:p>
      <w:pPr/>
      <w:r>
        <w:t>În sens invers, existența unui raport nu rezolvă singură totul. Un sistem poate fi antrenat sau construit să emită anumite afirmații. Ceea ce ne trebuie este convergența dintre rapoarte, comportamente, mecanisme și intervenții, nu alegerea unui semn unic transformat în oracol.</w:t>
      </w:r>
    </w:p>
    <w:p>
      <w:pPr>
        <w:pStyle w:val="Heading2"/>
      </w:pPr>
      <w:r>
        <w:t>Teoriile care acceptă să fie puse în dificultate</w:t>
      </w:r>
    </w:p>
    <w:p>
      <w:pPr>
        <w:ind w:firstLine="0"/>
      </w:pPr>
      <w:r>
        <w:t xml:space="preserve">Teoriile contemporane nu caută toate același lucru în același loc. Familia spațiului de lucru global pune accent pe disponibilizarea largă a informației pentru procese diferite. Teoriile procesării recurente acordă importanță buclelor de interacțiune, nu doar transmiterii într-un singur sens. Teoriile de ordin superior investighează relația dintre o stare și reprezentarea ei ca stare a subiectului. Aceste idei pot inspira teste, dar trebuie formulate suficient de precis încât un rezultat să conteze împotriva unei versiuni a lor. </w:t>
      </w:r>
      <w:hyperlink w:anchor="ref_40" w:history="1">
        <w:r>
          <w:rPr>
            <w:color w:val="28516A"/>
            <w:rFonts w:ascii="Lato" w:hAnsi="Lato" w:cs="Lato" w:eastAsia="Lato"/>
            <w:sz w:val="17"/>
            <w:vertAlign w:val="superscript"/>
          </w:rPr>
          <w:t>[40]</w:t>
        </w:r>
      </w:hyperlink>
    </w:p>
    <w:p>
      <w:pPr/>
      <w:r>
        <w:t xml:space="preserve">Teoria informației integrate, în formularea IIT 4.0 a Larissei Albantakis și colaboratorilor, pornește de la proprietăți atribuite experienței și propune o identitate cu o structură cauzală intrinsecă, integrată și ireductibilă a unui sistem. Nu afirmă simplist că orice calculator cu multe date devine conștient. Contează organizarea cauzală descrisă de teorie. Trecerea de la premisele fenomenologice la identitatea fizică propusă este însă un angajament teoretic, nu un adevăr stabilit doar prin definiție. </w:t>
      </w:r>
      <w:hyperlink w:anchor="ref_41" w:history="1">
        <w:r>
          <w:rPr>
            <w:color w:val="28516A"/>
            <w:rFonts w:ascii="Lato" w:hAnsi="Lato" w:cs="Lato" w:eastAsia="Lato"/>
            <w:sz w:val="17"/>
            <w:vertAlign w:val="superscript"/>
          </w:rPr>
          <w:t>[41]</w:t>
        </w:r>
      </w:hyperlink>
    </w:p>
    <w:p>
      <w:pPr/>
      <w:r>
        <w:t xml:space="preserve">Un studiu adversarial publicat de consorțiul COGITATE în 2025 a comparat predicții ale IIT și ale teoriei spațiului neuronal de lucru global. Au participat 256 de persoane, cu măsurători prin tehnici diferite. Rezultatele au susținut unele predicții și au pus în dificultate aspecte importante ale ambelor teorii. Testele vizau mai ales implementări neurobiologice și predicții operaționalizate, nu demonstrarea sau infirmarea directă a întregului nucleu matematic ori filosofic. </w:t>
      </w:r>
      <w:hyperlink w:anchor="ref_42" w:history="1">
        <w:r>
          <w:rPr>
            <w:color w:val="28516A"/>
            <w:rFonts w:ascii="Lato" w:hAnsi="Lato" w:cs="Lato" w:eastAsia="Lato"/>
            <w:sz w:val="17"/>
            <w:vertAlign w:val="superscript"/>
          </w:rPr>
          <w:t>[42]</w:t>
        </w:r>
      </w:hyperlink>
    </w:p>
    <w:p>
      <w:pPr/>
      <w:r>
        <w:t>Semnificația rezultatului nu este că cercetarea a eșuat. Este că două familii de idei au acceptat să precizeze anticipat ce ar trebui observat. Acolo unde o teorie poate fi compatibilă retrospectiv cu orice, experiența are puțină putere de selecție. Acolo unde sunt stabilite criterii înainte de rezultat, dezacordul poate deveni productiv.</w:t>
      </w:r>
    </w:p>
    <w:p>
      <w:pPr/>
      <w:r>
        <w:t>Totuși, nici colaborarea adversarială nu este o soluție magică. Două teorii pot împărți o presupunere greșită. Un test poate rata diferența relevantă. Un indicator poate măsura accesul la raportare mai mult decât experiența. Lecția este să păstrăm arhitectura criticii, nu să tratăm un format de experiment ca garant al adevărului.</w:t>
      </w:r>
    </w:p>
    <w:p>
      <w:pPr/>
      <w:r>
        <w:t>Putem înțelege cerința printr-un exemplu imaginar. Avem două modele de agent. În primul, un mesaj este transmis tuturor subsistemelor; în al doilea, informația rămâne locală, dar sistemul a memorat răspunsuri verbale potrivite. La întrebări repetitive, agenții pot părea identici. Când apare o sarcină nouă care cere coordonare între memorie, planificare și percepție, se pot despărți. Am testat o diferență funcțională. Nu am dedus, numai din acest test, care dintre ei are experiență.</w:t>
      </w:r>
    </w:p>
    <w:p>
      <w:pPr/>
      <w:r>
        <w:t xml:space="preserve">Această modestie este importantă pentru inteligența artificială. Raportul lui Patrick Butlin și al colaboratorilor propune indicatori derivați din mai multe teorii ale conștiinței. Indicatorii sunt instrumente de investigație, nu un certificat universal. Evaluarea depinde de validitatea teoriilor și de cunoașterea arhitecturii sistemului. Fluența unei conversații, considerată singură, nu poate închide disputa. </w:t>
      </w:r>
      <w:hyperlink w:anchor="ref_40" w:history="1">
        <w:r>
          <w:rPr>
            <w:color w:val="28516A"/>
            <w:rFonts w:ascii="Lato" w:hAnsi="Lato" w:cs="Lato" w:eastAsia="Lato"/>
            <w:sz w:val="17"/>
            <w:vertAlign w:val="superscript"/>
          </w:rPr>
          <w:t>[40]</w:t>
        </w:r>
      </w:hyperlink>
    </w:p>
    <w:p>
      <w:pPr/>
      <w:r>
        <w:t>Nici în direcția opusă nu avem o scurtătură: „este artificial” nu demonstrează logic „nu poate simți”. Pentru o asemenea concluzie ar trebui arătat ce proprietate necesară lipsește și de ce nu poate fi realizată. Proveniența unui obiect nu decide automat toate capacitățile lui.</w:t>
      </w:r>
    </w:p>
    <w:p>
      <w:pPr>
        <w:pStyle w:val="Heading2"/>
      </w:pPr>
      <w:r>
        <w:t>Ce plătim pentru fiecare metafizică a minții?</w:t>
      </w:r>
    </w:p>
    <w:p>
      <w:pPr>
        <w:ind w:firstLine="0"/>
      </w:pPr>
      <w:r>
        <w:t>Dualismul tratează mentalul și fizicul ca fundamental distincte într-un sens relevant. Avantajul intuitiv este că nu reduce experiența la ceea ce pare să nu o conțină. Dificultatea este să explice relația: cum interacționează, ce diferențe observabile rezultă și de ce viața mentală este atât de strâns legată de organizarea corporală? A numi două domenii nu explică puntea dintre ele.</w:t>
      </w:r>
    </w:p>
    <w:p>
      <w:pPr/>
      <w:r>
        <w:t xml:space="preserve">Idealismul acordă mentalului un rol fundamental în ceea ce numim realitate. Nu toate formele sale susțin că dorințele individului produc lumea. Unele încearcă să explice ordinea comună printr-un fundament mental care depășește persoana. Costul este să recupereze independența practică a lumii, acordul intersubiectiv și succesul descrierilor fizice fără a transforma toate acestea în simple afirmații imposibil de diferențiat. </w:t>
      </w:r>
      <w:hyperlink w:anchor="ref_43" w:history="1">
        <w:r>
          <w:rPr>
            <w:color w:val="28516A"/>
            <w:rFonts w:ascii="Lato" w:hAnsi="Lato" w:cs="Lato" w:eastAsia="Lato"/>
            <w:sz w:val="17"/>
            <w:vertAlign w:val="superscript"/>
          </w:rPr>
          <w:t>[43]</w:t>
        </w:r>
      </w:hyperlink>
    </w:p>
    <w:p>
      <w:pPr/>
      <w:r>
        <w:t xml:space="preserve">Panpsihismul propune, în variantele sale relevante aici, că aspecte mentale elementare sunt răspândite fundamental în natură. Nu trebuie caricaturizat ca teoria unor electroni geloși. El încearcă să evite apariția experienței din ceva complet lipsit de orice aspect experiențial. Problema combinației rămâne severă: cum ar constitui multe asemenea aspecte un singur subiect, în locul unei simple colecții? A adăuga experiență ingredientelor nu explică automat unitatea rezultatului. </w:t>
      </w:r>
      <w:hyperlink w:anchor="ref_44" w:history="1">
        <w:r>
          <w:rPr>
            <w:color w:val="28516A"/>
            <w:rFonts w:ascii="Lato" w:hAnsi="Lato" w:cs="Lato" w:eastAsia="Lato"/>
            <w:sz w:val="17"/>
            <w:vertAlign w:val="superscript"/>
          </w:rPr>
          <w:t>[44]</w:t>
        </w:r>
      </w:hyperlink>
    </w:p>
    <w:p>
      <w:pPr/>
      <w:r>
        <w:t xml:space="preserve">Monismul neutru și concepțiile cu două aspecte încearcă o altă mișcare: poate că „mental” și „fizic” sunt moduri parțiale de a descrie un fundament care nu se epuizează în niciunul dintre ele. Spinoza oferă un reper istoric pentru ideea unei realități unice gândite sub atribute distincte. Avantajul este evitarea a două lumi complet străine; dificultatea este precizarea relației fără ca unitatea să rămână doar un nume. </w:t>
      </w:r>
      <w:hyperlink w:anchor="ref_33" w:history="1">
        <w:r>
          <w:rPr>
            <w:color w:val="28516A"/>
            <w:rFonts w:ascii="Lato" w:hAnsi="Lato" w:cs="Lato" w:eastAsia="Lato"/>
            <w:sz w:val="17"/>
            <w:vertAlign w:val="superscript"/>
          </w:rPr>
          <w:t>[33]</w:t>
        </w:r>
      </w:hyperlink>
    </w:p>
    <w:p>
      <w:pPr/>
      <w:r>
        <w:t xml:space="preserve">Iluzionismul, apărat de Keith Frankish, contestă o anumită concepție despre proprietățile fenomenale și propune că introspecția reprezintă înșelător stări funcționale complexe. Nu trebuie tradus automat prin „nimeni nu suferă”. Disputa privește natura atribuită experienței. Criticii întreabă dacă explicarea impresiei nu presupune deja tocmai trăirea care trebuia explicată; apărătorii încearcă să formuleze impresia fără acest angajament. </w:t>
      </w:r>
      <w:hyperlink w:anchor="ref_45" w:history="1">
        <w:r>
          <w:rPr>
            <w:color w:val="28516A"/>
            <w:rFonts w:ascii="Lato" w:hAnsi="Lato" w:cs="Lato" w:eastAsia="Lato"/>
            <w:sz w:val="17"/>
            <w:vertAlign w:val="superscript"/>
          </w:rPr>
          <w:t>[45]</w:t>
        </w:r>
      </w:hyperlink>
    </w:p>
    <w:p>
      <w:pPr/>
      <w:r>
        <w:t>Aceste opțiuni nu sunt echivalente experimental doar fiindcă niciuna nu oferă astăzi o încheiere universal acceptată. Unele se leagă mai direct de mecanisme testabile. Altele formulează interpretări ontologice. Criteriul corect este să evaluăm fiecare afirmație la nivelul ei, fără să folosim reușita unui experiment drept dovadă pentru toate extensiile metafizice ale autorului.</w:t>
      </w:r>
    </w:p>
    <w:p>
      <w:pPr/>
      <w:r>
        <w:t>Există și un criteriu etic independent de orgoliul teoretic. Dacă nu știm sigur dacă un sistem poate suferi, costul unei erori poate fi asimetric. Atribuirea prematură a conștiinței poate consuma resurse, induce atașamente sau acoperi interese comerciale. Negarea prematură poate permite vătămare. O decizie responsabilă trebuie să precizeze incertitudinea și consecințele, nu doar să aleagă eticheta confortabilă.</w:t>
      </w:r>
    </w:p>
    <w:p>
      <w:pPr/>
      <w:r>
        <w:t>Putem greși și prin felul în care distribuim autoritatea. Proprietarul unui sistem are interesul de a-l prezenta când ca persoană convingătoare, când ca unealtă fără interior. Un evaluator poate avea interesul de a vinde un scor definitiv. Beneficiarul unei asemenea definiții trebuie identificat, dar interesul nu înlocuiește demonstrația falsității sau adevărului ei.</w:t>
      </w:r>
    </w:p>
    <w:p>
      <w:pPr/>
      <w:r>
        <w:t>„Eu” poate desemna continuitate corporală, memorie, perspectivă și poveste despre sine. Aceste organizări trebuie deosebite: o poveste elaborată nu dovedește singură experiența, iar absența poveștii nu dovedește absența oricărei trăiri.</w:t>
      </w:r>
    </w:p>
    <w:p>
      <w:bookmarkStart w:id="9" w:name="chapter_9"/>
      <w:pPr>
        <w:pStyle w:val="Heading1"/>
        <w:pageBreakBefore/>
      </w:pPr>
      <w:r>
        <w:t>8. Când știm că am înțeles?</w:t>
      </w:r>
      <w:bookmarkEnd w:id="9"/>
    </w:p>
    <w:p>
      <w:pPr>
        <w:pStyle w:val="Heading2"/>
        <w:spacing w:before="0"/>
      </w:pPr>
      <w:r>
        <w:t>Explicația care rezistă după dispariția formulei</w:t>
      </w:r>
    </w:p>
    <w:p>
      <w:pPr>
        <w:ind w:firstLine="0"/>
      </w:pPr>
      <w:r>
        <w:t>Cineva spune că înțelege bicicleta. Îl rugăm să explice cum schimbă direcția, cum se menține echilibrul și ce se întâmplă dacă modificăm geometria cadrului. Siguranța inițială se poate reduce. Totuși, persoana poate continua să meargă excelent pe bicicletă. Ce fel de înțelegere avea și ce fel îi lipsea?</w:t>
      </w:r>
    </w:p>
    <w:p>
      <w:pPr/>
      <w:r>
        <w:t>Nu există un singur examen al înțelegerii. Putem recunoaște un fenomen, îl putem prezice, explica, controla, integra într-o teorie sau trăi din interior. Un mecanic poate repara fără să predea matematica relevantă. Un teoretician poate deriva o relație fără să efectueze o reparație. Un pacient poate cunoaște felul durerii fără să-i cunoască mecanismul. Aceste competențe pot fi legate fără să fie identice.</w:t>
      </w:r>
    </w:p>
    <w:p>
      <w:pPr/>
      <w:r>
        <w:t>O definiție de lucru utilă este următoarea: a înțelege ceva înseamnă a stăpâni relații relevante suficient de bine încât să putem răspunde adecvat la variații ale întrebării. Definiția privilegiază transferul, nu reproducerea unei propoziții. Ea nu epuizează înțelegerea estetică sau experiențială, dar oferă un criteriu mai exigent decât familiaritatea cu vocabularul.</w:t>
      </w:r>
    </w:p>
    <w:p>
      <w:pPr/>
      <w:r>
        <w:t xml:space="preserve">În studiile lor despre iluzia profunzimii explicative, Leonid Rozenblit și Frank Keil au arătat că oamenii pot supraestima cât de bine înțeleg mecanismele unor lucruri familiare. Solicitarea unei explicații detaliate poate face vizibile lacunele și poate reduce autoevaluarea inițială. Nu rezultă că oamenii sunt în general incapabili de cunoaștere. Rezultă că senzația de a ști și capacitatea explicativă trebuie evaluate separat. </w:t>
      </w:r>
      <w:hyperlink w:anchor="ref_46" w:history="1">
        <w:r>
          <w:rPr>
            <w:color w:val="28516A"/>
            <w:rFonts w:ascii="Lato" w:hAnsi="Lato" w:cs="Lato" w:eastAsia="Lato"/>
            <w:sz w:val="17"/>
            <w:vertAlign w:val="superscript"/>
          </w:rPr>
          <w:t>[46]</w:t>
        </w:r>
      </w:hyperlink>
    </w:p>
    <w:p>
      <w:pPr/>
      <w:r>
        <w:t>Acest lucru permite un exercițiu simplu. Alegem o afirmație pe care o folosim des: „dobânda combate inflația”, „creierul construiește percepția” sau „entropia crește”. Încercăm să precizăm mecanismul, condițiile și o excepție posibilă. Dacă răspunsul constă doar în repetarea altor cuvinte familiare, am localizat o limită. Localizarea este un progres, nu o rușine.</w:t>
      </w:r>
    </w:p>
    <w:p>
      <w:pPr/>
      <w:r>
        <w:t xml:space="preserve">Există și explicații care sporesc satisfacția fără să adauge conținut relevant. Deena Weisberg și colaboratorii au investigat felul în care informația neuroștiințifică irelevantă poate face unele explicații psihologice să pară mai convingătoare pentru neexperți. Rezultatul nu este o condamnare a neuroștiinței, ci o observație despre evaluarea explicațiilor. Termenul tehnic poate funcționa ca ornament de autoritate. </w:t>
      </w:r>
      <w:hyperlink w:anchor="ref_47" w:history="1">
        <w:r>
          <w:rPr>
            <w:color w:val="28516A"/>
            <w:rFonts w:ascii="Lato" w:hAnsi="Lato" w:cs="Lato" w:eastAsia="Lato"/>
            <w:sz w:val="17"/>
            <w:vertAlign w:val="superscript"/>
          </w:rPr>
          <w:t>[47]</w:t>
        </w:r>
      </w:hyperlink>
    </w:p>
    <w:p>
      <w:pPr/>
      <w:r>
        <w:t>Același risc apare cu „cuantic”, „emergent”, „algoritmic” sau „bazat pe date”. Cuvintele pot fi perfect legitime. Întrebarea este ce muncă fac în argument. Dacă le eliminăm și explicația nu pierde nicio predicție, niciun mecanism și nicio condiție, poate că ele decorau mai mult decât explicau.</w:t>
      </w:r>
    </w:p>
    <w:p>
      <w:pPr/>
      <w:r>
        <w:t>O explicație bună nu trebuie să fie mereu simplă. Uneori lumea cere complexitate. Dar complexitatea trebuie să fie necesară și organizată, nu folosită pentru a face interlocutorul să renunțe. Claritatea nu înseamnă promisiunea că totul poate fi înțeles instantaneu. Înseamnă că dificultatea are un loc identificabil și că drumul către ea nu este ascuns intenționat.</w:t>
      </w:r>
    </w:p>
    <w:p>
      <w:pPr>
        <w:pStyle w:val="Heading2"/>
      </w:pPr>
      <w:r>
        <w:t>Calculul, sensul și lucrurile pe care nu le putem decide</w:t>
      </w:r>
    </w:p>
    <w:p>
      <w:pPr>
        <w:ind w:firstLine="0"/>
      </w:pPr>
      <w:r>
        <w:t>Istoria înțelegerii a oscilat între idealuri diferite: demonstrație, identificarea cauzelor, interpretarea sensului, competență practică și experiență directă. Explicația unui eclipsări și înțelegerea unei promisiuni nu cer exact aceeași operație. Prima poate fi formulată prin relații fizice; a doua implică și convenții, intenții, așteptări și context.</w:t>
      </w:r>
    </w:p>
    <w:p>
      <w:pPr/>
      <w:r>
        <w:t>Aceasta nu înseamnă că sensul se află în afara naturii. Înseamnă că pentru a identifica fenomenul trebuie să folosim nivelul potrivit. Dacă un om ridică mâna, descrierea cinematică nu stabilește singură dacă salută, votează sau cere ajutor. Diferența este realizată prin situație și practici comune, nu doar prin traiectoria membrului.</w:t>
      </w:r>
    </w:p>
    <w:p>
      <w:pPr/>
      <w:r>
        <w:t xml:space="preserve">John Searle a susținut, în argumentul camerei chineze, că executarea formală a unui program nu este prin ea însăși suficientă pentru înțelegere semantică. Un operator poate urma reguli de manipulare a simbolurilor fără să înțeleagă limba la care acestea aparțin. Obiecția clasică este că sistemul complet, nu operatorul izolat, ar putea fi unitatea relevantă. Experimentul imaginar organizează dezacordul; nu îl închide prin simpla vividitate a poveștii. </w:t>
      </w:r>
      <w:hyperlink w:anchor="ref_48" w:history="1">
        <w:r>
          <w:rPr>
            <w:color w:val="28516A"/>
            <w:rFonts w:ascii="Lato" w:hAnsi="Lato" w:cs="Lato" w:eastAsia="Lato"/>
            <w:sz w:val="17"/>
            <w:vertAlign w:val="superscript"/>
          </w:rPr>
          <w:t>[48]</w:t>
        </w:r>
      </w:hyperlink>
    </w:p>
    <w:p>
      <w:pPr/>
      <w:r>
        <w:t>Există o simetrie importantă. Faptul că o componentă nu înțelege nu arată că întregul nu poate înțelege. Nici faptul că întregul produce propoziții potrivite nu arată că posedă toate formele umane de înțelegere. Pentru a avansa, trebuie spus ce competență este revendicată și prin ce variații poate fi testată.</w:t>
      </w:r>
    </w:p>
    <w:p>
      <w:pPr/>
      <w:r>
        <w:t>Un test propus aici pentru înțelegerea funcțională ar modifica, pe rând, formularea, contextul și mecanismul problemei. Un sistem care păstrează răspunsul corect doar când cuvintele sunt aceleași pare să fi învățat o asociere fragilă. Un sistem care recunoaște structura în situații noi și identifică unde regulile nu se mai aplică oferă o dovadă mai bună de competență. Aceasta nu este încă o probă a conștiinței sale.</w:t>
      </w:r>
    </w:p>
    <w:p>
      <w:pPr/>
      <w:r>
        <w:t xml:space="preserve">Dar chiar o înțelegere funcțională foarte puternică are limite. Alan Turing a arătat, prin formalizarea calculului, că există probleme care nu admit o procedură algoritmică generală de decizie în cadrul relevant. În formularea familiară a problemei opririi, nu există un algoritm care să decidă corect, pentru orice program și intrare, dacă execuția se va opri. Aceasta nu împiedică rezolvarea multor cazuri particulare. </w:t>
      </w:r>
      <w:hyperlink w:anchor="ref_49" w:history="1">
        <w:r>
          <w:rPr>
            <w:color w:val="28516A"/>
            <w:rFonts w:ascii="Lato" w:hAnsi="Lato" w:cs="Lato" w:eastAsia="Lato"/>
            <w:sz w:val="17"/>
            <w:vertAlign w:val="superscript"/>
          </w:rPr>
          <w:t>[49]</w:t>
        </w:r>
      </w:hyperlink>
    </w:p>
    <w:p>
      <w:pPr/>
      <w:r>
        <w:t>Nu rezultă că mintea umană este în mod demonstrat deasupra tuturor calculatoarelor. Ar trebui dovedit că omul rezolvă exact clasa pe care algoritmul general nu o poate rezolva, nu doar remarcat că poate înțelege enunțul unei limite. O limită formală nu este un permis de a atribui minții puteri fără demonstrație.</w:t>
      </w:r>
    </w:p>
    <w:p>
      <w:pPr/>
      <w:r>
        <w:t>Mai există limite de resurse. Un răspuns poate fi calculabil și totuși prea costisitor pentru orice investigator realizabil. Există limite de acces: datele necesare nu pot fi obținute. Și există subdeterminare: mai multe modele pot produce aceleași observații disponibile. Confundarea acestor situații cu incapacitatea personală de a imagina ceva transformă dificultățile locale în bariere universale inventate.</w:t>
      </w:r>
    </w:p>
    <w:p>
      <w:pPr/>
      <w:r>
        <w:t>Mintea omenească poate înțelege relații pe care nu le poate vizualiza fidel. Nu avem nevoie să vedem simultan toate dimensiunile unui spațiu matematic pentru a verifica o demonstrație despre el. Intuiția este un instrument, nu tribunalul ultim al posibilului. În sens invers, o imagine foarte clară poate conține o imposibilitate pe care simbolurile o dezvăluie.</w:t>
      </w:r>
    </w:p>
    <w:p>
      <w:pPr>
        <w:pStyle w:val="Heading2"/>
      </w:pPr>
      <w:r>
        <w:t>Înțelegerea distribuită și diferența dintre cunoaștere și înțelepciune</w:t>
      </w:r>
    </w:p>
    <w:p>
      <w:pPr>
        <w:ind w:firstLine="0"/>
      </w:pPr>
      <w:r>
        <w:t>Niciun om nu trebuie să cunoască singur fiecare detaliu al unui aparat complex pentru ca o echipă să-l construiască. Putem distribui competențele, dacă există interfețe, teste și căi de verificare. Exemplul este important: uneori „noi înțelegem” nu înseamnă că există o minte individuală care deține întreaga explicație.</w:t>
      </w:r>
    </w:p>
    <w:p>
      <w:pPr/>
      <w:r>
        <w:t>Dar distribuția produce și un risc. Fiecare poate presupune că altcineva înțelege punctul critic. O organizație poate avea multe explicații locale corecte și nicio persoană responsabilă de incompatibilitatea dintre ele. Prin urmare, înțelegerea colectivă cere mai mult decât însumarea diplomelor: cere mecanisme de integrare și posibilitatea de a pune întrebări peste granițele rolurilor.</w:t>
      </w:r>
    </w:p>
    <w:p>
      <w:pPr/>
      <w:r>
        <w:t>Acesta este unul dintre locurile unde autoritatea poate câștiga din ambiguitate. „Este prea complicat pentru public” poate fi o constatare temporară onestă sau o protecție împotriva controlului. Diferența se vede în disponibilitatea de a explica ipotezele, costurile, alternativele și procedurile de contestare. Nu toată lumea trebuie să reproducă derivarea, dar cei afectați trebuie să poată înțelege suficient pentru a evalua ce li se cere să accepte.</w:t>
      </w:r>
    </w:p>
    <w:p>
      <w:pPr/>
      <w:r>
        <w:t>Școala poate forma această competență dacă schimbă unele întrebări. În loc să ceară numai definiția unei cauze, poate cere două explicații concurente și un experiment care le diferențiază. În loc să ceară numai formula, poate cere o situație în care formula nu se aplică. În loc să penalizeze orice ezitare, poate recompensa identificarea precisă a incertitudinii. Acestea sunt propuneri pedagogice deduse din criteriul transferului, nu rezultate garantate pentru orice clasă.</w:t>
      </w:r>
    </w:p>
    <w:p>
      <w:pPr/>
      <w:r>
        <w:t>Înțelegerea nu este însă încă înțelepciune. Un om poate înțelege excelent cum se manipulează o emoție și poate folosi această cunoaștere pentru a exploata. Înțelepciunea, în sensul normativ propus aici, cere să legăm competența de scopuri, proporționalitate, perspectivă temporală și atenție față de cei afectați. Ea întreabă nu doar „cum funcționează?”, ci și „ce merită făcut cu această putere?”.</w:t>
      </w:r>
    </w:p>
    <w:p>
      <w:pPr/>
      <w:r>
        <w:t>Nicio ecuație a naturii nu furnizează singură toate aceste scopuri. Putem investiga consecințele alegerilor și putem verifica incompatibilități, dar trebuie să facem vizibile premisele valorice. A ascunde o valoare în spatele unei măsuri tehnice nu face decizia mai obiectivă.</w:t>
      </w:r>
    </w:p>
    <w:p>
      <w:pPr/>
      <w:r>
        <w:t>Arta poate contribui aici fără să devină substitut pentru experiment. Un roman ne poate face să urmărim consecințele unei decizii din perspectiva persoanei care le suportă. Nu demonstrează frecvența statistică a acelui scenariu, dar poate corecta sărăcia imaginației morale. Explicația abstractă identifică relația; experiența narativă poate face costul ei inteligibil.</w:t>
      </w:r>
    </w:p>
    <w:p>
      <w:pPr/>
      <w:r>
        <w:t>Uneori, un rezumat foarte bun elimină tocmai drumul necesar înțelegerii. Poate spune corect concluzia și totuși să nu ofere exercițiul prin care învățăm s-o folosim. A comprima informația și a forma judecata sunt sarcini distincte. O singură propoziție despre răbdare nu transferă capacitatea de a răbda într-o situație reală.</w:t>
      </w:r>
    </w:p>
    <w:p>
      <w:pPr/>
      <w:r>
        <w:t>Un criteriu practic pentru o explicație matură este, așadar, dublu. Trebuie să putem face ceva cognitiv nou cu ea: o predicție, o diferențiere, o intervenție sau o interpretare mai bună. Și trebuie să știm ce nu ne permite încă să facem. Explicația care produce doar încredere a schimbat o stare psihologică. Explicația care produce competență verificabilă a schimbat relația noastră cu lumea.</w:t>
      </w:r>
    </w:p>
    <w:p>
      <w:pPr/>
      <w:r>
        <w:t>Rămâne o întrebare tulburătoare. Dacă universul poate fi descris complet, dar o asemenea descriere nu poate fi folosită de niciun investigator dinăuntrul lui, în ce sens este universul pe deplin inteligibil? Poate că inteligibilitatea nu este o proprietate izolată a lumii. Poate că este o relație între lume, reprezentare, resurse și scop. Aceasta nu micșorează cunoașterea; îi arată arhitectura.</w:t>
      </w:r>
    </w:p>
    <w:p>
      <w:pPr>
        <w:pStyle w:val="PartLabel"/>
        <w:pageBreakBefore/>
      </w:pPr>
      <w:r>
        <w:t>PARTEA A IV-A · EXISTENȚA ȘI LUMILE POSIBILE</w:t>
      </w:r>
    </w:p>
    <w:p>
      <w:bookmarkStart w:id="10" w:name="chapter_10"/>
      <w:pPr>
        <w:pStyle w:val="Heading1"/>
        <w:pageBreakBefore w:val="0"/>
      </w:pPr>
      <w:r>
        <w:t>9. De ce există ceva care poate întreba?</w:t>
      </w:r>
      <w:bookmarkEnd w:id="10"/>
    </w:p>
    <w:p>
      <w:pPr>
        <w:pStyle w:val="Heading2"/>
        <w:spacing w:before="0"/>
      </w:pPr>
      <w:r>
        <w:t>Dragonul, datoria și golul</w:t>
      </w:r>
    </w:p>
    <w:p>
      <w:pPr>
        <w:ind w:firstLine="0"/>
      </w:pPr>
      <w:r>
        <w:t>Într-o cameră se află un copil care se teme de un dragon, un adult care se teme de o datorie și un fizician care studiază vidul. Dragonul nu ocupă camera. Datoria nu este un obiect ascuns în sertar. Vidul fizicianului nu este absența absolută a oricărui lucru. Totuși, frica poate accelera trei inimi, datoria poate schimba trei destine, iar vidul aparține unei descrieri fizice care permite calcule și măsurători. A spune despre toate acestea doar că „există” este insuficient. A spune că ceea ce nu se poate apuca nu există este și mai puțin folositor.</w:t>
      </w:r>
    </w:p>
    <w:p>
      <w:pPr/>
      <w:r>
        <w:t>Pentru a evita confuzia, trebuie să despărțim existența unei reprezentări de existența lucrului reprezentat. Copilul are o imagine reală a unui dragon imaginar. Aceasta nu face dragonul real în sens zoologic, dar nici nu face frica imaginară în sensul de inexistentă. Datoria are altă structură: depinde de înregistrări, promisiuni, practici și instituții. Dacă toate aceste relații dispar, nu rămâne undeva, printre molecule, aceeași obligație juridică. Cât timp relațiile funcționează, efectele ei sunt foarte concrete. Avem dependență de minți, nu libertatea fiecărei minți de a anula unilateral lumea.</w:t>
      </w:r>
    </w:p>
    <w:p>
      <w:pPr/>
      <w:r>
        <w:t xml:space="preserve">Distincția dintre ce este un lucru și faptul că el există are o istorie mult mai veche decât contabilitatea digitală. Avicenna, la începutul secolului al XI-lea, separă esența de existență și dezvoltă contrastul dintre ceea ce este posibil în sine și ceea ce există necesar. Pot înțelege ce ar fi un anumit lucru fără să știu dacă există. Pentru lucrurile contingente, existența cere, în sistemul său, o explicație; lanțul dependențelor trimite spre un existent necesar. Important este că această dependență nu înseamnă obligatoriu un eveniment petrecut înaintea universului. O lume eternă poate rămâne, în această concepție, dependentă ontologic. </w:t>
      </w:r>
      <w:hyperlink w:anchor="ref_50" w:history="1">
        <w:r>
          <w:rPr>
            <w:color w:val="28516A"/>
            <w:rFonts w:ascii="Lato" w:hAnsi="Lato" w:cs="Lato" w:eastAsia="Lato"/>
            <w:sz w:val="17"/>
            <w:vertAlign w:val="superscript"/>
          </w:rPr>
          <w:t>[50]</w:t>
        </w:r>
      </w:hyperlink>
    </w:p>
    <w:p>
      <w:pPr/>
      <w:r>
        <w:t>Forța întrebării nu trebuie confundată cu inevitabilitatea răspunsului. Din faptul că lucrurile observate depind unele de altele nu rezultă fără premise suplimentare că totalitatea are o explicație de același tip, că explicația trebuie să fie unică sau că are intenții. Dar nici nu putem respinge ideea de fundament doar arătând că n-am găsit o persoană foarte mare la începutul timpului. Argumentul privește statutul existenței, nu localizarea unui obiect neobișnuit.</w:t>
      </w:r>
    </w:p>
    <w:p>
      <w:pPr/>
      <w:r>
        <w:t xml:space="preserve">Kant atacă o altă scurtătură: trecerea de la un concept la existența obiectului său doar prin perfecționarea definiției. Existența nu este o însușire obișnuită pe care o adăugăm unei liste și astfel obținem exemplarul real. O sută de monede posibile pot fi descrise prin aceleași proprietăți ca o sută de monede reale; situația posesorului nu este însă aceeași. Descrierea nu plătește masa. Critica vizează argumentul ontologic, nu demonstrează singură inexistența lui Dumnezeu. </w:t>
      </w:r>
      <w:hyperlink w:anchor="ref_4" w:history="1">
        <w:r>
          <w:rPr>
            <w:color w:val="28516A"/>
            <w:rFonts w:ascii="Lato" w:hAnsi="Lato" w:cs="Lato" w:eastAsia="Lato"/>
            <w:sz w:val="17"/>
            <w:vertAlign w:val="superscript"/>
          </w:rPr>
          <w:t>[4]</w:t>
        </w:r>
      </w:hyperlink>
    </w:p>
    <w:p>
      <w:pPr/>
      <w:r>
        <w:t>Această observație rămâne utilă într-o epocă în care putem genera descrieri extrem de convingătoare. Un model complet descris nu este automat un model realizat fizic. Un univers fără contradicții evidente nu este automat un univers existent. Nici faptul că putem rula o simulare nu dovedește că toate obiectele pe care programul le reprezintă există în afara acelui suport. Trebuie precizat ce este realizat: un calcul, o dinamică, o relație, o experiență sau lucrul pe care toate acestea îl descriu.</w:t>
      </w:r>
    </w:p>
    <w:p>
      <w:pPr>
        <w:pStyle w:val="Heading2"/>
      </w:pPr>
      <w:r>
        <w:t>Fundamentul și lucrurile fără miez</w:t>
      </w:r>
    </w:p>
    <w:p>
      <w:pPr>
        <w:ind w:firstLine="0"/>
      </w:pPr>
      <w:r>
        <w:t>Există două tentații opuse. Prima caută ceva absolut independent care să poarte pe umeri restul lumii. A doua suspectează că ideea unui asemenea purtător este o eroare produsă de felul în care construim propoziții: avem substantive, deci ne imaginăm că realitatea trebuie să fie alcătuită din blocuri autosuficiente.</w:t>
      </w:r>
    </w:p>
    <w:p>
      <w:pPr/>
      <w:r>
        <w:t xml:space="preserve">În tradiția Madhyamaka, Nāgārjuna critică existența intrinsecă, independentă, a lucrurilor. „Vacuitatea” nu înseamnă că nu se întâmplă nimic sau că suferința ar putea fi ignorată. Înseamnă, în lectura relevantă aici, că lucrurile nu au natura autonomă pe care tindem să le-o atribuim; sunt înțelese prin dependențe. Chiar vacuitatea nu trebuie transformată într-o substanță supremă. Este o critică a reificării, nu descoperirea anticipată a fizicii cuantice. </w:t>
      </w:r>
      <w:hyperlink w:anchor="ref_51" w:history="1">
        <w:r>
          <w:rPr>
            <w:color w:val="28516A"/>
            <w:rFonts w:ascii="Lato" w:hAnsi="Lato" w:cs="Lato" w:eastAsia="Lato"/>
            <w:sz w:val="17"/>
            <w:vertAlign w:val="superscript"/>
          </w:rPr>
          <w:t>[51]</w:t>
        </w:r>
      </w:hyperlink>
    </w:p>
    <w:p>
      <w:pPr/>
      <w:r>
        <w:t>Să luăm o flacără. O putem urmări, îi putem măsura anumite proprietăți și ne putem arde. Dar identitatea ei nu cere ca aceeași materie să rămână înăuntru. Flacăra este un proces întreținut prin schimburi. Exemplul nu demonstrează doctrina lui Nāgārjuna și nici faptul că orice există funcționează ca focul. Arată doar că a fi real și a fi un obiect cu un miez permanent nu sunt condiții echivalente.</w:t>
      </w:r>
    </w:p>
    <w:p>
      <w:pPr/>
      <w:r>
        <w:t xml:space="preserve">Spinoza propune o altă ieșire din fragmentare: o singură substanță, în raport cu care lucrurile finite sunt moduri. Gândirea și întinderea nu devin două regate complet independente, legate printr-o intervenție misterioasă. Sistemul său încearcă să le înțeleagă în unitatea naturii. Prețul este o concepție puternică despre necesitate, foarte diferită de universul în care fiecare întâmplare este rezultatul unei alegeri divine locale. </w:t>
      </w:r>
      <w:hyperlink w:anchor="ref_33" w:history="1">
        <w:r>
          <w:rPr>
            <w:color w:val="28516A"/>
            <w:rFonts w:ascii="Lato" w:hAnsi="Lato" w:cs="Lato" w:eastAsia="Lato"/>
            <w:sz w:val="17"/>
            <w:vertAlign w:val="superscript"/>
          </w:rPr>
          <w:t>[33]</w:t>
        </w:r>
      </w:hyperlink>
    </w:p>
    <w:p>
      <w:pPr/>
      <w:r>
        <w:t>Putem aprecia ambiția acestor perspective fără a organiza un concurs de metafore. Unitatea, dependența și procesul răspund unor probleme diferite. Nu este suficient ca o doctrină să ne placă pentru a explica măsurătorile. Nu este suficient nici să nu producă imediat un experiment nou pentru a fi lipsită de conținut: poate dezvălui o contradicție, o presupunere ascunsă sau o folosire incoerentă a termenilor. Dar atunci contribuția trebuie evaluată ca argument conceptual, nu prezentată drept confirmare experimentală.</w:t>
      </w:r>
    </w:p>
    <w:p>
      <w:pPr/>
      <w:r>
        <w:t>Întrebarea „de ce există ceva?” conține și o presupoziție care merită verificată: că nimicul ar fi alternativa simplă, naturală, implicită. Cum am putea stabili această preferință? Nu am observat o distribuție de lumi în care nimicul apare mai frecvent. Iar „nimicul” absolut nu este o cameră întunecată, un spațiu gol sau un calculator oprit. Toate acestea păstrează structuri și posibilități. Absența totală ar trebui să excludă inclusiv cadrul în care ar putea surveni ceva.</w:t>
      </w:r>
    </w:p>
    <w:p>
      <w:pPr/>
      <w:r>
        <w:t>Nu rezultă că existența este necesară. Rezultă doar că uimirea noastră nu ține loc de demonstrație a contingenței universului. Putem formula întrebarea, dar trebuie să vedem ce concepție a posibilului folosim: alternative fizice permise de legile noastre, alternative logice sau lumi metafizic posibile. Trecerea de la una la alta fără avertisment produce multe argumente spectaculoase și puține concluzii sigure.</w:t>
      </w:r>
    </w:p>
    <w:p>
      <w:pPr/>
      <w:r>
        <w:t>La fel, o explicație cosmologică a evoluției unei stări timpurii nu este automat o explicație a existenței oricărui cadru fizic. O teorie poate răspunde excelent la întrebarea „cum ajungem de aici acolo?” și să lase deschis „de ce există acest spațiu de posibilități?”. Aceasta nu micșorează știința. Îi recunoaște obiectul. Eșecul apare când succesul într-o întrebare este vândut drept răspuns la alta.</w:t>
      </w:r>
    </w:p>
    <w:p>
      <w:pPr/>
      <w:r>
        <w:t>Există și posibilitatea sobră a unui fapt fără explicație suplimentară. Aceasta nu este o înfrângere logică: orice sistem explicativ trebuie să precizeze de unde pornește. Totuși, declararea unui fapt drept ultim prea devreme poate opri o cercetare productivă. O regulă bună ar fi să nu confundăm „n-am găsit încă o explicație” cu „nu poate exista una”, dar nici „putem pune întrebarea” cu „universul ne datorează un răspuns”.</w:t>
      </w:r>
    </w:p>
    <w:p>
      <w:pPr>
        <w:pStyle w:val="Heading2"/>
      </w:pPr>
      <w:r>
        <w:t>Dreptul de a fi numărat printre cei reali</w:t>
      </w:r>
    </w:p>
    <w:p>
      <w:pPr>
        <w:ind w:firstLine="0"/>
      </w:pPr>
      <w:r>
        <w:t>Problema existenței pare abstractă până când o instituție spune că o persoană nu figurează în sistem. Corpul este acolo, nevoia este acolo, dar categoria administrativă lipsește. În exemplul nostru, funcționarul nu neagă biologia solicitantului; neagă existența lui într-un registru care distribuie accesul. Confuzia dintre cele două sensuri poate transforma un instrument de organizare într-un mecanism de excludere.</w:t>
      </w:r>
    </w:p>
    <w:p>
      <w:pPr/>
      <w:r>
        <w:t>Un asemenea exemplu arată de ce ontologia socială nu este un joc terminologic. Ce alegem să tratăm ca obiect distinct — o gospodărie, un consumator, o comunitate, un ecosistem, o generație viitoare — determină ce putem măsura și reprezenta în decizii. Dacă modelul contabil are loc doar pentru tranzacția prezentă, costul suportat ulterior de altcineva poate rămâne invizibil fără să înceteze să existe. Modelul nu creează prejudiciul, dar poate crea condițiile în care prejudiciul nu contează în evaluare.</w:t>
      </w:r>
    </w:p>
    <w:p>
      <w:pPr/>
      <w:r>
        <w:t>Câștigă cei ale căror interese sunt bine reprezentate de unitățile alese. Pierd cei ale căror relații, dureri și dependențe cad între rubrici. Aceasta este o analiză condițională a unui mecanism, nu acuzația că orice clasificare este construită intenționat pentru exploatare. Nu putem coordona o societate fără categorii. Putem însă cere ca limitele lor să rămână contestabile și ca omul să nu fie redus la ceea ce încape într-un formular.</w:t>
      </w:r>
    </w:p>
    <w:p>
      <w:pPr/>
      <w:r>
        <w:t>O problemă înrudită apare când imaginăm copierea unei minți. Presupunem, numai pentru argument, că două sisteme pornesc cu aceleași amintiri și aceeași organizare relevantă. După o oră primesc informații diferite. Care este originalul? Răspunsul poate depinde de ce vrem să conservăm: continuitatea corpului, traseul cauzal, memoria, promisiunile sau perspectiva la persoana întâi. A numi una dintre copii „doar o copie” nu rezolvă problema intereselor ei, dacă ipoteza include experiență.</w:t>
      </w:r>
    </w:p>
    <w:p>
      <w:pPr/>
      <w:r>
        <w:t>Nu avem aici o tehnologie demonstrată și nici dovada transferului conștiinței. Avem un test pentru conceptele noastre. Dacă un criteriu funcționează numai când există un singur candidat la continuitate, ramificarea îl obligă să-și arate limitele. Poate că identitatea numerică, întrebarea dacă este exact aceeași persoană, și continuitatea importantă pentru grijă și responsabilitate nu vor avea întotdeauna același răspuns.</w:t>
      </w:r>
    </w:p>
    <w:p>
      <w:pPr/>
      <w:r>
        <w:t>Arta explorează această tensiune fără să aibă nevoie de laboratorul imposibil. Un portret păstrează o relație cu cineva absent, nu persoana însăși. Un roman poate face vizibilă o viață pe care statisticile o reduc la o categorie. Aceste forme nu probează supraviețuirea după moarte și nu transformă personajele în organisme. Ele arată că prezența fizică nu e singurul mod în care ceva participă la viața noastră. Influența, memoria și reprezentarea sunt relații reale, chiar când obiectul lor nu mai este prezent.</w:t>
      </w:r>
    </w:p>
    <w:p>
      <w:pPr/>
      <w:r>
        <w:t>Aș apăra, de aceea, un realism al diferențelor: nu toate lucrurile există în același fel, dar diferențele nu autorizează eliminarea comodă a celor greu de clasificat. O convenție poate fi schimbată. O durere nu dispare prin redenumire. Un model matematic poate fi valid în limitele sale fără ca fiecare entitate din el să aibă statutul unei pietre. Rigoarea constă în a păstra aceste deosebiri, nu în a impune tuturor același certificat de existență.</w:t>
      </w:r>
    </w:p>
    <w:p>
      <w:bookmarkStart w:id="11" w:name="chapter_11"/>
      <w:pPr>
        <w:pStyle w:val="Heading1"/>
        <w:pageBreakBefore/>
      </w:pPr>
      <w:r>
        <w:t>10. Universul cu administrator</w:t>
      </w:r>
      <w:bookmarkEnd w:id="11"/>
    </w:p>
    <w:p>
      <w:pPr>
        <w:pStyle w:val="Heading2"/>
        <w:spacing w:before="0"/>
      </w:pPr>
      <w:r>
        <w:t>Argumentul care nu dovedește că suntem personaje</w:t>
      </w:r>
    </w:p>
    <w:p>
      <w:pPr>
        <w:ind w:firstLine="0"/>
      </w:pPr>
      <w:r>
        <w:t>Într-o dimineață, toate ceasurile dintr-un laborator indică o secundă în plus. Cercetătorul poate presupune o eroare de sincronizare, o problemă comună de alimentare, o defecțiune a programului de înregistrare sau o intervenție a administratorului universului. Ultima explicație le poate imita pe toate. Tocmai de aceea, în forma ei nelimitată, explică prea puțin: nu spune care dintre observațiile posibile era de așteptat înainte să vedem rezultatul.</w:t>
      </w:r>
    </w:p>
    <w:p>
      <w:pPr/>
      <w:r>
        <w:t xml:space="preserve">Ipoteza simulării devine interesantă atunci când este formulată mai precis decât „orice este posibil”. Argumentul lui Nick Bostrom, publicat în 2003, este condițional: cel puțin una dintre trei afirmații ar trebui să fie adevărată. Aproape nicio civilizație de tipul nostru nu ajunge la stadiul tehnologic relevant; aproape nicio civilizație ajunsă acolo nu produce numeroase simulări de strămoși; sau o proporție foarte mare a observatorilor de tipul nostru este simulată. Argumentul presupune, între altele, că experiențe ca ale noastre pot fi implementate în asemenea sisteme și că numărarea observatorilor este legitimă în forma folosită. Nu identifică direct care alternativă descrie lumea. </w:t>
      </w:r>
      <w:hyperlink w:anchor="ref_52" w:history="1">
        <w:r>
          <w:rPr>
            <w:color w:val="28516A"/>
            <w:rFonts w:ascii="Lato" w:hAnsi="Lato" w:cs="Lato" w:eastAsia="Lato"/>
            <w:sz w:val="17"/>
            <w:vertAlign w:val="superscript"/>
          </w:rPr>
          <w:t>[52]</w:t>
        </w:r>
      </w:hyperlink>
    </w:p>
    <w:p>
      <w:pPr/>
      <w:r>
        <w:t>De aici nu urmează că progresul calculatoarelor constituie, singur, o probă că suntem simulați. Nu știm ce resurse ar fi necesare pentru nivelul relevant, câte civilizații ar ajunge să le folosească, ce ar simula și de ce. Nu știm nici dacă numărul instanțelor ar trebui să determine probabilitatea propriei noastre localizări într-o clasă aleasă de observatori. Argumentul ne obligă să examinăm presupuneri despre viitor și conștiință; nu le transformă în măsurători.</w:t>
      </w:r>
    </w:p>
    <w:p>
      <w:pPr/>
      <w:r>
        <w:t>Să inventăm o loterie foarte simplă. Există o persoană biologică și nouă copii simulate cu aceeași memorie. Dacă adoptăm regula că fiecare instanță este un candidat egal pentru „eu”, rezultă o proporție de nouă din zece. Dar această valoare a fost introdusă prin construcția loteriei. Nu am descoperit proporția universului, nici clasa potrivită de comparație. Dacă două programe execută identic același calcul, avem două experiențe, una sau niciuna? Răspunsul cere o teorie a implementării și, eventual, a conștiinței.</w:t>
      </w:r>
    </w:p>
    <w:p>
      <w:pPr/>
      <w:r>
        <w:t xml:space="preserve">Calculul probabilităților nu repară automat necunoașterea acestor premise. Abordările bayesiene pot face dependențele mai clare: probabilitatea finală este condiționată de modelele admise și de ponderile inițiale. Analiza lui David Kipping arată tocmai importanța structurării alternativelor și a presupunerilor din inferența despre simulare. O cifră produsă de un model nu trebuie prezentată ca frecvență cosmică măsurată. </w:t>
      </w:r>
      <w:hyperlink w:anchor="ref_53" w:history="1">
        <w:r>
          <w:rPr>
            <w:color w:val="28516A"/>
            <w:rFonts w:ascii="Lato" w:hAnsi="Lato" w:cs="Lato" w:eastAsia="Lato"/>
            <w:sz w:val="17"/>
            <w:vertAlign w:val="superscript"/>
          </w:rPr>
          <w:t>[53]</w:t>
        </w:r>
      </w:hyperlink>
    </w:p>
    <w:p>
      <w:pPr/>
      <w:r>
        <w:t>Există, totuși, o lecție mai robustă decât orice procent. „Simulat” și „ireal” nu sunt sinonime în toate sensurile importante. Dacă o implementare ar susține realmente experiență, suferința din ea nu ar deveni falsă fiindcă suportul se află în altă lume. Ceea ce ar fi diferit este relația dintre nivelul trăit și mecanismul care îl susține. Aceasta rămâne o propoziție condițională: nu dovedește că programele curente simt.</w:t>
      </w:r>
    </w:p>
    <w:p>
      <w:pPr>
        <w:pStyle w:val="Heading2"/>
      </w:pPr>
      <w:r>
        <w:t>Pot apărea legi noi?</w:t>
      </w:r>
    </w:p>
    <w:p>
      <w:pPr>
        <w:ind w:firstLine="0"/>
      </w:pPr>
      <w:r>
        <w:t>Imaginați-vă un joc în care, după o mie de pași, gravitația se inversează. Din interior, locuitorii ar putea spune că s-a schimbat legea naturii. Din exterior, programatorul ar putea spune că nu s-a schimbat nimic: regula completă includea de la început pragul de o mie de pași. Diferența vine din starea și din nivelul descrierii, nu obligatoriu dintr-o contradicție în realitate.</w:t>
      </w:r>
    </w:p>
    <w:p>
      <w:pPr/>
      <w:r>
        <w:t>Putem construi și alt scenariu: un operator modifică efectiv programul în timpul execuției. Atunci dinamica internă anterioară nu mai este suficientă pentru a prezice evoluția. Dar sistemul mai larg — program, operator, dispozitiv, mediu — poate continua să respecte regularități. O intervenție externă față de universul simulat nu este prin definiție o încălcare a oricărei legi posibile. Este o interacțiune cu variabile care nu apar în descrierea internă.</w:t>
      </w:r>
    </w:p>
    <w:p>
      <w:pPr/>
      <w:r>
        <w:t>Aceasta face ipoteza mai puțin spectaculoasă și mai exactă. Orice model delimitat poate fi surprins de exterior. Diferența este dacă exteriorul are forma unei alte regiuni fizice, a unor grade de libertate neobservate sau a unui sistem care implementează lumea. Simplul eșec al unei predicții nu ne spune care variantă este corectă. Ar trebui să identificăm structura intervenției, nu doar să-i oferim un nume.</w:t>
      </w:r>
    </w:p>
    <w:p>
      <w:pPr/>
      <w:r>
        <w:t>Nici administratorul nu explică automat existența legilor. Dacă suportul respectă alte legi, întrebarea se mută la ele. Dacă administratorul este presupus capabil de orice fără constrângeri, am trecut la o teză metafizică mai puternică, nu la o concluzie a informaticii. Dacă există simulări în simulări, nu rezultă că lanțul este infinit sau că fiecare nivel poate susține arbitrar multe lumi de aceeași complexitate. Acestea sunt afirmații suplimentare, cu propriile probleme.</w:t>
      </w:r>
    </w:p>
    <w:p>
      <w:pPr/>
      <w:r>
        <w:t>Cel mai instructiv caz nu este operatorul răuvoitor care ascunde dovezile. Este o simulare perfect obișnuită ale cărei reguli produc exact aceleași observații ca un univers nesimulat. Presupunem două modele care atribuie aceleași probabilități rezultatelor fiecărui experiment accesibil locuitorilor. Atunci niciun rezultat intern nu le diferențiază empiric. Raportul probabilităților acelui rezultat este unu, indiferent de experiment. Nu trebuie ca cineva să intervină activ ca să ne înșele. Echivalența observațională poate fi o proprietate stabilă a implementării.</w:t>
      </w:r>
    </w:p>
    <w:p>
      <w:pPr/>
      <w:r>
        <w:t>Acesta este un rezultat despre ce pot distinge datele, nu dovada că cele două lumi sunt identice în orice sens. Pot avea suporturi, explicații și istorii externe diferite. Putem prefera una prin simplitate sau alte criterii teoretice, dar preferința nu trebuie confundată cu o observație discriminantă. O limită a accesului nu se rezolvă printr-un instrument mai sensibil dacă modelele sunt definite să coincidă pentru toate instrumentele accesibile.</w:t>
      </w:r>
    </w:p>
    <w:p>
      <w:pPr/>
      <w:r>
        <w:t xml:space="preserve">În schimb, dacă simularea are o implementare specificată care lasă urme, pot exista teste. Beane, Davoudi și Savage au discutat consecințe ale unei clase de simulări numerice pe rețele, inclusiv posibile semnături în comportamentul razelor cosmice. Demersul nu testează orice simulare imaginabilă: vizează presupuneri concrete despre discretizare. O eventuală anomalie ar trebui comparată și cu explicații fizice nesimulative. </w:t>
      </w:r>
      <w:hyperlink w:anchor="ref_54" w:history="1">
        <w:r>
          <w:rPr>
            <w:color w:val="28516A"/>
            <w:rFonts w:ascii="Lato" w:hAnsi="Lato" w:cs="Lato" w:eastAsia="Lato"/>
            <w:sz w:val="17"/>
            <w:vertAlign w:val="superscript"/>
          </w:rPr>
          <w:t>[54]</w:t>
        </w:r>
      </w:hyperlink>
    </w:p>
    <w:p>
      <w:pPr/>
      <w:r>
        <w:t>Un spațiu discret nu este, prin el însuși, un ecran. O limită de rezoluție nu este automat un pixel fabricat. Economiile de calcul pe care ni le imaginăm la un programator pot sugera ipoteze, dar nu constituie legi despre preferințele creatorilor ipotetici. Chiar și pentru programele construite de noi, implementări diferite pot realiza aceeași dinamică internă fără aceleași urme.</w:t>
      </w:r>
    </w:p>
    <w:p>
      <w:pPr>
        <w:pStyle w:val="Heading2"/>
      </w:pPr>
      <w:r>
        <w:t>Detectarea intervenției și responsabilitatea creatorului</w:t>
      </w:r>
    </w:p>
    <w:p>
      <w:pPr>
        <w:ind w:firstLine="0"/>
      </w:pPr>
      <w:r>
        <w:t>Cum ar arăta o investigație serioasă? Mai întâi am formula o ipoteză îngustă: de exemplu, o anumită încălcare a unei simetrii, cu o direcție, o scară și o dependență specificate înainte de test. Apoi am calcula consecințele pentru instrumente diferite și am căuta erori comune de măsurare. Am separa anomalia reproductibilă de explicația ei. „Predicția modelului cunoscut a eșuat” poate fi o concluzie solidă cu mult înainte de „am găsit serverul universului”.</w:t>
      </w:r>
    </w:p>
    <w:p>
      <w:pPr/>
      <w:r>
        <w:t>Un mesaj aparent inteligent ar cere o altă familie de verificări. Ar trebui exclusă contaminarea datelor și testată capacitatea sursei de a furniza informație care nu putea fi obținută prin canalele cunoscute. Chiar și o comunicare autentică neobișnuită ar demonstra mai întâi existența unui canal și a unei surse capabile, nu statutul ontologic de creator. Un actor mai puternic decât noi poate minți despre originea lui. Autoritatea tehnică și autoritatea metafizică nu sunt același lucru.</w:t>
      </w:r>
    </w:p>
    <w:p>
      <w:pPr/>
      <w:r>
        <w:t>Aceste precauții nu protejează dogmatic o lume fără administrator. Protejează diferența dintre a descoperi și a proiecta. O ipoteză este mai puternică atunci când poate pierde în fața unei observații. Dacă orice rezultat, inclusiv inexistența oricărei urme, este confirmare, mecanismul propus nu mai distribuie diferit așteptările noastre. Poate rămâne o posibilitate filosofică, dar nu câștigă sprijin experimental din fiecare întâmplare.</w:t>
      </w:r>
    </w:p>
    <w:p>
      <w:pPr/>
      <w:r>
        <w:t>Social, ideea simulării poate avea efecte opuse. Într-un scenariu, încurajează modestia: lumea accesibilă poate să nu fie ultimul nivel. În altul, permite cuiva să reducă ceilalți oameni la personaje dispensabile. A doua concluzie nu decurge din prima. Nimeni nu a primit o probă că ceilalți sunt lipsiți de experiență doar pentru că și-a imaginat un calculator mai mare. Incertitudinea despre suport nu justifică certitudinea că suferința altuia nu contează.</w:t>
      </w:r>
    </w:p>
    <w:p>
      <w:pPr/>
      <w:r>
        <w:t>Mai există o asimetrie relevantă. Creatorul unui mediu poate controla condițiile fără să controleze fiecare consecință sau fără să înțeleagă fiecare proces. În exemplul nostru ipotetic, un proiectant care creează sisteme capabile de suferință dobândește motive de responsabilitate tocmai prin puterea lui de a modifica situația. Nu devine moralmente infailibil fiindcă a scris codul. A putea opri un univers și a avea dreptul să îl oprești sunt două întrebări diferite.</w:t>
      </w:r>
    </w:p>
    <w:p>
      <w:pPr/>
      <w:r>
        <w:t>Acest raționament poate fi întors spre noi. Nu trebuie să știm că suntem simulați ca să ne întrebăm ce obligații am avea față de lumi artificiale suficient de complexe. În același timp, nu trebuie să atribuim experiență oricărei reprezentări pentru a cere prudență în cercetare. Putem introduce criterii, monitorizare și limite proporționale cu indiciile, fără să declarăm rezolvată natura conștiinței.</w:t>
      </w:r>
    </w:p>
    <w:p>
      <w:pPr/>
      <w:r>
        <w:t>Arta despre lumi fabricate are o forță specială fiindcă mută puterea dintr-un destin abstract într-o relație inteligibilă: cineva a ales condițiile. Dar același artificiu poate ascunde problema mai grea. Chiar dacă găsim un autor al decorului, nu am aflat de ce există acel autor, de ce experiența este posibilă sau de ce o lume ar trebui să fie dreaptă. Simularea schimbă arhitectura întrebărilor. Nu le dizolvă.</w:t>
      </w:r>
    </w:p>
    <w:p>
      <w:pPr/>
      <w:r>
        <w:t>Poziția rezonabilă nu este nici adeziunea entuziastă, nici interdicția de a gândi ipoteza. Este separarea variantelor: unele sunt testabile, altele sunt echivalente observațional cu alternativele lor, iar altele sunt atât de libere încât nu produc așteptări verificabile. Numai după această separare întrebarea „cum ne-am da seama?” primește un răspuns care spune ceva mai mult decât speranța de a găsi o crăpătură în decor.</w:t>
      </w:r>
    </w:p>
    <w:p>
      <w:bookmarkStart w:id="12" w:name="chapter_12"/>
      <w:pPr>
        <w:pStyle w:val="Heading1"/>
        <w:pageBreakBefore/>
      </w:pPr>
      <w:r>
        <w:t>11. Fenomene pentru care nu avem încă nume</w:t>
      </w:r>
      <w:bookmarkEnd w:id="12"/>
    </w:p>
    <w:p>
      <w:pPr>
        <w:pStyle w:val="Heading2"/>
        <w:spacing w:before="0"/>
      </w:pPr>
      <w:r>
        <w:t>Mai aproape decât vecinul, mai departe decât trecutul</w:t>
      </w:r>
    </w:p>
    <w:p>
      <w:pPr>
        <w:ind w:firstLine="0"/>
      </w:pPr>
      <w:r>
        <w:t>Să presupunem că două camere aflate la capetele unui continent pot comunica imediat printr-un canal intern al lumii, în vreme ce două camere alăturate au nevoie de o zi pentru același schimb. Nu afirmăm că universul nostru permite această situație. Construim o lume imaginară pentru a întreba ce ar însemna acolo „aproape”. Distanța de pe hartă, timpul comunicării și costul deplasării ar putea avea ordini diferite. Locuitorii nu ar folosi neapărat aceeași noțiune de vecinătate pentru toate activitățile.</w:t>
      </w:r>
    </w:p>
    <w:p>
      <w:pPr/>
      <w:r>
        <w:t>O primă familie de fenomene imaginabile ar putea fi numită, în acest exercițiu, proximitate de acces. Definiția este operațională: două stări sau regiuni sunt apropiate dacă un agent poate trece de la una la alta cu puține resurse, prin interacțiunile permise. Nu este o forță nouă și nici o descoperire. Este o variabilă pe care o putem implementa într-o rețea și compara cu distanța geometrică. Uneori cele două coincid; alteori o poartă închisă contează mai mult decât un kilometru.</w:t>
      </w:r>
    </w:p>
    <w:p>
      <w:pPr/>
      <w:r>
        <w:t>Pentru a simula situația, desenăm mental o rețea de noduri. Un semnal traversează câte o legătură la fiecare pas. Distanța lui este numărul minim de legături necesare. Adăugăm apoi o legătură între regiuni anterior îndepărtate. Distanțele interne se schimbă fără să fie nevoie să mutăm punctele de pe ecran. Desenul reprezintă rețeaua, dar nu este geometria operațională a locuitorilor. Aceasta din urmă este definită prin ce pot face semnalele.</w:t>
      </w:r>
    </w:p>
    <w:p>
      <w:pPr/>
      <w:r>
        <w:t>Putem merge mai departe și număra câte noduri devin accesibile după unul, doi sau trei pași. Ritmul de creștere poate servi drept indiciu al unei dimensionalități efective, pe un anumit interval de scări. Pe un lanț, accesul crește altfel decât într-o rețea bidimensională regulată. Într-un graf neregulat nu trebuie să presupunem o dimensiune unică pentru toate regiunile. Dar nici nu trebuie să proclamăm că am creat spațiul fizic: am creat un model al relațiilor de acces.</w:t>
      </w:r>
    </w:p>
    <w:p>
      <w:pPr/>
      <w:r>
        <w:t>Diferența are consecințe imaginabile pentru viață. Într-o astfel de lume, organismul adaptat să urmărească distanța desenată ar putea fi mai puțin eficient decât unul sensibil la conectivitate. Într-o economie construită pe aceeași rețea, controlul unei singure legături ar putea valora mai mult decât posesia multor noduri. Aceste rezultate ar depinde de regulile și obiectivele alese. Ele arată cum apar avantaje din arhitectura relațiilor, nu că natura ar recompensa în mod universal monopolul.</w:t>
      </w:r>
    </w:p>
    <w:p>
      <w:pPr/>
      <w:r>
        <w:t>Arta ar putea face perceptibilă această lume printr-o poveste în care două personaje împart locul, dar nu și accesul. Camera de alături devine mai îndepărtată decât o voce de la celălalt capăt al rețelei. Nu este nevoie să credem că lumea noastră are alte legi ca să folosim experimentul pentru a observa cât de săracă este uneori expresia „sunt aproape de tine”.</w:t>
      </w:r>
    </w:p>
    <w:p>
      <w:pPr/>
      <w:r>
        <w:t>O lume cu altă conectivitate nu este însă suficientă pentru un nou concept fundamental. Trebuie să întrebăm dacă „proximitatea de acces” adaugă o distincție predictivă sau doar redenumește o distanță deja cunoscută. Un termen nou merită păstrat dacă separă situații care altfel ar fi confundate și dacă această separare schimbă explicația ori intervenția. Fără această probă, invenția conceptuală riscă să fie doar marketing metafizic.</w:t>
      </w:r>
    </w:p>
    <w:p>
      <w:pPr>
        <w:pStyle w:val="Heading2"/>
      </w:pPr>
      <w:r>
        <w:t>Timpuri parțiale și biografii ramificate</w:t>
      </w:r>
    </w:p>
    <w:p>
      <w:pPr>
        <w:ind w:firstLine="0"/>
      </w:pPr>
      <w:r>
        <w:t>Imaginați acum o lume alcătuită din procese care își schimbă starea numai când primesc mesaje. Nu există un ceas central accesibil tuturor. Unele evenimente pot fi ordonate: mesajul a fost trimis înainte să fie primit. Pentru alte perechi nu există o relație de influență înregistrată. Programatorul poate avea un jurnal extern cu o ordine totală, dar locuitorii nu sunt obligați să o poată reconstrui.</w:t>
      </w:r>
    </w:p>
    <w:p>
      <w:pPr/>
      <w:r>
        <w:t>Vom numi această construcție, descriptiv, timp din dependențe. Ea poate fi simulată prin evenimente și legături de precedență, fără să pretindem că am înlocuit relativitatea sau am explicat timpul nostru. Întrebarea concretă este ce activități pot coordona agenții numai din aceste legături. Pot stabili cine a răspuns cui? Pot detecta o contradicție? Pot distinge două istorii care diferă doar prin ordinea externă a unor evenimente fără interacțiune?</w:t>
      </w:r>
    </w:p>
    <w:p>
      <w:pPr/>
      <w:r>
        <w:t>O asemenea simulare ne poate ajuta să vedem că durata, ordinea și simultaneitatea nu sunt aceeași proprietate. Pentru durată avem nevoie de un standard de comparație între procese. Pentru ordine poate fi suficientă o dependență. Pentru un prezent comun este necesară o convenție sau o structură suplimentară. Să realizăm una dintre ele într-un program nu înseamnă că le-am obținut pe toate și cu atât mai puțin că am produs senzația trecerii timpului.</w:t>
      </w:r>
    </w:p>
    <w:p>
      <w:pPr/>
      <w:r>
        <w:t>O a doua construcție poate ramifica biografiile. Salvăm starea unui agent simplu și pornim două continuări în medii diferite. Ambele au aceeași memorie până la despărțire; după aceea, experiențele în sens funcțional, adică intrările și actualizările de stare, diferă. Nu numim aceste intrări trăiri conștiente. Modelul permite însă să studiem cum s-ar modifica o noțiune de identitate când trecutul nu mai identifică unic viitorul.</w:t>
      </w:r>
    </w:p>
    <w:p>
      <w:pPr/>
      <w:r>
        <w:t>Problema practică apare la reunire. Dacă două ramuri raportează acțiuni incompatibile, combinarea fișierelor nu produce automat o biografie coerentă. Trebuie o regulă care să păstreze proveniența: acest eveniment aparține ramurii A, celălalt ramurii B. Fără ea, o memorie mai mare poate deveni o înțelegere mai proastă. Cantitatea de informație nu înlocuiește organizarea perspectivelor.</w:t>
      </w:r>
    </w:p>
    <w:p>
      <w:pPr/>
      <w:r>
        <w:t>Ne putem imagina un agent capabil să mențină asemenea istorii în paralel și să simuleze consecințele fiecărei alegeri. El ar avea o competență contrafactuală mai bogată decât un agent care reține o singură poveste. Totuși, a calcula mai multe viitoruri nu înseamnă a le trăi pe toate și nici a primi informații din viitorul real. Simularea internă este un proces prezent, cu ipoteze și erori.</w:t>
      </w:r>
    </w:p>
    <w:p>
      <w:pPr/>
      <w:r>
        <w:t>Această distincție protejează imaginația de două extreme. Nu trebuie să ne limităm la formele de memorie cu care suntem familiarizați. Dar nici să tratăm orice arhitectură neobișnuită drept acces la un plan superior al existenței. Un concept devine mai interesant când îi putem descrie mecanismul și limitele, nu când îl facem imposibil de infirmat.</w:t>
      </w:r>
    </w:p>
    <w:p>
      <w:pPr/>
      <w:r>
        <w:t>Cine ar câștiga într-o lume cu biografii ramificate? Poate cel care poate explora alternative ieftin și păstra rezultate utile. Cine ar pierde? În ipoteza suplimentară a unor ramuri conștiente, cele sacrificate ca simple încercări nereușite. Acest cost nu apare într-un model alcătuit doar din stări fără indicii de experiență. Tocmai diferența ne obligă să nu trecem pe nesimțite de la optimizarea programelor la manipularea unor ființe posibile.</w:t>
      </w:r>
    </w:p>
    <w:p>
      <w:pPr>
        <w:pStyle w:val="Heading2"/>
      </w:pPr>
      <w:r>
        <w:t>Alte feluri de a conta și de a fi cineva</w:t>
      </w:r>
    </w:p>
    <w:p>
      <w:pPr>
        <w:ind w:firstLine="0"/>
      </w:pPr>
      <w:r>
        <w:t>A treia familie de construcții privește ceea ce contează pentru un agent. Un program cu un singur scor poate ordona toate rezultatele pe o linie: mai bun sau mai rău. Putem construi însă un agent cu trei necesități independente: energie, păstrarea integrității și cooperare. Unele acțiuni îmbunătățesc una și o agravează pe alta. Nu impunem de la început că toate pot fi convertite într-o monedă comună.</w:t>
      </w:r>
    </w:p>
    <w:p>
      <w:pPr/>
      <w:r>
        <w:t>Numim acest model ecologie de relevanțe. Termenul este o etichetă a experimentului, nu numele unui fenomen descoperit. Îi putem urmări conflictele, compromisurile, schimbarea priorităților și capacitatea de a amâna un beneficiu. Dacă introducem o stare care favorizează explorarea când resursele sunt suficiente și conservarea când integritatea este amenințată, am implementat o funcție de reglare. Nu am demonstrat curiozitate sau teamă simțită.</w:t>
      </w:r>
    </w:p>
    <w:p>
      <w:pPr/>
      <w:r>
        <w:t>Modelul poate produce comportamente care ar fi greu de descris printr-o singură pereche plăcere–durere. Dar nu trebuie să presupunem că emoțiile umane sunt în realitate un scalar simplu pentru a construi comparația. Comparația corectă este între două arhitecturi artificiale explicit definite, nu între un om caricaturizat și un program sofisticat. Putem testa ce fel de flexibilitate aduce păstrarea conflictelor fără reducerea lor imediată la un scor.</w:t>
      </w:r>
    </w:p>
    <w:p>
      <w:pPr/>
      <w:r>
        <w:t>Am putea implementa, de exemplu, o regulă potrivit căreia anumite pierderi nu sunt compensate de acumularea unei resurse fără legătură. Agentul nu acceptă o deteriorare ireversibilă a integrității doar pentru un surplus nelimitat de puncte decorative. Rezultatul ar arăta ce comportament produce o constrângere, nu ar descoperi o lege morală. Totuși, ne-ar ajuta să gândim de ce unele valori umane sunt prost reprezentate de o singură măsură de performanță.</w:t>
      </w:r>
    </w:p>
    <w:p>
      <w:pPr/>
      <w:r>
        <w:t>O a patra construcție ar explora subiectul distribuit. Mai multe module își păstrează memoria locală, dar negociază o acțiune comună. Pot avea un registru comun sau numai mesaje parțiale. Putem măsura când deciziile devin coerente, când apar conflicte și ce se pierde prin centralizare. Acestea sunt proprietăți ale organizării. Ele nu ne spun, singure, dacă există o singură perspectivă conștientă, mai multe sau niciuna.</w:t>
      </w:r>
    </w:p>
    <w:p>
      <w:pPr/>
      <w:r>
        <w:t>Această limită este esențială fiindcă tentația antropomorfizării crește odată cu eleganța rezultatului. Un ansamblu care spune „noi” nu este automat mai multe persoane; unul care spune „eu” nu este automat una. Pronumele poate fi o regulă de interfață. Pentru problema experienței trebuie adăugate ipoteze independente și criterii care nu se reduc la vocabularul ales de proiectant.</w:t>
      </w:r>
    </w:p>
    <w:p>
      <w:pPr/>
      <w:r>
        <w:t>Putem imagina și o sensibilitate care nu seamănă cu niciunul dintre simțurile noastre: un agent care primește direct informații despre conectivitatea unui graf sau despre diferența dintre predicție și rezultat pentru numeroase procese simultane. Putem implementa canalul și testa discriminarea. Nu știm însă cum ar fi, dacă ar fi în vreun fel, să aibă acea experiență. Descrierea unei informații accesibile nu este încă descrierea unei calități trăite.</w:t>
      </w:r>
    </w:p>
    <w:p>
      <w:pPr/>
      <w:r>
        <w:t>Aici apare o hartă utilă a posibilului. O construcție poate fi imaginabilă verbal fără să fie coerentă. Poate fi coerentă matematic fără să fie calculabilă prin resurse finite în forma cerută. Poate fi calculabilă fără să fie realizabilă fizic în lumea noastră. Poate fi realizabilă fără să fie viabilă biologic. Și poate îndeplini toate aceste condiții fără ca noi să fi demonstrat experiența subiectivă. Fiecare treaptă cere alt argument.</w:t>
      </w:r>
    </w:p>
    <w:p>
      <w:pPr/>
      <w:r>
        <w:t>Inventarul limbii nu este inventarul universului. Dar un nume nou devine productiv numai când permite o distincție clară, cu consecințe verificabile. Între imaginație și descoperire rămâne de construit această punte.</w:t>
      </w:r>
    </w:p>
    <w:p>
      <w:bookmarkStart w:id="13" w:name="chapter_13"/>
      <w:pPr>
        <w:pStyle w:val="Heading1"/>
        <w:pageBreakBefore/>
      </w:pPr>
      <w:r>
        <w:t>12. Cum cercetăm un mister fără să îl fabricăm?</w:t>
      </w:r>
      <w:bookmarkEnd w:id="13"/>
    </w:p>
    <w:p>
      <w:pPr>
        <w:pStyle w:val="Heading2"/>
        <w:spacing w:before="0"/>
      </w:pPr>
      <w:r>
        <w:t>Trei lumi mici, trei limite precise</w:t>
      </w:r>
    </w:p>
    <w:p>
      <w:pPr>
        <w:ind w:firstLine="0"/>
      </w:pPr>
      <w:r>
        <w:t>O carte despre existență riscă să ofere cititorului multe posibilități și prea puține moduri de a le deosebi. Să încheiem, de aceea, prin trei construcții atât de mici încât le putem verifica integral. Nu sunt experimente asupra universului și nu conțin observatori conștienți. Sunt modele didactice, ale căror rezultate numerice au fost calculate și verificate pentru această carte. Rolul lor este să arate exact ce autorizează o observație și ce nu.</w:t>
      </w:r>
    </w:p>
    <w:p>
      <w:pPr/>
      <w:r>
        <w:t>Prima lume conține două valori, x și c, fiecare zero sau unu. La fiecare pas se actualizează simultan: noul x este vechiul x dacă c este zero și este opusul lui dacă c este unu; noul c este întotdeauna opusul vechiului c. În notație compactă, x′ = x XOR c și c′ = 1 − c. XOR înseamnă că rezultatul este unu când cele două intrări sunt diferite și zero când sunt egale.</w:t>
      </w:r>
    </w:p>
    <w:p>
      <w:pPr/>
      <w:r>
        <w:t>Pornind din perechea (0, 0), obținem (0, 1), apoi (1, 0), apoi (1, 1), apoi revenim la (0, 0). Am vizitat toate cele patru stări. Fiecare are un singur succesor și un singur predecesor. Regula este fixă, deterministă și reversibilă. Nu apare niciun administrator care o rescrie și nu este introdusă nicio alegere aleatorie.</w:t>
      </w:r>
    </w:p>
    <w:p>
      <w:pPr/>
      <w:r>
        <w:t>Acum ascundem c și afișăm numai x. Secvența observată devine 0, 0, 1, 1, 0, 0, 1, 1. Un cercetător care presupune că următoarea valoare depinde numai de x-ul prezent va întâmpina o problemă: zero este urmat uneori de zero, alteori de unu; același lucru se întâmplă după unu. Nu există o funcție deterministă numai de x care să descrie corect fiecare tranziție.</w:t>
      </w:r>
    </w:p>
    <w:p>
      <w:pPr/>
      <w:r>
        <w:t>Ceea ce a eșuat este alegerea stării observate drept descriere suficientă. Nu a eșuat determinismul lumii construite. Dacă păstrăm mai mult istoric, regularitatea poate fi recuperată; dacă observăm și c, mecanismul devine direct vizibil. Modelul nu demonstrează că orice aleatoriu din fizică ascunde variabile și nu ocolește rezultatele Bell. Demonstrează o propoziție mai modestă: aceeași valoare observată poate avea urmări diferite într-un sistem determinist atunci când starea relevantă este incomplet descrisă.</w:t>
      </w:r>
    </w:p>
    <w:p>
      <w:pPr/>
      <w:r>
        <w:t>A doua lume este un inel cu douăsprezece poziții. Fiecare conține zero sau unu. La fiecare pas, toate valorile se deplasează o poziție spre dreapta, cu ultima revenind la început. Există 2 la puterea 12, adică 4.096 de configurații. Le-am enumerat pe toate. Pentru fiecare, deplasarea spre stânga inversează exact pasul anterior, iar numărul de valori unu rămâne constant.</w:t>
      </w:r>
    </w:p>
    <w:p>
      <w:pPr/>
      <w:r>
        <w:t>Am verificat și perioada, adică numărul minim de pași necesari întoarcerii la configurația inițială. Două stări au perioada unu, două au perioada doi, șase au perioada trei, douăsprezece au perioada patru, cincizeci și patru au perioada șase, iar 4.020 au perioada doisprezece. Totalul este 4.096. Toate perioadele divid doisprezece, așa cum cere rotația inelului.</w:t>
      </w:r>
    </w:p>
    <w:p>
      <w:pPr/>
      <w:r>
        <w:t>Ce am obținut? O regulă de evoluție, o cantitate conservată și o clasificare completă a comportamentelor periodice pentru acest sistem finit. Nu am obținut termodinamică, viață sau conștiință. Nici numărul de valori unu nu devine energie doar fiindcă este conservat. Pentru această interpretare ar trebui precizate relațiile fizice și rolul mărimii. Modelul arată cum o invariantă poate fi derivată din structură, dar și cât de ușor este să abuzăm de un rezultat corect printr-un nume prea ambițios.</w:t>
      </w:r>
    </w:p>
    <w:p>
      <w:pPr/>
      <w:r>
        <w:t>A treia construcție folosește același inel, inițial cu un singur unu, și două ceasuri reprezentate prin contoare. Contorul intern avansează numai când se actualizează inelul. Contorul extern poate avansa și între actualizări. În prima execuție facem douăzeci și patru de actualizări fără intervale externe suplimentare. În a doua adăugăm 1.000 de unități externe înaintea actualizării a treia, cincizeci înaintea celei de-a unsprezecea și șapte înaintea ultimei.</w:t>
      </w:r>
    </w:p>
    <w:p>
      <w:pPr/>
      <w:r>
        <w:t>Jurnalul intern conține în ambele cazuri aceleași douăzeci și cinci de înregistrări: starea inițială și cele douăzeci și patru de stări ulterioare, fiecare asociată contorului intern. Contorul extern ajunge însă la douăzeci și patru în prima execuție și la 1.081 în a doua. Nu am așteptat efectiv acele intervale și nu am simulat senzația unui subiect; am reprezentat pauzele printr-un contor exterior și am comparat exact jurnalele.</w:t>
      </w:r>
    </w:p>
    <w:p>
      <w:pPr/>
      <w:r>
        <w:t>Egalitatea rezultă fiindcă evoluția internă nu citește acel contor exterior. Dacă am introduce un canal care îl face accesibil, concluzia s-ar putea schimba. Așadar, nedetectabilitatea nu este o proprietate mistică a pauzei, ci o consecință a izolării definite în model. Exemplul face concretă ideea de la începutul cărții: diferențe externe pot exista fără diferențe în dovezile interne. Nu dovedește că universul nostru a fost vreodată oprit.</w:t>
      </w:r>
    </w:p>
    <w:p>
      <w:pPr>
        <w:pStyle w:val="Heading2"/>
      </w:pPr>
      <w:r>
        <w:t>De la analogie la program de cercetare</w:t>
      </w:r>
    </w:p>
    <w:p>
      <w:pPr>
        <w:ind w:firstLine="0"/>
      </w:pPr>
      <w:r>
        <w:t>Aceste modele sunt utile tocmai fiindcă pot fi refăcute fără încredere în autor. Pentru primul ajunge să enumerăm patru perechi și să aplicăm regula. Pentru al doilea enumerăm șirurile binare de lungime doisprezece și le rotim până la revenire. Pentru al treilea comparăm jurnalele cu și fără contor extern suplimentar. Fiecare rezultat are o proprietate clară de infirmare: o tranziție diferită, o configurație care nu este inversată corect sau o înregistrare internă care diferă.</w:t>
      </w:r>
    </w:p>
    <w:p>
      <w:pPr/>
      <w:r>
        <w:t>Dar succesul verificării nu autorizează extrapolarea fără punte. Dacă dorim să folosim un model pentru natură, trebuie să spunem ce corespunde lui x, lui c, inelului sau pasului. Trebuie să identificăm ce mărimi sunt observabile și ce intervenții sunt posibile. Trebuie, mai ales, să arătăm ce predicție nouă aduce corespondența, dincolo de redescrierea rezultatului cunoscut.</w:t>
      </w:r>
    </w:p>
    <w:p>
      <w:pPr/>
      <w:r>
        <w:t>Un program de cercetare asupra legilor emergente ar putea începe cu familii de sisteme simple, nu cu promisiunea de a explica universul întreg. Am modifica regulile locale, stările inițiale și nivelul de observație. Am căuta regularități colective care persistă în fața unor schimbări microscopice. Apoi am testa când dispar. O lege emergentă convingătoare nu este doar o curbă frumoasă obținută o dată, ci o relație stabilă într-un domeniu de condiții explicit descris.</w:t>
      </w:r>
    </w:p>
    <w:p>
      <w:pPr/>
      <w:r>
        <w:t>Pentru spațiu emergent, criteriile ar include felul în care sunt măsurate distanțele, propagarea semnalelor și consistența geometriei inferate de observatori diferiți. Pentru timp, am separa ordinea evenimentelor, standardele de durată și apariția unor înregistrări asimetrice ale trecutului. Pentru cauzalitate, am distinge predicția din observație de schimbarea efectului prin intervenție. Niciunul dintre aceste proiecte nu este încheiat doar pentru că folosim cuvântul „emergență”.</w:t>
      </w:r>
    </w:p>
    <w:p>
      <w:pPr/>
      <w:r>
        <w:t>În studiul conștiinței, dificultatea este mai mare deoarece proprietatea vizată nu este identificată pur și simplu cu un jurnal de evenimente. Putem compara predicții despre integrare, disponibilitatea informației, raportare și schimbarea dinamicii. Putem căuta convergență între metode. Dar trebuie păstrată distincția dintre un indicator măsurat și interpretarea lui. Rivalitatea productivă dintre teorii cere predicții suficient de precise pentru a putea pierde, nu numai reinterpretări elegante după rezultat.</w:t>
      </w:r>
    </w:p>
    <w:p>
      <w:pPr/>
      <w:r>
        <w:t>Un studiu psihologic despre înțelegere ar putea compara explicația verbală, predicția în situații noi și alegerea unei intervenții corecte. Un studiu despre emoții ar putea combina relatarea persoanei, contextul, comportamentul și măsuri fiziologice, fără să declare una dintre ele traducerea perfectă a tuturor celorlalte. Acestea sunt propuneri metodologice, nu rezultate raportate aici. Miza este ca definiția să nu conțină deja concluzia dorită.</w:t>
      </w:r>
    </w:p>
    <w:p>
      <w:pPr/>
      <w:r>
        <w:t>La fel de importantă este distribuția erorilor. Un test care clasifică bine majoritatea poate greși tocmai pentru oamenii cu forme neobișnuite de exprimare. De aceea, evaluarea ar trebui să urmărească nu doar media, ci cine este exclus și ce cost are excluderea. Nu deducem această obligație dintr-o ecuație fizică. O introducem ca alegere normativă: dovezile despre persoane trebuie folosite cu atenție la consecințe și la posibilitatea contestării.</w:t>
      </w:r>
    </w:p>
    <w:p>
      <w:pPr/>
      <w:r>
        <w:t>Cercetarea socială a conceptelor ar putea urmări cine câștigă timp, autoritate sau resurse atunci când o definiție se schimbă. Ar trebui comparate explicații concurente: interes deliberat, inerție instituțională, limită tehnică, convenție rezonabilă care produce un efect secundar. A descoperi un beneficiar nu dovedește că el a proiectat mecanismul. A nu găsi un proiectant nu anulează efectul inegal. Această dublă precauție împiedică trecerea de la analiză structurală la povestea unei conspirații universale.</w:t>
      </w:r>
    </w:p>
    <w:p>
      <w:pPr>
        <w:pStyle w:val="Heading2"/>
      </w:pPr>
      <w:r>
        <w:t>Disciplina întrebărilor care pot pierde</w:t>
      </w:r>
    </w:p>
    <w:p>
      <w:pPr>
        <w:ind w:firstLine="0"/>
      </w:pPr>
      <w:r>
        <w:t>Există o diferență între o întrebare mare și o întrebare protejată de orice răspuns. „Este totul conștiință?” poate avea sens într-un sistem filosofic, dar pentru a o apropia de cercetarea empirică trebuie arătat ce ar fi diferit dacă ar fi falsă. „Spațiul rezultă din relații” devine un program când relațiile sunt definite și produc proprietăți verificabile. „Legile se pot schimba” devine investigabil când precizăm ce schimbare, la ce scară și cum o distingem de schimbarea condițiilor.</w:t>
      </w:r>
    </w:p>
    <w:p>
      <w:pPr/>
      <w:r>
        <w:t>Nu orice valoare intelectuală se reduce la experiment. Un argument poate demonstra că două presupuneri nu pot fi păstrate simultan. O analiză conceptuală poate arăta că folosim același cuvânt în sensuri incompatibile. O operă de artă poate face inteligibilă o perspectivă pe care o ignoram. Dar fiecare contribuție trebuie prezentată în moneda ei: coerență, clarificare, dovezi sau explorare a experienței. Prestigiul unei metode nu trebuie împrumutat pentru rezultate pe care acea metodă nu le-a produs.</w:t>
      </w:r>
    </w:p>
    <w:p>
      <w:pPr/>
      <w:r>
        <w:t>Cititorul poate aplica o procedură simplă oricărei afirmații impresionante. Să o reformuleze fără termenii care îi dau prestigiu. Să întrebe ce ar observa dacă ar fi corectă și ce ar observa dacă ar fi greșită. Să caute alternativa cea mai puternică, nu cea mai ușor de ridiculizat. Să identifice cine suportă costul unei erori. Aceste operații nu garantează adevărul, dar reduc spațiul în care confuzia poate fi vândută drept profunzime.</w:t>
      </w:r>
    </w:p>
    <w:p>
      <w:pPr/>
      <w:r>
        <w:t xml:space="preserve">La capătul investigației noastre, unele lucruri au un sprijin mult mai puternic decât altele. Efectele relativiste ale timpului sunt măsurabile; faptul că folosim reprezentări ale spațiului nu le anulează. Corelația și intervenția nu sunt aceeași operație. Există rezultate matematice precise despre calcul și modele finite verificabile integral. În schimb, derivarea spațiului nostru dintr-o structură mai fundamentală, criteriul suficient al conștiinței și statutul ultim al legilor rămân întrebări deschise în formele discutate. </w:t>
      </w:r>
      <w:hyperlink w:anchor="ref_14" w:history="1">
        <w:r>
          <w:rPr>
            <w:color w:val="28516A"/>
            <w:rFonts w:ascii="Lato" w:hAnsi="Lato" w:cs="Lato" w:eastAsia="Lato"/>
            <w:sz w:val="17"/>
            <w:vertAlign w:val="superscript"/>
          </w:rPr>
          <w:t>[14]</w:t>
        </w:r>
      </w:hyperlink>
      <w:r>
        <w:t xml:space="preserve"> </w:t>
      </w:r>
      <w:hyperlink w:anchor="ref_21" w:history="1">
        <w:r>
          <w:rPr>
            <w:color w:val="28516A"/>
            <w:rFonts w:ascii="Lato" w:hAnsi="Lato" w:cs="Lato" w:eastAsia="Lato"/>
            <w:sz w:val="17"/>
            <w:vertAlign w:val="superscript"/>
          </w:rPr>
          <w:t>[21]</w:t>
        </w:r>
      </w:hyperlink>
      <w:r>
        <w:t xml:space="preserve"> </w:t>
      </w:r>
      <w:hyperlink w:anchor="ref_49" w:history="1">
        <w:r>
          <w:rPr>
            <w:color w:val="28516A"/>
            <w:rFonts w:ascii="Lato" w:hAnsi="Lato" w:cs="Lato" w:eastAsia="Lato"/>
            <w:sz w:val="17"/>
            <w:vertAlign w:val="superscript"/>
          </w:rPr>
          <w:t>[49]</w:t>
        </w:r>
      </w:hyperlink>
    </w:p>
    <w:p>
      <w:pPr/>
      <w:r>
        <w:t>„Deschis” nu înseamnă că toate răspunsurile au aceeași valoare. O ipoteză care leagă riguros rezultate existente și produce predicții este mai bine susținută decât una compatibilă cu orice numai fiindcă nu spune nimic precis. Nici popularitatea, nici frumusețea unei idei nu înlocuiesc această diferență. Putem iubi o întrebare fără să acordăm aceleași credite tuturor răspunsurilor.</w:t>
      </w:r>
    </w:p>
    <w:p>
      <w:pPr/>
      <w:r>
        <w:t>Dificultatea de a înțelege poate crea piețe de autoritate. Unii specialiști câștigă legitim încredere fiindcă fac posibilă verificarea. Alții ar putea câștiga dependență dacă își protejează afirmațiile prin vocabular inaccesibil. Diferența nu este cât de complicat sună explicația, ci dacă există un drum de la afirmație la motive, limite și probe. O cultură intelectuală sănătoasă nu cere ca fiecare om să refacă toate calculele; cere ca verificarea să fie posibilă și organizată credibil.</w:t>
      </w:r>
    </w:p>
    <w:p>
      <w:pPr/>
      <w:r>
        <w:t>Poate că această organizare este una dintre marile extensii ale minții omenești. Nicio persoană nu cuprinde singură toate premisele unei civilizații tehnice. Putem însă distribui cunoașterea fără să abandonăm responsabilitatea, dacă păstrăm legături între afirmații, surse, teste și decizii. Problema nu este numai cât poate înțelege un creier, ci ce fel de instituții îi permit să afle când se înșală.</w:t>
      </w:r>
    </w:p>
    <w:p>
      <w:pPr/>
      <w:r>
        <w:t>Adevărata opoziție nu este, atunci, între mister și explicație. Este între misterul care deschide cercetarea și misterul folosit pentru a o închide. Primul spune: încă nu știm, dar putem preciza unde ar apărea diferența. Al doilea spune: nu trebuie să întrebi mai departe. Pentru spațiu, timp, cauzalitate și existență, prima atitudine este mai modestă în declarații și mult mai ambițioasă în ceea ce încearcă să facă.</w:t>
      </w:r>
    </w:p>
    <w:p>
      <w:bookmarkStart w:id="14" w:name="chapter_14"/>
      <w:pPr>
        <w:pStyle w:val="Heading1"/>
        <w:pageBreakBefore/>
      </w:pPr>
      <w:r>
        <w:t>Epilog. Ce rămâne după explicație?</w:t>
      </w:r>
      <w:bookmarkEnd w:id="14"/>
    </w:p>
    <w:p>
      <w:pPr>
        <w:ind w:firstLine="0"/>
      </w:pPr>
      <w:r>
        <w:t>Universul de la începutul cărții a fost oprit, în imaginația noastră, pentru un miliard de ani. Toate ceasurile, memoriile și procesele au fost înghețate. Apoi totul a continuat. Nu am găsit în această poveste o dovadă că timpul este iluzoriu. Am găsit ceva mai precis: ceea ce poate conta pentru o descriere externă nu trebuie să lase o diferență pentru un observator intern.</w:t>
      </w:r>
    </w:p>
    <w:p>
      <w:pPr/>
      <w:r>
        <w:t>De atunci am făcut același exercițiu cu alte cuvinte. Spațiul nu s-a evaporat când am observat că avem nevoie de relații și proceduri pentru a-l măsura. Cauzalitatea nu a devenit arbitrară când am separat corelația de intervenție. Emoțiile nu au devenit false când am văzut că sensul lor implică un corp, o istorie și un context. Existența socială nu a devenit o simplă opinie când i-am identificat dependența de practici comune.</w:t>
      </w:r>
    </w:p>
    <w:p>
      <w:pPr/>
      <w:r>
        <w:t>Am pierdut câteva simplificări comode. Nu mai putem folosi „natural” ca sinonim pentru bun, inevitabil sau drept. Nu mai putem presupune că o explicație microscopică răspunde automat unei întrebări despre semnificație. Nu mai putem transforma un raport verbal în probă suficientă a conștiinței, dar nici absența raportului în demonstrație universală a absenței experienței. Și nu putem confunda o posibilitate fascinantă cu o probabilitate măsurată.</w:t>
      </w:r>
    </w:p>
    <w:p>
      <w:pPr/>
      <w:r>
        <w:t>Ce am câștigat în schimb? Mai multe locuri în care putem lucra. Putem căuta regularități fără să credem că am găsit ultima lege. Putem simula forme de organizare neobișnuite fără să declarăm că am creat trăire. Putem schimba instituții recunoscând că sunt construite, fără să negăm realitatea costurilor pe care le impun. Putem respecta întrebările religioase și metafizice fără să le prezentăm drept rezultate de laborator sau să cerem laboratorului să aleagă singur valorile după care trăim.</w:t>
      </w:r>
    </w:p>
    <w:p>
      <w:pPr/>
      <w:r>
        <w:t>Mintea noastră nu este un tribunal exterior universului. Este una dintre formele în care universul poate fi reprezentat, investigat și, local, modificat. Această poziție nu garantează accesul la orice adevăr. Dar nici nu ne condamnă la inventarul intuițiilor cu care am început. Instrumentele, matematica, dialogul și instituțiile criticii pot extinde ceea ce putem recunoaște și corecta.</w:t>
      </w:r>
    </w:p>
    <w:p>
      <w:pPr/>
      <w:r>
        <w:t>Rămâne o întrebare mai puțin grandioasă decât „de ce există ceva?”, dar imposibil de amânat până la răspunsul final: ce facem cu ceea ce înțelegem deja? Știm să distingem uneori o probă de o promisiune, o explicație de o intimidare, un cost real de un cost omis din model. Aceste distincții nu rezolvă metafizica. Pot însă schimba viața cuiva.</w:t>
      </w:r>
    </w:p>
    <w:p>
      <w:pPr/>
      <w:r>
        <w:t>O lume nu trebuie să fie explicată până la ultimul fundament pentru ca suferința ei să conteze. Iar o explicație nu trebuie să fie ultimă pentru a merita căutată. Între aceste două propoziții încape o formă de luciditate: să nu folosim limitele cunoașterii drept scuză pentru nepăsare și să nu folosim urgența acțiunii drept scuză pentru certitudini inventate.</w:t>
      </w:r>
    </w:p>
    <w:p>
      <w:pPr/>
      <w:r>
        <w:t>Poate că nu vom afla de ce există un univers capabil să întrebe. Dar felul în care întrebăm — și ceea ce permitem altora să întrebe — este deja o parte reală a răspunsului despre ce fel de lume construim înăuntrul lui.</w:t>
      </w:r>
    </w:p>
    <w:p>
      <w:bookmarkStart w:id="15" w:name="chapter_15"/>
      <w:pPr>
        <w:pStyle w:val="Heading1"/>
        <w:pageBreakBefore/>
      </w:pPr>
      <w:r>
        <w:t>Glosar. Distincții care împiedică falsele soluții</w:t>
      </w:r>
      <w:bookmarkEnd w:id="15"/>
    </w:p>
    <w:p>
      <w:pPr>
        <w:pStyle w:val="Glossary"/>
        <w:ind w:firstLine="0"/>
      </w:pPr>
      <w:r>
        <w:t>Termenii de mai jos sunt definiții de lucru pentru această carte. Unele discipline îi folosesc diferit. Glosarul nu înlocuiește disputele prezentate în capitole; păstrează separate întrebările pe care vocabularul obișnuit tinde să le amestece.</w:t>
      </w:r>
    </w:p>
    <w:p>
      <w:pPr>
        <w:pStyle w:val="Glossary"/>
      </w:pPr>
      <w:r>
        <w:rPr>
          <w:b/>
        </w:rPr>
        <w:t>Afect.</w:t>
      </w:r>
      <w:r>
        <w:t xml:space="preserve"> Termen general pentru dimensiunea prin care stările sunt relevante pentru organism, de exemplu prin valență și activare. Nu este folosit aici ca sinonim obligatoriu al unei emoții distincte sau al unei experiențe conștiente.</w:t>
      </w:r>
    </w:p>
    <w:p>
      <w:pPr>
        <w:pStyle w:val="Glossary"/>
      </w:pPr>
      <w:r>
        <w:rPr>
          <w:b/>
        </w:rPr>
        <w:t>Cauzalitate.</w:t>
      </w:r>
      <w:r>
        <w:t xml:space="preserve"> Relație prin care încercăm să explicăm producerea sau modificarea unor evenimente. Într-un model intervenționist, întrebăm ce s-ar schimba dacă am interveni asupra unei variabile. O simplă succesiune nu este suficientă.</w:t>
      </w:r>
    </w:p>
    <w:p>
      <w:pPr>
        <w:pStyle w:val="Glossary"/>
      </w:pPr>
      <w:r>
        <w:rPr>
          <w:b/>
        </w:rPr>
        <w:t>Condiție inițială.</w:t>
      </w:r>
      <w:r>
        <w:t xml:space="preserve"> Starea de la care începe aplicarea unei reguli de evoluție într-un model. Două evoluții diferite pot respecta aceeași lege și porni din condiții diferite.</w:t>
      </w:r>
    </w:p>
    <w:p>
      <w:pPr>
        <w:pStyle w:val="Glossary"/>
      </w:pPr>
      <w:r>
        <w:rPr>
          <w:b/>
        </w:rPr>
        <w:t>Conștiință fenomenală.</w:t>
      </w:r>
      <w:r>
        <w:t xml:space="preserve"> Existența unui caracter trăit al unei stări: faptul că este într-un anumit fel pentru subiect să o aibă. Definiția indică problema; nu oferă singură un test infailibil.</w:t>
      </w:r>
    </w:p>
    <w:p>
      <w:pPr>
        <w:pStyle w:val="Glossary"/>
      </w:pPr>
      <w:r>
        <w:rPr>
          <w:b/>
        </w:rPr>
        <w:t>Conștiință de acces.</w:t>
      </w:r>
      <w:r>
        <w:t xml:space="preserve"> Disponibilitatea unor informații pentru utilizări precum raportarea, raționamentul și controlul flexibil al comportamentului. Relația ei cu experiența fenomenală este o problemă teoretică, nu o identitate impusă prin definiție.</w:t>
      </w:r>
    </w:p>
    <w:p>
      <w:pPr>
        <w:pStyle w:val="Glossary"/>
      </w:pPr>
      <w:r>
        <w:rPr>
          <w:b/>
        </w:rPr>
        <w:t>Contingență.</w:t>
      </w:r>
      <w:r>
        <w:t xml:space="preserve"> Statutul a ceea ce ar fi putut să nu existe sau să fie altfel, potrivit noțiunii de posibilitate folosite. Contingența logică, fizică și metafizică nu trebuie confundate.</w:t>
      </w:r>
    </w:p>
    <w:p>
      <w:pPr>
        <w:pStyle w:val="Glossary"/>
      </w:pPr>
      <w:r>
        <w:rPr>
          <w:b/>
        </w:rPr>
        <w:t>Contrafactual.</w:t>
      </w:r>
      <w:r>
        <w:t xml:space="preserve"> Enunț despre ce s-ar fi întâmplat în condiții diferite de cele efective. Evaluarea lui cere precizarea schimbării imaginate și a aspectelor păstrate constante.</w:t>
      </w:r>
    </w:p>
    <w:p>
      <w:pPr>
        <w:pStyle w:val="Glossary"/>
      </w:pPr>
      <w:r>
        <w:rPr>
          <w:b/>
        </w:rPr>
        <w:t>Corelație.</w:t>
      </w:r>
      <w:r>
        <w:t xml:space="preserve"> Asociere statistică între variațiile unor mărimi. Poate apărea prin influență cauzală, cauze comune, selecție sau alte mecanisme; nu identifică singură care dintre acestea operează.</w:t>
      </w:r>
    </w:p>
    <w:p>
      <w:pPr>
        <w:pStyle w:val="Glossary"/>
      </w:pPr>
      <w:r>
        <w:rPr>
          <w:b/>
        </w:rPr>
        <w:t>Determinism.</w:t>
      </w:r>
      <w:r>
        <w:t xml:space="preserve"> Proprietatea unui model în care starea completă relevantă și regula fixează evoluția ulterioară. Nu implică faptul că un observator poate cunoaște acea stare sau calcula eficient rezultatul.</w:t>
      </w:r>
    </w:p>
    <w:p>
      <w:pPr>
        <w:pStyle w:val="Glossary"/>
      </w:pPr>
      <w:r>
        <w:rPr>
          <w:b/>
        </w:rPr>
        <w:t>Dispoziție.</w:t>
      </w:r>
      <w:r>
        <w:t xml:space="preserve"> Capacitate sau tendință de manifestare în anumite condiții. În unele metafizici, dispozițiile sunt fundamentale pentru explicarea regularităților; în altele, sunt descrieri derivate din structuri și legi.</w:t>
      </w:r>
    </w:p>
    <w:p>
      <w:pPr>
        <w:pStyle w:val="Glossary"/>
      </w:pPr>
      <w:r>
        <w:rPr>
          <w:b/>
        </w:rPr>
        <w:t>Emergență.</w:t>
      </w:r>
      <w:r>
        <w:t xml:space="preserve"> Apariția unor proprietăți colective prin organizarea și interacțiunea componentelor. O folosire explicativă a termenului trebuie să precizeze mecanismul, nivelul și condițiile, nu doar să anunțe apariția.</w:t>
      </w:r>
    </w:p>
    <w:p>
      <w:pPr>
        <w:pStyle w:val="Glossary"/>
      </w:pPr>
      <w:r>
        <w:rPr>
          <w:b/>
        </w:rPr>
        <w:t>Emergență puternică.</w:t>
      </w:r>
      <w:r>
        <w:t xml:space="preserve"> Teză potrivit căreia anumite proprietăți superioare nu sunt pe deplin derivate din baza lor în sensul ontologic sau explicativ relevant. Nu trebuie confundată cu dificultatea practică a unui calcul; cartea nu o tratează ca fapt demonstrat.</w:t>
      </w:r>
    </w:p>
    <w:p>
      <w:pPr>
        <w:pStyle w:val="Glossary"/>
      </w:pPr>
      <w:r>
        <w:rPr>
          <w:b/>
        </w:rPr>
        <w:t>Emoție și sentiment.</w:t>
      </w:r>
      <w:r>
        <w:t xml:space="preserve"> În convenția acestei cărți, emoția desemnează un episod de evaluare și reglare a unei situații; sentimentul poate desemna latura trăită sau o orientare afectivă mai durabilă. Terminologiile nu sunt uniforme.</w:t>
      </w:r>
    </w:p>
    <w:p>
      <w:pPr>
        <w:pStyle w:val="Glossary"/>
      </w:pPr>
      <w:r>
        <w:rPr>
          <w:b/>
        </w:rPr>
        <w:t>Entropie.</w:t>
      </w:r>
      <w:r>
        <w:t xml:space="preserve"> Mărime definită în cadre precise ale termodinamicii, mecanicii statistice sau teoriei informației. Nu este un sinonim universal al dezordinii vizuale, al răului sau al lipsei de sens.</w:t>
      </w:r>
    </w:p>
    <w:p>
      <w:pPr>
        <w:pStyle w:val="Glossary"/>
      </w:pPr>
      <w:r>
        <w:rPr>
          <w:b/>
        </w:rPr>
        <w:t>Echivalență observațională.</w:t>
      </w:r>
      <w:r>
        <w:t xml:space="preserve"> Situație în care două modele atribuie aceleași rezultate, ori aceleași probabilități, tuturor observațiilor relevante din domeniul considerat. Datele din acel domeniu nu le pot discrimina singure.</w:t>
      </w:r>
    </w:p>
    <w:p>
      <w:pPr>
        <w:pStyle w:val="Glossary"/>
      </w:pPr>
      <w:r>
        <w:rPr>
          <w:b/>
        </w:rPr>
        <w:t>Explicație.</w:t>
      </w:r>
      <w:r>
        <w:t xml:space="preserve"> Răspuns care face inteligibil un aspect prin mecanisme, relații, principii sau motive. Ce contează drept explicație adecvată depinde și de întrebarea pusă; o explicație predictivă nu este automat una ultimă.</w:t>
      </w:r>
    </w:p>
    <w:p>
      <w:pPr>
        <w:pStyle w:val="Glossary"/>
      </w:pPr>
      <w:r>
        <w:rPr>
          <w:b/>
        </w:rPr>
        <w:t>Fapt brut.</w:t>
      </w:r>
      <w:r>
        <w:t xml:space="preserve"> Fapt acceptat fără explicație suplimentară în cadrul discutat. A-l numi astfel nu dovedește că nicio explicație mai profundă nu ar putea fi găsită.</w:t>
      </w:r>
    </w:p>
    <w:p>
      <w:pPr>
        <w:pStyle w:val="Glossary"/>
      </w:pPr>
      <w:r>
        <w:rPr>
          <w:b/>
        </w:rPr>
        <w:t>Fizicalism.</w:t>
      </w:r>
      <w:r>
        <w:t xml:space="preserve"> Familie de poziții potrivit cărora ceea ce există este, în sensul relevant, fizic sau dependent de fizic. Nu obligă la folosirea exclusivă a vocabularului particulelor pentru orice întrebare.</w:t>
      </w:r>
    </w:p>
    <w:p>
      <w:pPr>
        <w:pStyle w:val="Glossary"/>
      </w:pPr>
      <w:r>
        <w:rPr>
          <w:b/>
        </w:rPr>
        <w:t>Fundamentare ontologică.</w:t>
      </w:r>
      <w:r>
        <w:t xml:space="preserve"> Relație prin care existența sau statutul unui lucru este explicat prin altceva, fără a presupune neapărat un eveniment anterior în timp. Este diferită de simpla precedență temporală.</w:t>
      </w:r>
    </w:p>
    <w:p>
      <w:pPr>
        <w:pStyle w:val="Glossary"/>
      </w:pPr>
      <w:r>
        <w:rPr>
          <w:b/>
        </w:rPr>
        <w:t>Idealism.</w:t>
      </w:r>
      <w:r>
        <w:t xml:space="preserve"> Familie de perspective care acordă minții, experienței sau structurilor lor un rol fundamental în realitate. Nu înseamnă automat că dorința individuală poate schimba orice obiect.</w:t>
      </w:r>
    </w:p>
    <w:p>
      <w:pPr>
        <w:pStyle w:val="Glossary"/>
      </w:pPr>
      <w:r>
        <w:rPr>
          <w:b/>
        </w:rPr>
        <w:t>Interocepție.</w:t>
      </w:r>
      <w:r>
        <w:t xml:space="preserve"> Procesarea semnalelor despre starea internă a corpului. În unele teorii ale emoției are un rol central, fără a constitui singură explicația completă a fiecărei emoții.</w:t>
      </w:r>
    </w:p>
    <w:p>
      <w:pPr>
        <w:pStyle w:val="Glossary"/>
      </w:pPr>
      <w:r>
        <w:rPr>
          <w:b/>
        </w:rPr>
        <w:t>Intervenție.</w:t>
      </w:r>
      <w:r>
        <w:t xml:space="preserve"> Modificare a unei variabile sau a mecanismului care o produce, cu ipoteze despre ce alte relații rămân stabile. În inferența cauzală este diferită de simpla selectare a cazurilor în care variabila are deja o valoare.</w:t>
      </w:r>
    </w:p>
    <w:p>
      <w:pPr>
        <w:pStyle w:val="Glossary"/>
      </w:pPr>
      <w:r>
        <w:rPr>
          <w:b/>
        </w:rPr>
        <w:t>Invarianță.</w:t>
      </w:r>
      <w:r>
        <w:t xml:space="preserve"> Păstrarea unei proprietăți la transformările specificate. Trebuie numite atât proprietatea, cât și transformările; nu orice regularitate intuitivă constituie aceeași simetrie fizică.</w:t>
      </w:r>
    </w:p>
    <w:p>
      <w:pPr>
        <w:pStyle w:val="Glossary"/>
      </w:pPr>
      <w:r>
        <w:rPr>
          <w:b/>
        </w:rPr>
        <w:t>Întrețesere cuantică.</w:t>
      </w:r>
      <w:r>
        <w:t xml:space="preserve"> Situație în care descrierea stării comune a unor sisteme nu se reduce la atribuirea unor stări independente în modul clasic. Corelațiile rezultate nu oferă automat comunicare controlabilă mai rapidă decât lumina.</w:t>
      </w:r>
    </w:p>
    <w:p>
      <w:pPr>
        <w:pStyle w:val="Glossary"/>
      </w:pPr>
      <w:r>
        <w:rPr>
          <w:b/>
        </w:rPr>
        <w:t>Înțelegere.</w:t>
      </w:r>
      <w:r>
        <w:t xml:space="preserve"> În sensul operațional folosit aici, capacitatea de a păstra relații relevante atunci când explicăm, transferăm, anticipăm sau intervenim. Fluența verbală poate fi un indiciu, dar nu este criteriu suficient.</w:t>
      </w:r>
    </w:p>
    <w:p>
      <w:pPr>
        <w:pStyle w:val="Glossary"/>
      </w:pPr>
      <w:r>
        <w:rPr>
          <w:b/>
        </w:rPr>
        <w:t>Lege efectivă.</w:t>
      </w:r>
      <w:r>
        <w:t xml:space="preserve"> Relație valabilă într-un domeniu de scări și condiții, care poate omite detalii microscopice. Poate fi foarte exactă în acel domeniu fără să fie fundamentală sau universal aplicabilă.</w:t>
      </w:r>
    </w:p>
    <w:p>
      <w:pPr>
        <w:pStyle w:val="Glossary"/>
      </w:pPr>
      <w:r>
        <w:rPr>
          <w:b/>
        </w:rPr>
        <w:t>Metalege.</w:t>
      </w:r>
      <w:r>
        <w:t xml:space="preserve"> Regulă care descrie schimbarea altor reguli într-un model. Introducerea ei mută nivelul explicației; nu elimină de la sine întrebarea despre originea ordinii complete.</w:t>
      </w:r>
    </w:p>
    <w:p>
      <w:pPr>
        <w:pStyle w:val="Glossary"/>
      </w:pPr>
      <w:r>
        <w:rPr>
          <w:b/>
        </w:rPr>
        <w:t>Model.</w:t>
      </w:r>
      <w:r>
        <w:t xml:space="preserve"> Reprezentare selectivă a unui sistem pentru un scop. Include variabile, relații și idealizări. Corectitudinea într-un scop nu garantează adecvarea pentru toate celelalte.</w:t>
      </w:r>
    </w:p>
    <w:p>
      <w:pPr>
        <w:pStyle w:val="Glossary"/>
      </w:pPr>
      <w:r>
        <w:rPr>
          <w:b/>
        </w:rPr>
        <w:t>Ontologie.</w:t>
      </w:r>
      <w:r>
        <w:t xml:space="preserve"> Investigarea a ceea ce există și a felurilor de existență sau dependență. Trebuie deosebită de epistemologie, care privește posibilitatea și justificarea cunoașterii.</w:t>
      </w:r>
    </w:p>
    <w:p>
      <w:pPr>
        <w:pStyle w:val="Glossary"/>
      </w:pPr>
      <w:r>
        <w:rPr>
          <w:b/>
        </w:rPr>
        <w:t>Panpsihism.</w:t>
      </w:r>
      <w:r>
        <w:t xml:space="preserve"> Familie de teorii care atribuie aspecte experiențiale fundamentale foarte larg în natură. Nu afirmă obligatoriu că fiecare obiect are o minte umană miniaturală; problema combinării experiențelor rămâne importantă.</w:t>
      </w:r>
    </w:p>
    <w:p>
      <w:pPr>
        <w:pStyle w:val="Glossary"/>
      </w:pPr>
      <w:r>
        <w:rPr>
          <w:b/>
        </w:rPr>
        <w:t>Reducționism.</w:t>
      </w:r>
      <w:r>
        <w:t xml:space="preserve"> Poziție ontologică, metodologică sau explicativă privind relația dintre niveluri. A accepta că un fenomen are un suport fizic nu implică automat că toate explicațiile lui pot fi înlocuite util prin descrierea acelui suport.</w:t>
      </w:r>
    </w:p>
    <w:p>
      <w:pPr>
        <w:pStyle w:val="Glossary"/>
      </w:pPr>
      <w:r>
        <w:rPr>
          <w:b/>
        </w:rPr>
        <w:t>Renormalizare.</w:t>
      </w:r>
      <w:r>
        <w:t xml:space="preserve"> Familie de metode pentru legarea descrierilor la scări diferite și identificarea aspectelor care rămân relevante. În discuția emergenței, ajută la explicarea unor regularități colective robuste.</w:t>
      </w:r>
    </w:p>
    <w:p>
      <w:pPr>
        <w:pStyle w:val="Glossary"/>
      </w:pPr>
      <w:r>
        <w:rPr>
          <w:b/>
        </w:rPr>
        <w:t>Simulare.</w:t>
      </w:r>
      <w:r>
        <w:t xml:space="preserve"> Implementare a unui model printr-un sistem care îi realizează anumite relații și actualizări. A simula un comportament nu înseamnă automat a realiza toate proprietățile lucrului reprezentat.</w:t>
      </w:r>
    </w:p>
    <w:p>
      <w:pPr>
        <w:pStyle w:val="Glossary"/>
      </w:pPr>
      <w:r>
        <w:rPr>
          <w:b/>
        </w:rPr>
        <w:t>Subdeterminare.</w:t>
      </w:r>
      <w:r>
        <w:t xml:space="preserve"> Situație în care dovezile disponibile nu aleg unic între explicații. Poate fi temporară, din lipsă de date, sau mai profundă, dacă alternativele sunt echivalente pentru toate testele accesibile.</w:t>
      </w:r>
    </w:p>
    <w:p>
      <w:pPr>
        <w:pStyle w:val="Glossary"/>
      </w:pPr>
      <w:r>
        <w:rPr>
          <w:b/>
        </w:rPr>
        <w:t>Timp propriu.</w:t>
      </w:r>
      <w:r>
        <w:t xml:space="preserve"> Durată asociată unei traiectorii fizice și măsurată de un ceas ideal care o urmează. Nu trebuie confundată cu o coordonată temporală aleasă pentru descrierea întregului sistem.</w:t>
      </w:r>
    </w:p>
    <w:p>
      <w:pPr>
        <w:pStyle w:val="Glossary"/>
      </w:pPr>
      <w:r>
        <w:rPr>
          <w:b/>
        </w:rPr>
        <w:t>Universalitate.</w:t>
      </w:r>
      <w:r>
        <w:t xml:space="preserve"> În sensul restrâns al fenomenelor critice, împărtășirea unor forme de comportament de către sisteme diferite microscopic. Nu înseamnă că toate sistemele au aceleași proprietăți sau că o lege este valabilă fără condiții.</w:t>
      </w:r>
    </w:p>
    <w:p>
      <w:pPr>
        <w:pStyle w:val="Glossary"/>
      </w:pPr>
      <w:r>
        <w:rPr>
          <w:b/>
        </w:rPr>
        <w:t>Valență.</w:t>
      </w:r>
      <w:r>
        <w:t xml:space="preserve"> Dimensiune prin care o stare este evaluată ca favorabilă ori nefavorabilă, plăcută ori neplăcută, în cadrul teoretic folosit. Un scor de recompensă artificial nu demonstrează singur valență simțită.</w:t>
      </w:r>
    </w:p>
    <w:p>
      <w:bookmarkStart w:id="16" w:name="bibliography"/>
      <w:pPr>
        <w:pStyle w:val="Heading1"/>
        <w:pageBreakBefore/>
      </w:pPr>
      <w:r>
        <w:t>Bibliografie și surse</w:t>
      </w:r>
      <w:bookmarkEnd w:id="16"/>
    </w:p>
    <w:p>
      <w:pPr>
        <w:pStyle w:val="BookNote"/>
      </w:pPr>
      <w:r>
        <w:t>Referințele sunt numerotate în ordinea primei citări. Numerele din text trimit la intrările de mai jos; titlurile și marcajele DOI sunt legături active. Pentru lucrările clasice sunt indicate datele originale și, unde este relevant, ediția tradusă. Paginile web au fost consultate la 10 septembrie 2026.</w:t>
      </w:r>
    </w:p>
    <w:p>
      <w:pPr>
        <w:pStyle w:val="BookNote"/>
      </w:pPr>
      <w:r>
        <w:t>Selecția combină lucrări originale, texte istorice și sinteze filosofice de referință. Preprinturile și rapoartele sunt identificate ca atare. Cazurile inventate, propunerile metodologice și modelele finite din capitolul 12 sunt marcate în text și nu sunt prezentate ca rezultate empirice ale surselor.</w:t>
      </w:r>
    </w:p>
    <w:p>
      <w:bookmarkStart w:id="17" w:name="ref_1"/>
      <w:pPr>
        <w:pStyle w:val="Reference"/>
        <w:keepLines/>
        <w:ind w:left="389" w:hanging="389"/>
      </w:pPr>
      <w:bookmarkEnd w:id="17"/>
      <w:r>
        <w:rPr>
          <w:b/>
        </w:rPr>
        <w:t xml:space="preserve">[1] </w:t>
      </w:r>
      <w:r>
        <w:t xml:space="preserve">Aristotel (sec. IV î.e.n.). </w:t>
      </w:r>
      <w:hyperlink r:id="rId11" w:history="1">
        <w:r>
          <w:rPr>
            <w:color w:val="28516A"/>
            <w:i/>
          </w:rPr>
          <w:t>Physics, Book IV</w:t>
        </w:r>
      </w:hyperlink>
      <w:r>
        <w:t>. Traducere de R. P. Hardie și R. K. Gaye. The Internet Classics Archive.</w:t>
      </w:r>
    </w:p>
    <w:p>
      <w:bookmarkStart w:id="18" w:name="ref_2"/>
      <w:pPr>
        <w:pStyle w:val="Reference"/>
        <w:keepLines/>
        <w:ind w:left="389" w:hanging="389"/>
      </w:pPr>
      <w:bookmarkEnd w:id="18"/>
      <w:r>
        <w:rPr>
          <w:b/>
        </w:rPr>
        <w:t xml:space="preserve">[2] </w:t>
      </w:r>
      <w:r>
        <w:t xml:space="preserve">Huggett, N.; Hoefer, C.; Read, J. (2021). </w:t>
      </w:r>
      <w:hyperlink r:id="rId12" w:history="1">
        <w:r>
          <w:rPr>
            <w:color w:val="28516A"/>
            <w:i/>
          </w:rPr>
          <w:t>Absolute and Relational Space and Motion: Post-Newtonian Theories</w:t>
        </w:r>
      </w:hyperlink>
      <w:r>
        <w:t>. Stanford Encyclopedia of Philosophy, versiune online.</w:t>
      </w:r>
    </w:p>
    <w:p>
      <w:bookmarkStart w:id="19" w:name="ref_3"/>
      <w:pPr>
        <w:pStyle w:val="Reference"/>
        <w:keepLines/>
        <w:ind w:left="389" w:hanging="389"/>
      </w:pPr>
      <w:bookmarkEnd w:id="19"/>
      <w:r>
        <w:rPr>
          <w:b/>
        </w:rPr>
        <w:t xml:space="preserve">[3] </w:t>
      </w:r>
      <w:r>
        <w:t xml:space="preserve">Look, B. C. (2013). </w:t>
      </w:r>
      <w:hyperlink r:id="rId13" w:history="1">
        <w:r>
          <w:rPr>
            <w:color w:val="28516A"/>
            <w:i/>
          </w:rPr>
          <w:t>Gottfried Wilhelm Leibniz</w:t>
        </w:r>
      </w:hyperlink>
      <w:r>
        <w:t>. Stanford Encyclopedia of Philosophy, versiune online.</w:t>
      </w:r>
    </w:p>
    <w:p>
      <w:bookmarkStart w:id="20" w:name="ref_4"/>
      <w:pPr>
        <w:pStyle w:val="Reference"/>
        <w:keepLines/>
        <w:ind w:left="389" w:hanging="389"/>
      </w:pPr>
      <w:bookmarkEnd w:id="20"/>
      <w:r>
        <w:rPr>
          <w:b/>
        </w:rPr>
        <w:t xml:space="preserve">[4] </w:t>
      </w:r>
      <w:r>
        <w:t xml:space="preserve">Kant, I. (1781/1787). </w:t>
      </w:r>
      <w:hyperlink r:id="rId14" w:history="1">
        <w:r>
          <w:rPr>
            <w:color w:val="28516A"/>
            <w:i/>
          </w:rPr>
          <w:t>Critique of Pure Reason</w:t>
        </w:r>
      </w:hyperlink>
      <w:r>
        <w:t>. Traducere de J. M. D. Meiklejohn. Text disponibil prin Project Gutenberg.</w:t>
      </w:r>
    </w:p>
    <w:p>
      <w:bookmarkStart w:id="21" w:name="ref_5"/>
      <w:pPr>
        <w:pStyle w:val="Reference"/>
        <w:keepLines/>
        <w:ind w:left="389" w:hanging="389"/>
      </w:pPr>
      <w:bookmarkEnd w:id="21"/>
      <w:r>
        <w:rPr>
          <w:b/>
        </w:rPr>
        <w:t xml:space="preserve">[5] </w:t>
      </w:r>
      <w:r>
        <w:t xml:space="preserve">Einstein, A. (1920). </w:t>
      </w:r>
      <w:hyperlink r:id="rId15" w:history="1">
        <w:r>
          <w:rPr>
            <w:color w:val="28516A"/>
            <w:i/>
          </w:rPr>
          <w:t>Relativity: The Special and General Theory</w:t>
        </w:r>
      </w:hyperlink>
      <w:r>
        <w:t>. Ediție engleză, traducere de Robert W. Lawson. Project Gutenberg.</w:t>
      </w:r>
    </w:p>
    <w:p>
      <w:bookmarkStart w:id="22" w:name="ref_6"/>
      <w:pPr>
        <w:pStyle w:val="Reference"/>
        <w:keepLines/>
        <w:ind w:left="389" w:hanging="389"/>
      </w:pPr>
      <w:bookmarkEnd w:id="22"/>
      <w:r>
        <w:rPr>
          <w:b/>
        </w:rPr>
        <w:t xml:space="preserve">[6] </w:t>
      </w:r>
      <w:r>
        <w:t xml:space="preserve">Van Raamsdonk, M. (2010). </w:t>
      </w:r>
      <w:hyperlink r:id="rId16" w:history="1">
        <w:r>
          <w:rPr>
            <w:color w:val="28516A"/>
            <w:i/>
          </w:rPr>
          <w:t>Building up spacetime with quantum entanglement</w:t>
        </w:r>
      </w:hyperlink>
      <w:r>
        <w:t>. arXiv:1005.3035.</w:t>
      </w:r>
    </w:p>
    <w:p>
      <w:bookmarkStart w:id="23" w:name="ref_7"/>
      <w:pPr>
        <w:pStyle w:val="Reference"/>
        <w:keepLines/>
        <w:ind w:left="389" w:hanging="389"/>
      </w:pPr>
      <w:bookmarkEnd w:id="23"/>
      <w:r>
        <w:rPr>
          <w:b/>
        </w:rPr>
        <w:t xml:space="preserve">[7] </w:t>
      </w:r>
      <w:r>
        <w:t xml:space="preserve">Surya, S. (2019). </w:t>
      </w:r>
      <w:hyperlink r:id="rId17" w:history="1">
        <w:r>
          <w:rPr>
            <w:color w:val="28516A"/>
            <w:i/>
          </w:rPr>
          <w:t>The causal set approach to quantum gravity</w:t>
        </w:r>
      </w:hyperlink>
      <w:r>
        <w:t>. Living Reviews in Relativity, 22, articolul 5; versiune arXiv:1903.11544.</w:t>
      </w:r>
    </w:p>
    <w:p>
      <w:bookmarkStart w:id="24" w:name="ref_8"/>
      <w:pPr>
        <w:pStyle w:val="Reference"/>
        <w:keepLines/>
        <w:ind w:left="389" w:hanging="389"/>
      </w:pPr>
      <w:bookmarkEnd w:id="24"/>
      <w:r>
        <w:rPr>
          <w:b/>
        </w:rPr>
        <w:t xml:space="preserve">[8] </w:t>
      </w:r>
      <w:r>
        <w:t xml:space="preserve">O’Keefe, J.; Dostrovsky, J. (1971). </w:t>
      </w:r>
      <w:hyperlink r:id="rId18" w:history="1">
        <w:r>
          <w:rPr>
            <w:color w:val="28516A"/>
            <w:i/>
          </w:rPr>
          <w:t>The hippocampus as a spatial map. Preliminary evidence from unit activity in the freely-moving rat</w:t>
        </w:r>
      </w:hyperlink>
      <w:r>
        <w:t>. Brain Research, 34(1), 171–175.</w:t>
      </w:r>
      <w:r>
        <w:t xml:space="preserve"> </w:t>
      </w:r>
      <w:hyperlink r:id="rId19" w:history="1">
        <w:r>
          <w:rPr>
            <w:color w:val="28516A"/>
            <w:rFonts w:ascii="Lato" w:hAnsi="Lato" w:cs="Lato" w:eastAsia="Lato"/>
            <w:sz w:val="17"/>
          </w:rPr>
          <w:t>DOI</w:t>
        </w:r>
      </w:hyperlink>
    </w:p>
    <w:p>
      <w:bookmarkStart w:id="25" w:name="ref_9"/>
      <w:pPr>
        <w:pStyle w:val="Reference"/>
        <w:keepLines/>
        <w:ind w:left="389" w:hanging="389"/>
      </w:pPr>
      <w:bookmarkEnd w:id="25"/>
      <w:r>
        <w:rPr>
          <w:b/>
        </w:rPr>
        <w:t xml:space="preserve">[9] </w:t>
      </w:r>
      <w:r>
        <w:t xml:space="preserve">Hafting, T.; Fyhn, M.; Molden, S.; Moser, M.-B.; Moser, E. I. (2005). </w:t>
      </w:r>
      <w:hyperlink r:id="rId20" w:history="1">
        <w:r>
          <w:rPr>
            <w:color w:val="28516A"/>
            <w:i/>
          </w:rPr>
          <w:t>Microstructure of a spatial map in the entorhinal cortex</w:t>
        </w:r>
      </w:hyperlink>
      <w:r>
        <w:t>. Nature, 436, 801–806.</w:t>
      </w:r>
      <w:r>
        <w:t xml:space="preserve"> </w:t>
      </w:r>
      <w:hyperlink r:id="rId21" w:history="1">
        <w:r>
          <w:rPr>
            <w:color w:val="28516A"/>
            <w:rFonts w:ascii="Lato" w:hAnsi="Lato" w:cs="Lato" w:eastAsia="Lato"/>
            <w:sz w:val="17"/>
          </w:rPr>
          <w:t>DOI</w:t>
        </w:r>
      </w:hyperlink>
    </w:p>
    <w:p>
      <w:bookmarkStart w:id="26" w:name="ref_10"/>
      <w:pPr>
        <w:pStyle w:val="Reference"/>
        <w:keepLines/>
        <w:ind w:left="389" w:hanging="389"/>
      </w:pPr>
      <w:bookmarkEnd w:id="26"/>
      <w:r>
        <w:rPr>
          <w:b/>
        </w:rPr>
        <w:t xml:space="preserve">[10] </w:t>
      </w:r>
      <w:r>
        <w:t xml:space="preserve">Chetty, R.; Hendren, N.; Katz, L. F. (2016). </w:t>
      </w:r>
      <w:hyperlink r:id="rId22" w:history="1">
        <w:r>
          <w:rPr>
            <w:color w:val="28516A"/>
            <w:i/>
          </w:rPr>
          <w:t>The Effects of Exposure to Better Neighborhoods on Children: New Evidence from the Moving to Opportunity Experiment</w:t>
        </w:r>
      </w:hyperlink>
      <w:r>
        <w:t>. American Economic Review, 106(4), 855–902.</w:t>
      </w:r>
      <w:r>
        <w:t xml:space="preserve"> </w:t>
      </w:r>
      <w:hyperlink r:id="rId23" w:history="1">
        <w:r>
          <w:rPr>
            <w:color w:val="28516A"/>
            <w:rFonts w:ascii="Lato" w:hAnsi="Lato" w:cs="Lato" w:eastAsia="Lato"/>
            <w:sz w:val="17"/>
          </w:rPr>
          <w:t>DOI</w:t>
        </w:r>
      </w:hyperlink>
    </w:p>
    <w:p>
      <w:bookmarkStart w:id="27" w:name="ref_11"/>
      <w:pPr>
        <w:pStyle w:val="Reference"/>
        <w:keepLines/>
        <w:ind w:left="389" w:hanging="389"/>
      </w:pPr>
      <w:bookmarkEnd w:id="27"/>
      <w:r>
        <w:rPr>
          <w:b/>
        </w:rPr>
        <w:t xml:space="preserve">[11] </w:t>
      </w:r>
      <w:r>
        <w:t xml:space="preserve">Augustin (cca 397–400). </w:t>
      </w:r>
      <w:hyperlink r:id="rId24" w:history="1">
        <w:r>
          <w:rPr>
            <w:color w:val="28516A"/>
            <w:i/>
          </w:rPr>
          <w:t>Confessions, Book XI</w:t>
        </w:r>
      </w:hyperlink>
      <w:r>
        <w:t>. Traducere de Edward Bouverie Pusey. Project Gutenberg.</w:t>
      </w:r>
    </w:p>
    <w:p>
      <w:bookmarkStart w:id="28" w:name="ref_12"/>
      <w:pPr>
        <w:pStyle w:val="Reference"/>
        <w:keepLines/>
        <w:ind w:left="389" w:hanging="389"/>
      </w:pPr>
      <w:bookmarkEnd w:id="28"/>
      <w:r>
        <w:rPr>
          <w:b/>
        </w:rPr>
        <w:t xml:space="preserve">[12] </w:t>
      </w:r>
      <w:r>
        <w:t xml:space="preserve">Bergson, H. (1889/1910). </w:t>
      </w:r>
      <w:hyperlink r:id="rId25" w:history="1">
        <w:r>
          <w:rPr>
            <w:color w:val="28516A"/>
            <w:i/>
          </w:rPr>
          <w:t>Time and Free Will: An Essay on the Immediate Data of Consciousness</w:t>
        </w:r>
      </w:hyperlink>
      <w:r>
        <w:t>. Original francez din 1889; traducere engleză de F. L. Pogson, 1910. Project Gutenberg.</w:t>
      </w:r>
    </w:p>
    <w:p>
      <w:bookmarkStart w:id="29" w:name="ref_13"/>
      <w:pPr>
        <w:pStyle w:val="Reference"/>
        <w:keepLines/>
        <w:ind w:left="389" w:hanging="389"/>
      </w:pPr>
      <w:bookmarkEnd w:id="29"/>
      <w:r>
        <w:rPr>
          <w:b/>
        </w:rPr>
        <w:t xml:space="preserve">[13] </w:t>
      </w:r>
      <w:r>
        <w:t xml:space="preserve">Stetson, C.; Fiesta, M. P.; Eagleman, D. M. (2007). </w:t>
      </w:r>
      <w:hyperlink r:id="rId26" w:history="1">
        <w:r>
          <w:rPr>
            <w:color w:val="28516A"/>
            <w:i/>
          </w:rPr>
          <w:t>Does Time Really Slow Down during a Frightening Event?</w:t>
        </w:r>
      </w:hyperlink>
      <w:r>
        <w:t>. PLoS ONE, 2(12), e1295.</w:t>
      </w:r>
      <w:r>
        <w:t xml:space="preserve"> </w:t>
      </w:r>
      <w:hyperlink r:id="rId27" w:history="1">
        <w:r>
          <w:rPr>
            <w:color w:val="28516A"/>
            <w:rFonts w:ascii="Lato" w:hAnsi="Lato" w:cs="Lato" w:eastAsia="Lato"/>
            <w:sz w:val="17"/>
          </w:rPr>
          <w:t>DOI</w:t>
        </w:r>
      </w:hyperlink>
    </w:p>
    <w:p>
      <w:bookmarkStart w:id="30" w:name="ref_14"/>
      <w:pPr>
        <w:pStyle w:val="Reference"/>
        <w:keepLines/>
        <w:ind w:left="389" w:hanging="389"/>
      </w:pPr>
      <w:bookmarkEnd w:id="30"/>
      <w:r>
        <w:rPr>
          <w:b/>
        </w:rPr>
        <w:t xml:space="preserve">[14] </w:t>
      </w:r>
      <w:r>
        <w:t xml:space="preserve">Bothwell, T., și colab. (2021/2022). </w:t>
      </w:r>
      <w:hyperlink r:id="rId28" w:history="1">
        <w:r>
          <w:rPr>
            <w:color w:val="28516A"/>
            <w:i/>
          </w:rPr>
          <w:t>Resolving the gravitational redshift within a millimeter atomic sample</w:t>
        </w:r>
      </w:hyperlink>
      <w:r>
        <w:t>. Preprint arXiv:2109.12238; Nature, 602, 420–424 (2022).</w:t>
      </w:r>
      <w:r>
        <w:t xml:space="preserve"> </w:t>
      </w:r>
      <w:hyperlink r:id="rId29" w:history="1">
        <w:r>
          <w:rPr>
            <w:color w:val="28516A"/>
            <w:rFonts w:ascii="Lato" w:hAnsi="Lato" w:cs="Lato" w:eastAsia="Lato"/>
            <w:sz w:val="17"/>
          </w:rPr>
          <w:t>DOI</w:t>
        </w:r>
      </w:hyperlink>
    </w:p>
    <w:p>
      <w:bookmarkStart w:id="31" w:name="ref_15"/>
      <w:pPr>
        <w:pStyle w:val="Reference"/>
        <w:keepLines/>
        <w:ind w:left="389" w:hanging="389"/>
      </w:pPr>
      <w:bookmarkEnd w:id="31"/>
      <w:r>
        <w:rPr>
          <w:b/>
        </w:rPr>
        <w:t xml:space="preserve">[15] </w:t>
      </w:r>
      <w:r>
        <w:t xml:space="preserve">Gell-Mann, M.; Hartle, J. B. (1993/1994). </w:t>
      </w:r>
      <w:hyperlink r:id="rId30" w:history="1">
        <w:r>
          <w:rPr>
            <w:color w:val="28516A"/>
            <w:i/>
          </w:rPr>
          <w:t>Time Symmetry and Asymmetry in Quantum Mechanics and Quantum Cosmology</w:t>
        </w:r>
      </w:hyperlink>
      <w:r>
        <w:t>. În Physical Origins of Time Asymmetry. Cambridge University Press; versiune arXiv:gr-qc/9304023.</w:t>
      </w:r>
    </w:p>
    <w:p>
      <w:bookmarkStart w:id="32" w:name="ref_16"/>
      <w:pPr>
        <w:pStyle w:val="Reference"/>
        <w:keepLines/>
        <w:ind w:left="389" w:hanging="389"/>
      </w:pPr>
      <w:bookmarkEnd w:id="32"/>
      <w:r>
        <w:rPr>
          <w:b/>
        </w:rPr>
        <w:t xml:space="preserve">[16] </w:t>
      </w:r>
      <w:r>
        <w:t xml:space="preserve">Bérut, A., și colab. (2012). </w:t>
      </w:r>
      <w:hyperlink r:id="rId31" w:history="1">
        <w:r>
          <w:rPr>
            <w:color w:val="28516A"/>
            <w:i/>
          </w:rPr>
          <w:t>Experimental verification of Landauer’s principle linking information and thermodynamics</w:t>
        </w:r>
      </w:hyperlink>
      <w:r>
        <w:t>. Nature, 483, 187–189.</w:t>
      </w:r>
      <w:r>
        <w:t xml:space="preserve"> </w:t>
      </w:r>
      <w:hyperlink r:id="rId32" w:history="1">
        <w:r>
          <w:rPr>
            <w:color w:val="28516A"/>
            <w:rFonts w:ascii="Lato" w:hAnsi="Lato" w:cs="Lato" w:eastAsia="Lato"/>
            <w:sz w:val="17"/>
          </w:rPr>
          <w:t>DOI</w:t>
        </w:r>
      </w:hyperlink>
    </w:p>
    <w:p>
      <w:bookmarkStart w:id="33" w:name="ref_17"/>
      <w:pPr>
        <w:pStyle w:val="Reference"/>
        <w:keepLines/>
        <w:ind w:left="389" w:hanging="389"/>
      </w:pPr>
      <w:bookmarkEnd w:id="33"/>
      <w:r>
        <w:rPr>
          <w:b/>
        </w:rPr>
        <w:t xml:space="preserve">[17] </w:t>
      </w:r>
      <w:r>
        <w:t xml:space="preserve">Thompson, E. P. (1967). </w:t>
      </w:r>
      <w:hyperlink r:id="rId33" w:history="1">
        <w:r>
          <w:rPr>
            <w:color w:val="28516A"/>
            <w:i/>
          </w:rPr>
          <w:t>Time, Work-Discipline, and Industrial Capitalism</w:t>
        </w:r>
      </w:hyperlink>
      <w:r>
        <w:t>. Past &amp; Present, 38(1), 56–97.</w:t>
      </w:r>
      <w:r>
        <w:t xml:space="preserve"> </w:t>
      </w:r>
      <w:hyperlink r:id="rId34" w:history="1">
        <w:r>
          <w:rPr>
            <w:color w:val="28516A"/>
            <w:rFonts w:ascii="Lato" w:hAnsi="Lato" w:cs="Lato" w:eastAsia="Lato"/>
            <w:sz w:val="17"/>
          </w:rPr>
          <w:t>DOI</w:t>
        </w:r>
      </w:hyperlink>
    </w:p>
    <w:p>
      <w:bookmarkStart w:id="34" w:name="ref_18"/>
      <w:pPr>
        <w:pStyle w:val="Reference"/>
        <w:keepLines/>
        <w:ind w:left="389" w:hanging="389"/>
      </w:pPr>
      <w:bookmarkEnd w:id="34"/>
      <w:r>
        <w:rPr>
          <w:b/>
        </w:rPr>
        <w:t xml:space="preserve">[18] </w:t>
      </w:r>
      <w:r>
        <w:t xml:space="preserve">Boroditsky, L.; Gaby, A. (2010). </w:t>
      </w:r>
      <w:hyperlink r:id="rId35" w:history="1">
        <w:r>
          <w:rPr>
            <w:color w:val="28516A"/>
            <w:i/>
          </w:rPr>
          <w:t>Remembrances of Times East: Absolute Spatial Representations of Time in an Australian Aboriginal Community</w:t>
        </w:r>
      </w:hyperlink>
      <w:r>
        <w:t>. Psychological Science, 21(11), 1635–1639.</w:t>
      </w:r>
      <w:r>
        <w:t xml:space="preserve"> </w:t>
      </w:r>
      <w:hyperlink r:id="rId36" w:history="1">
        <w:r>
          <w:rPr>
            <w:color w:val="28516A"/>
            <w:rFonts w:ascii="Lato" w:hAnsi="Lato" w:cs="Lato" w:eastAsia="Lato"/>
            <w:sz w:val="17"/>
          </w:rPr>
          <w:t>DOI</w:t>
        </w:r>
      </w:hyperlink>
    </w:p>
    <w:p>
      <w:bookmarkStart w:id="35" w:name="ref_19"/>
      <w:pPr>
        <w:pStyle w:val="Reference"/>
        <w:keepLines/>
        <w:ind w:left="389" w:hanging="389"/>
      </w:pPr>
      <w:bookmarkEnd w:id="35"/>
      <w:r>
        <w:rPr>
          <w:b/>
        </w:rPr>
        <w:t xml:space="preserve">[19] </w:t>
      </w:r>
      <w:r>
        <w:t xml:space="preserve">Aristotel (sec. IV î.e.n.). </w:t>
      </w:r>
      <w:hyperlink r:id="rId37" w:history="1">
        <w:r>
          <w:rPr>
            <w:color w:val="28516A"/>
            <w:i/>
          </w:rPr>
          <w:t>Physics, Book II</w:t>
        </w:r>
      </w:hyperlink>
      <w:r>
        <w:t>. Traducere de R. P. Hardie și R. K. Gaye. The Internet Classics Archive.</w:t>
      </w:r>
    </w:p>
    <w:p>
      <w:bookmarkStart w:id="36" w:name="ref_20"/>
      <w:pPr>
        <w:pStyle w:val="Reference"/>
        <w:keepLines/>
        <w:ind w:left="389" w:hanging="389"/>
      </w:pPr>
      <w:bookmarkEnd w:id="36"/>
      <w:r>
        <w:rPr>
          <w:b/>
        </w:rPr>
        <w:t xml:space="preserve">[20] </w:t>
      </w:r>
      <w:r>
        <w:t xml:space="preserve">Hume, D. (1748). </w:t>
      </w:r>
      <w:hyperlink r:id="rId38" w:history="1">
        <w:r>
          <w:rPr>
            <w:color w:val="28516A"/>
            <w:i/>
          </w:rPr>
          <w:t>An Enquiry Concerning Human Understanding</w:t>
        </w:r>
      </w:hyperlink>
      <w:r>
        <w:t>. Text disponibil prin Project Gutenberg.</w:t>
      </w:r>
    </w:p>
    <w:p>
      <w:bookmarkStart w:id="37" w:name="ref_21"/>
      <w:pPr>
        <w:pStyle w:val="Reference"/>
        <w:keepLines/>
        <w:ind w:left="389" w:hanging="389"/>
      </w:pPr>
      <w:bookmarkEnd w:id="37"/>
      <w:r>
        <w:rPr>
          <w:b/>
        </w:rPr>
        <w:t xml:space="preserve">[21] </w:t>
      </w:r>
      <w:r>
        <w:t xml:space="preserve">Pearl, J. (2010). </w:t>
      </w:r>
      <w:hyperlink r:id="rId39" w:history="1">
        <w:r>
          <w:rPr>
            <w:color w:val="28516A"/>
            <w:i/>
          </w:rPr>
          <w:t>An Introduction to Causal Inference</w:t>
        </w:r>
      </w:hyperlink>
      <w:r>
        <w:t>. The International Journal of Biostatistics, 6(2), articolul 7.</w:t>
      </w:r>
      <w:r>
        <w:t xml:space="preserve"> </w:t>
      </w:r>
      <w:hyperlink r:id="rId40" w:history="1">
        <w:r>
          <w:rPr>
            <w:color w:val="28516A"/>
            <w:rFonts w:ascii="Lato" w:hAnsi="Lato" w:cs="Lato" w:eastAsia="Lato"/>
            <w:sz w:val="17"/>
          </w:rPr>
          <w:t>DOI</w:t>
        </w:r>
      </w:hyperlink>
    </w:p>
    <w:p>
      <w:bookmarkStart w:id="38" w:name="ref_22"/>
      <w:pPr>
        <w:pStyle w:val="Reference"/>
        <w:keepLines/>
        <w:ind w:left="389" w:hanging="389"/>
      </w:pPr>
      <w:bookmarkEnd w:id="38"/>
      <w:r>
        <w:rPr>
          <w:b/>
        </w:rPr>
        <w:t xml:space="preserve">[22] </w:t>
      </w:r>
      <w:r>
        <w:t xml:space="preserve">Hensen, B., și colab. (2015). </w:t>
      </w:r>
      <w:hyperlink r:id="rId41" w:history="1">
        <w:r>
          <w:rPr>
            <w:color w:val="28516A"/>
            <w:i/>
          </w:rPr>
          <w:t>Loophole-free Bell inequality violation using electron spins separated by 1.3 kilometres</w:t>
        </w:r>
      </w:hyperlink>
      <w:r>
        <w:t>. Nature, 526, 682–686; preprint arXiv:1508.05949.</w:t>
      </w:r>
      <w:r>
        <w:t xml:space="preserve"> </w:t>
      </w:r>
      <w:hyperlink r:id="rId42" w:history="1">
        <w:r>
          <w:rPr>
            <w:color w:val="28516A"/>
            <w:rFonts w:ascii="Lato" w:hAnsi="Lato" w:cs="Lato" w:eastAsia="Lato"/>
            <w:sz w:val="17"/>
          </w:rPr>
          <w:t>DOI</w:t>
        </w:r>
      </w:hyperlink>
    </w:p>
    <w:p>
      <w:bookmarkStart w:id="39" w:name="ref_23"/>
      <w:pPr>
        <w:pStyle w:val="Reference"/>
        <w:keepLines/>
        <w:ind w:left="389" w:hanging="389"/>
      </w:pPr>
      <w:bookmarkEnd w:id="39"/>
      <w:r>
        <w:rPr>
          <w:b/>
        </w:rPr>
        <w:t xml:space="preserve">[23] </w:t>
      </w:r>
      <w:r>
        <w:t xml:space="preserve">Oreshkov, O.; Costa, F.; Brukner, Č. (2012). </w:t>
      </w:r>
      <w:hyperlink r:id="rId43" w:history="1">
        <w:r>
          <w:rPr>
            <w:color w:val="28516A"/>
            <w:i/>
          </w:rPr>
          <w:t>Quantum correlations with no causal order</w:t>
        </w:r>
      </w:hyperlink>
      <w:r>
        <w:t>. Nature Communications, 3, articolul 1092; arXiv:1105.4464.</w:t>
      </w:r>
      <w:r>
        <w:t xml:space="preserve"> </w:t>
      </w:r>
      <w:hyperlink r:id="rId44" w:history="1">
        <w:r>
          <w:rPr>
            <w:color w:val="28516A"/>
            <w:rFonts w:ascii="Lato" w:hAnsi="Lato" w:cs="Lato" w:eastAsia="Lato"/>
            <w:sz w:val="17"/>
          </w:rPr>
          <w:t>DOI</w:t>
        </w:r>
      </w:hyperlink>
    </w:p>
    <w:p>
      <w:bookmarkStart w:id="40" w:name="ref_24"/>
      <w:pPr>
        <w:pStyle w:val="Reference"/>
        <w:keepLines/>
        <w:ind w:left="389" w:hanging="389"/>
      </w:pPr>
      <w:bookmarkEnd w:id="40"/>
      <w:r>
        <w:rPr>
          <w:b/>
        </w:rPr>
        <w:t xml:space="preserve">[24] </w:t>
      </w:r>
      <w:r>
        <w:t xml:space="preserve">Carroll, J. W. (2020). </w:t>
      </w:r>
      <w:hyperlink r:id="rId45" w:history="1">
        <w:r>
          <w:rPr>
            <w:color w:val="28516A"/>
            <w:i/>
          </w:rPr>
          <w:t>Laws of Nature</w:t>
        </w:r>
      </w:hyperlink>
      <w:r>
        <w:t>. Stanford Encyclopedia of Philosophy, versiune online.</w:t>
      </w:r>
    </w:p>
    <w:p>
      <w:bookmarkStart w:id="41" w:name="ref_25"/>
      <w:pPr>
        <w:pStyle w:val="Reference"/>
        <w:keepLines/>
        <w:ind w:left="389" w:hanging="389"/>
      </w:pPr>
      <w:bookmarkEnd w:id="41"/>
      <w:r>
        <w:rPr>
          <w:b/>
        </w:rPr>
        <w:t xml:space="preserve">[25] </w:t>
      </w:r>
      <w:r>
        <w:t xml:space="preserve">Noether, E. (1918/2005). </w:t>
      </w:r>
      <w:hyperlink r:id="rId46" w:history="1">
        <w:r>
          <w:rPr>
            <w:color w:val="28516A"/>
            <w:i/>
          </w:rPr>
          <w:t>Invariant Variation Problems</w:t>
        </w:r>
      </w:hyperlink>
      <w:r>
        <w:t>. Lucrare originală din 1918; traducere în engleză disponibilă ca arXiv:physics/0503066.</w:t>
      </w:r>
    </w:p>
    <w:p>
      <w:bookmarkStart w:id="42" w:name="ref_26"/>
      <w:pPr>
        <w:pStyle w:val="Reference"/>
        <w:keepLines/>
        <w:ind w:left="389" w:hanging="389"/>
      </w:pPr>
      <w:bookmarkEnd w:id="42"/>
      <w:r>
        <w:rPr>
          <w:b/>
        </w:rPr>
        <w:t xml:space="preserve">[26] </w:t>
      </w:r>
      <w:r>
        <w:t xml:space="preserve">Lee, S. (2019). </w:t>
      </w:r>
      <w:hyperlink r:id="rId47" w:history="1">
        <w:r>
          <w:rPr>
            <w:color w:val="28516A"/>
            <w:i/>
          </w:rPr>
          <w:t>Occasionalism</w:t>
        </w:r>
      </w:hyperlink>
      <w:r>
        <w:t>. Stanford Encyclopedia of Philosophy, versiune online.</w:t>
      </w:r>
    </w:p>
    <w:p>
      <w:bookmarkStart w:id="43" w:name="ref_27"/>
      <w:pPr>
        <w:pStyle w:val="Reference"/>
        <w:keepLines/>
        <w:ind w:left="389" w:hanging="389"/>
      </w:pPr>
      <w:bookmarkEnd w:id="43"/>
      <w:r>
        <w:rPr>
          <w:b/>
        </w:rPr>
        <w:t xml:space="preserve">[27] </w:t>
      </w:r>
      <w:r>
        <w:t xml:space="preserve">Jacobson, T. (1995). </w:t>
      </w:r>
      <w:hyperlink r:id="rId48" w:history="1">
        <w:r>
          <w:rPr>
            <w:color w:val="28516A"/>
            <w:i/>
          </w:rPr>
          <w:t>Thermodynamics of Spacetime: The Einstein Equation of State</w:t>
        </w:r>
      </w:hyperlink>
      <w:r>
        <w:t>. Physical Review Letters, 75, 1260–1263; arXiv:gr-qc/9504004.</w:t>
      </w:r>
      <w:r>
        <w:t xml:space="preserve"> </w:t>
      </w:r>
      <w:hyperlink r:id="rId49" w:history="1">
        <w:r>
          <w:rPr>
            <w:color w:val="28516A"/>
            <w:rFonts w:ascii="Lato" w:hAnsi="Lato" w:cs="Lato" w:eastAsia="Lato"/>
            <w:sz w:val="17"/>
          </w:rPr>
          <w:t>DOI</w:t>
        </w:r>
      </w:hyperlink>
    </w:p>
    <w:p>
      <w:bookmarkStart w:id="44" w:name="ref_28"/>
      <w:pPr>
        <w:pStyle w:val="Reference"/>
        <w:keepLines/>
        <w:ind w:left="389" w:hanging="389"/>
      </w:pPr>
      <w:bookmarkEnd w:id="44"/>
      <w:r>
        <w:rPr>
          <w:b/>
        </w:rPr>
        <w:t xml:space="preserve">[28] </w:t>
      </w:r>
      <w:r>
        <w:t xml:space="preserve">Stoljar, D. (2021). </w:t>
      </w:r>
      <w:hyperlink r:id="rId50" w:history="1">
        <w:r>
          <w:rPr>
            <w:color w:val="28516A"/>
            <w:i/>
          </w:rPr>
          <w:t>Physicalism</w:t>
        </w:r>
      </w:hyperlink>
      <w:r>
        <w:t>. Stanford Encyclopedia of Philosophy, versiune online.</w:t>
      </w:r>
    </w:p>
    <w:p>
      <w:bookmarkStart w:id="45" w:name="ref_29"/>
      <w:pPr>
        <w:pStyle w:val="Reference"/>
        <w:keepLines/>
        <w:ind w:left="389" w:hanging="389"/>
      </w:pPr>
      <w:bookmarkEnd w:id="45"/>
      <w:r>
        <w:rPr>
          <w:b/>
        </w:rPr>
        <w:t xml:space="preserve">[29] </w:t>
      </w:r>
      <w:r>
        <w:t xml:space="preserve">Gu, M.; Weedbrook, C.; Perales, Á.; Nielsen, M. A. (2009). </w:t>
      </w:r>
      <w:hyperlink r:id="rId51" w:history="1">
        <w:r>
          <w:rPr>
            <w:color w:val="28516A"/>
            <w:i/>
          </w:rPr>
          <w:t>More Really is Different</w:t>
        </w:r>
      </w:hyperlink>
      <w:r>
        <w:t>. Physica D: Nonlinear Phenomena, 238, 835–839; preprint din 2008, arXiv:0809.0151.</w:t>
      </w:r>
      <w:r>
        <w:t xml:space="preserve"> </w:t>
      </w:r>
      <w:hyperlink r:id="rId52" w:history="1">
        <w:r>
          <w:rPr>
            <w:color w:val="28516A"/>
            <w:rFonts w:ascii="Lato" w:hAnsi="Lato" w:cs="Lato" w:eastAsia="Lato"/>
            <w:sz w:val="17"/>
          </w:rPr>
          <w:t>DOI</w:t>
        </w:r>
      </w:hyperlink>
    </w:p>
    <w:p>
      <w:bookmarkStart w:id="46" w:name="ref_30"/>
      <w:pPr>
        <w:pStyle w:val="Reference"/>
        <w:keepLines/>
        <w:ind w:left="389" w:hanging="389"/>
      </w:pPr>
      <w:bookmarkEnd w:id="46"/>
      <w:r>
        <w:rPr>
          <w:b/>
        </w:rPr>
        <w:t xml:space="preserve">[30] </w:t>
      </w:r>
      <w:r>
        <w:t xml:space="preserve">Sfondrini, A. (2012/2013). </w:t>
      </w:r>
      <w:hyperlink r:id="rId53" w:history="1">
        <w:r>
          <w:rPr>
            <w:color w:val="28516A"/>
            <w:i/>
          </w:rPr>
          <w:t>An introduction to universality and renormalization group techniques</w:t>
        </w:r>
      </w:hyperlink>
      <w:r>
        <w:t>. Note de curs; Proceedings of Science, PoS(Modave VIII)005 (2013); arXiv:1210.2262.</w:t>
      </w:r>
    </w:p>
    <w:p>
      <w:bookmarkStart w:id="47" w:name="ref_31"/>
      <w:pPr>
        <w:pStyle w:val="Reference"/>
        <w:keepLines/>
        <w:ind w:left="389" w:hanging="389"/>
      </w:pPr>
      <w:bookmarkEnd w:id="47"/>
      <w:r>
        <w:rPr>
          <w:b/>
        </w:rPr>
        <w:t xml:space="preserve">[31] </w:t>
      </w:r>
      <w:r>
        <w:t xml:space="preserve">Darwin, C. (1859). </w:t>
      </w:r>
      <w:hyperlink r:id="rId54" w:history="1">
        <w:r>
          <w:rPr>
            <w:color w:val="28516A"/>
            <w:i/>
          </w:rPr>
          <w:t>On the Origin of Species</w:t>
        </w:r>
      </w:hyperlink>
      <w:r>
        <w:t>. Prima ediție; text disponibil prin Project Gutenberg.</w:t>
      </w:r>
    </w:p>
    <w:p>
      <w:bookmarkStart w:id="48" w:name="ref_32"/>
      <w:pPr>
        <w:pStyle w:val="Reference"/>
        <w:keepLines/>
        <w:ind w:left="389" w:hanging="389"/>
      </w:pPr>
      <w:bookmarkEnd w:id="48"/>
      <w:r>
        <w:rPr>
          <w:b/>
        </w:rPr>
        <w:t xml:space="preserve">[32] </w:t>
      </w:r>
      <w:r>
        <w:t xml:space="preserve">Cook, M. (2004). </w:t>
      </w:r>
      <w:hyperlink r:id="rId55" w:history="1">
        <w:r>
          <w:rPr>
            <w:color w:val="28516A"/>
            <w:i/>
          </w:rPr>
          <w:t>Universality in Elementary Cellular Automata</w:t>
        </w:r>
      </w:hyperlink>
      <w:r>
        <w:t>. Complex Systems, 15(1), 1–40.</w:t>
      </w:r>
      <w:r>
        <w:t xml:space="preserve"> </w:t>
      </w:r>
      <w:hyperlink r:id="rId56" w:history="1">
        <w:r>
          <w:rPr>
            <w:color w:val="28516A"/>
            <w:rFonts w:ascii="Lato" w:hAnsi="Lato" w:cs="Lato" w:eastAsia="Lato"/>
            <w:sz w:val="17"/>
          </w:rPr>
          <w:t>DOI</w:t>
        </w:r>
      </w:hyperlink>
    </w:p>
    <w:p>
      <w:bookmarkStart w:id="49" w:name="ref_33"/>
      <w:pPr>
        <w:pStyle w:val="Reference"/>
        <w:keepLines/>
        <w:ind w:left="389" w:hanging="389"/>
      </w:pPr>
      <w:bookmarkEnd w:id="49"/>
      <w:r>
        <w:rPr>
          <w:b/>
        </w:rPr>
        <w:t xml:space="preserve">[33] </w:t>
      </w:r>
      <w:r>
        <w:t xml:space="preserve">Spinoza, B. (1677). </w:t>
      </w:r>
      <w:hyperlink r:id="rId57" w:history="1">
        <w:r>
          <w:rPr>
            <w:color w:val="28516A"/>
            <w:i/>
          </w:rPr>
          <w:t>Ethics</w:t>
        </w:r>
      </w:hyperlink>
      <w:r>
        <w:t>. Traducere de R. H. M. Elwes. Project Gutenberg.</w:t>
      </w:r>
    </w:p>
    <w:p>
      <w:bookmarkStart w:id="50" w:name="ref_34"/>
      <w:pPr>
        <w:pStyle w:val="Reference"/>
        <w:keepLines/>
        <w:ind w:left="389" w:hanging="389"/>
      </w:pPr>
      <w:bookmarkEnd w:id="50"/>
      <w:r>
        <w:rPr>
          <w:b/>
        </w:rPr>
        <w:t xml:space="preserve">[34] </w:t>
      </w:r>
      <w:r>
        <w:t xml:space="preserve">Darwin, C. (1872). </w:t>
      </w:r>
      <w:hyperlink r:id="rId58" w:history="1">
        <w:r>
          <w:rPr>
            <w:color w:val="28516A"/>
            <w:i/>
          </w:rPr>
          <w:t>The Expression of the Emotions in Man and Animals</w:t>
        </w:r>
      </w:hyperlink>
      <w:r>
        <w:t>. Text disponibil prin Project Gutenberg.</w:t>
      </w:r>
    </w:p>
    <w:p>
      <w:bookmarkStart w:id="51" w:name="ref_35"/>
      <w:pPr>
        <w:pStyle w:val="Reference"/>
        <w:keepLines/>
        <w:ind w:left="389" w:hanging="389"/>
      </w:pPr>
      <w:bookmarkEnd w:id="51"/>
      <w:r>
        <w:rPr>
          <w:b/>
        </w:rPr>
        <w:t xml:space="preserve">[35] </w:t>
      </w:r>
      <w:r>
        <w:t xml:space="preserve">James, W. (1890). </w:t>
      </w:r>
      <w:hyperlink r:id="rId59" w:history="1">
        <w:r>
          <w:rPr>
            <w:color w:val="28516A"/>
            <w:i/>
          </w:rPr>
          <w:t>The Principles of Psychology, Volume II</w:t>
        </w:r>
      </w:hyperlink>
      <w:r>
        <w:t>. Capitolul XXV, The Emotions. Project Gutenberg.</w:t>
      </w:r>
    </w:p>
    <w:p>
      <w:bookmarkStart w:id="52" w:name="ref_36"/>
      <w:pPr>
        <w:pStyle w:val="Reference"/>
        <w:keepLines/>
        <w:ind w:left="389" w:hanging="389"/>
      </w:pPr>
      <w:bookmarkEnd w:id="52"/>
      <w:r>
        <w:rPr>
          <w:b/>
        </w:rPr>
        <w:t xml:space="preserve">[36] </w:t>
      </w:r>
      <w:r>
        <w:t xml:space="preserve">Barrett, L. F. (2017). </w:t>
      </w:r>
      <w:hyperlink r:id="rId60" w:history="1">
        <w:r>
          <w:rPr>
            <w:color w:val="28516A"/>
            <w:i/>
          </w:rPr>
          <w:t>The theory of constructed emotion: an active inference account of interoception and categorization</w:t>
        </w:r>
      </w:hyperlink>
      <w:r>
        <w:t>. Social Cognitive and Affective Neuroscience, 12(1), 1–23.</w:t>
      </w:r>
      <w:r>
        <w:t xml:space="preserve"> </w:t>
      </w:r>
      <w:hyperlink r:id="rId61" w:history="1">
        <w:r>
          <w:rPr>
            <w:color w:val="28516A"/>
            <w:rFonts w:ascii="Lato" w:hAnsi="Lato" w:cs="Lato" w:eastAsia="Lato"/>
            <w:sz w:val="17"/>
          </w:rPr>
          <w:t>DOI</w:t>
        </w:r>
      </w:hyperlink>
    </w:p>
    <w:p>
      <w:bookmarkStart w:id="53" w:name="ref_37"/>
      <w:pPr>
        <w:pStyle w:val="Reference"/>
        <w:keepLines/>
        <w:ind w:left="389" w:hanging="389"/>
      </w:pPr>
      <w:bookmarkEnd w:id="53"/>
      <w:r>
        <w:rPr>
          <w:b/>
        </w:rPr>
        <w:t xml:space="preserve">[37] </w:t>
      </w:r>
      <w:r>
        <w:t xml:space="preserve">Cowen, A. S.; Keltner, D. (2017). </w:t>
      </w:r>
      <w:hyperlink r:id="rId62" w:history="1">
        <w:r>
          <w:rPr>
            <w:color w:val="28516A"/>
            <w:i/>
          </w:rPr>
          <w:t>Self-report captures 27 distinct categories of emotion bridged by continuous gradients</w:t>
        </w:r>
      </w:hyperlink>
      <w:r>
        <w:t>. Proceedings of the National Academy of Sciences, 114(38), E7900–E7909.</w:t>
      </w:r>
      <w:r>
        <w:t xml:space="preserve"> </w:t>
      </w:r>
      <w:hyperlink r:id="rId63" w:history="1">
        <w:r>
          <w:rPr>
            <w:color w:val="28516A"/>
            <w:rFonts w:ascii="Lato" w:hAnsi="Lato" w:cs="Lato" w:eastAsia="Lato"/>
            <w:sz w:val="17"/>
          </w:rPr>
          <w:t>DOI</w:t>
        </w:r>
      </w:hyperlink>
    </w:p>
    <w:p>
      <w:bookmarkStart w:id="54" w:name="ref_38"/>
      <w:pPr>
        <w:pStyle w:val="Reference"/>
        <w:keepLines/>
        <w:ind w:left="389" w:hanging="389"/>
      </w:pPr>
      <w:bookmarkEnd w:id="54"/>
      <w:r>
        <w:rPr>
          <w:b/>
        </w:rPr>
        <w:t xml:space="preserve">[38] </w:t>
      </w:r>
      <w:r>
        <w:t xml:space="preserve">Hochschild, A. R. (1979). </w:t>
      </w:r>
      <w:hyperlink r:id="rId64" w:history="1">
        <w:r>
          <w:rPr>
            <w:color w:val="28516A"/>
            <w:i/>
          </w:rPr>
          <w:t>Emotion Work, Feeling Rules, and Social Structure</w:t>
        </w:r>
      </w:hyperlink>
      <w:r>
        <w:t>. American Journal of Sociology, 85(3), 551–575.</w:t>
      </w:r>
      <w:r>
        <w:t xml:space="preserve"> </w:t>
      </w:r>
      <w:hyperlink r:id="rId64" w:history="1">
        <w:r>
          <w:rPr>
            <w:color w:val="28516A"/>
            <w:rFonts w:ascii="Lato" w:hAnsi="Lato" w:cs="Lato" w:eastAsia="Lato"/>
            <w:sz w:val="17"/>
          </w:rPr>
          <w:t>DOI</w:t>
        </w:r>
      </w:hyperlink>
    </w:p>
    <w:p>
      <w:bookmarkStart w:id="55" w:name="ref_39"/>
      <w:pPr>
        <w:pStyle w:val="Reference"/>
        <w:keepLines/>
        <w:ind w:left="389" w:hanging="389"/>
      </w:pPr>
      <w:bookmarkEnd w:id="55"/>
      <w:r>
        <w:rPr>
          <w:b/>
        </w:rPr>
        <w:t xml:space="preserve">[39] </w:t>
      </w:r>
      <w:r>
        <w:t xml:space="preserve">Chalmers, D. J. (1995). </w:t>
      </w:r>
      <w:hyperlink r:id="rId65" w:history="1">
        <w:r>
          <w:rPr>
            <w:color w:val="28516A"/>
            <w:i/>
          </w:rPr>
          <w:t>Facing Up to the Problem of Consciousness</w:t>
        </w:r>
      </w:hyperlink>
      <w:r>
        <w:t>. Journal of Consciousness Studies, 2(3), 200–219; text pe pagina autorului.</w:t>
      </w:r>
    </w:p>
    <w:p>
      <w:bookmarkStart w:id="56" w:name="ref_40"/>
      <w:pPr>
        <w:pStyle w:val="Reference"/>
        <w:keepLines/>
        <w:ind w:left="389" w:hanging="389"/>
      </w:pPr>
      <w:bookmarkEnd w:id="56"/>
      <w:r>
        <w:rPr>
          <w:b/>
        </w:rPr>
        <w:t xml:space="preserve">[40] </w:t>
      </w:r>
      <w:r>
        <w:t xml:space="preserve">Butlin, P.; Long, R.; Elmoznino, E., și colab. (2023). </w:t>
      </w:r>
      <w:hyperlink r:id="rId66" w:history="1">
        <w:r>
          <w:rPr>
            <w:color w:val="28516A"/>
            <w:i/>
          </w:rPr>
          <w:t>Consciousness in Artificial Intelligence: Insights from the Science of Consciousness</w:t>
        </w:r>
      </w:hyperlink>
      <w:r>
        <w:t>. Raport de cercetare, arXiv:2308.08708.</w:t>
      </w:r>
    </w:p>
    <w:p>
      <w:bookmarkStart w:id="57" w:name="ref_41"/>
      <w:pPr>
        <w:pStyle w:val="Reference"/>
        <w:keepLines/>
        <w:ind w:left="389" w:hanging="389"/>
      </w:pPr>
      <w:bookmarkEnd w:id="57"/>
      <w:r>
        <w:rPr>
          <w:b/>
        </w:rPr>
        <w:t xml:space="preserve">[41] </w:t>
      </w:r>
      <w:r>
        <w:t xml:space="preserve">Albantakis, L.; Barbosa, L.; Findlay, G., și colab. (2023). </w:t>
      </w:r>
      <w:hyperlink r:id="rId67" w:history="1">
        <w:r>
          <w:rPr>
            <w:color w:val="28516A"/>
            <w:i/>
          </w:rPr>
          <w:t>Integrated information theory (IIT) 4.0: Formulating the properties of phenomenal existence in physical terms</w:t>
        </w:r>
      </w:hyperlink>
      <w:r>
        <w:t>. PLoS Computational Biology, 19(10), e1011465.</w:t>
      </w:r>
      <w:r>
        <w:t xml:space="preserve"> </w:t>
      </w:r>
      <w:hyperlink r:id="rId68" w:history="1">
        <w:r>
          <w:rPr>
            <w:color w:val="28516A"/>
            <w:rFonts w:ascii="Lato" w:hAnsi="Lato" w:cs="Lato" w:eastAsia="Lato"/>
            <w:sz w:val="17"/>
          </w:rPr>
          <w:t>DOI</w:t>
        </w:r>
      </w:hyperlink>
    </w:p>
    <w:p>
      <w:bookmarkStart w:id="58" w:name="ref_42"/>
      <w:pPr>
        <w:pStyle w:val="Reference"/>
        <w:keepLines/>
        <w:ind w:left="389" w:hanging="389"/>
      </w:pPr>
      <w:bookmarkEnd w:id="58"/>
      <w:r>
        <w:rPr>
          <w:b/>
        </w:rPr>
        <w:t xml:space="preserve">[42] </w:t>
      </w:r>
      <w:r>
        <w:t xml:space="preserve">Cogitate Consortium; Ferrante, O., și colab. (2025). </w:t>
      </w:r>
      <w:hyperlink r:id="rId69" w:history="1">
        <w:r>
          <w:rPr>
            <w:color w:val="28516A"/>
            <w:i/>
          </w:rPr>
          <w:t>Adversarial testing of global neuronal workspace and integrated information theories of consciousness</w:t>
        </w:r>
      </w:hyperlink>
      <w:r>
        <w:t>. Nature, 642, 133–142.</w:t>
      </w:r>
      <w:r>
        <w:t xml:space="preserve"> </w:t>
      </w:r>
      <w:hyperlink r:id="rId70" w:history="1">
        <w:r>
          <w:rPr>
            <w:color w:val="28516A"/>
            <w:rFonts w:ascii="Lato" w:hAnsi="Lato" w:cs="Lato" w:eastAsia="Lato"/>
            <w:sz w:val="17"/>
          </w:rPr>
          <w:t>DOI</w:t>
        </w:r>
      </w:hyperlink>
    </w:p>
    <w:p>
      <w:bookmarkStart w:id="59" w:name="ref_43"/>
      <w:pPr>
        <w:pStyle w:val="Reference"/>
        <w:keepLines/>
        <w:ind w:left="389" w:hanging="389"/>
      </w:pPr>
      <w:bookmarkEnd w:id="59"/>
      <w:r>
        <w:rPr>
          <w:b/>
        </w:rPr>
        <w:t xml:space="preserve">[43] </w:t>
      </w:r>
      <w:r>
        <w:t xml:space="preserve">Guyer, P.; Horstmann, R.-P. (2026). </w:t>
      </w:r>
      <w:hyperlink r:id="rId71" w:history="1">
        <w:r>
          <w:rPr>
            <w:color w:val="28516A"/>
            <w:i/>
          </w:rPr>
          <w:t>Idealism</w:t>
        </w:r>
      </w:hyperlink>
      <w:r>
        <w:t>. Stanford Encyclopedia of Philosophy, versiune online.</w:t>
      </w:r>
    </w:p>
    <w:p>
      <w:bookmarkStart w:id="60" w:name="ref_44"/>
      <w:pPr>
        <w:pStyle w:val="Reference"/>
        <w:keepLines/>
        <w:ind w:left="389" w:hanging="389"/>
      </w:pPr>
      <w:bookmarkEnd w:id="60"/>
      <w:r>
        <w:rPr>
          <w:b/>
        </w:rPr>
        <w:t xml:space="preserve">[44] </w:t>
      </w:r>
      <w:r>
        <w:t xml:space="preserve">Goff, P.; Seager, W.; Allen-Hermanson, S. (2022). </w:t>
      </w:r>
      <w:hyperlink r:id="rId72" w:history="1">
        <w:r>
          <w:rPr>
            <w:color w:val="28516A"/>
            <w:i/>
          </w:rPr>
          <w:t>Panpsychism</w:t>
        </w:r>
      </w:hyperlink>
      <w:r>
        <w:t>. Stanford Encyclopedia of Philosophy, versiune online.</w:t>
      </w:r>
    </w:p>
    <w:p>
      <w:bookmarkStart w:id="61" w:name="ref_45"/>
      <w:pPr>
        <w:pStyle w:val="Reference"/>
        <w:keepLines/>
        <w:ind w:left="389" w:hanging="389"/>
      </w:pPr>
      <w:bookmarkEnd w:id="61"/>
      <w:r>
        <w:rPr>
          <w:b/>
        </w:rPr>
        <w:t xml:space="preserve">[45] </w:t>
      </w:r>
      <w:r>
        <w:t xml:space="preserve">Frankish, K. (2016). </w:t>
      </w:r>
      <w:hyperlink r:id="rId73" w:history="1">
        <w:r>
          <w:rPr>
            <w:color w:val="28516A"/>
            <w:i/>
          </w:rPr>
          <w:t>Illusionism as a theory of consciousness</w:t>
        </w:r>
      </w:hyperlink>
      <w:r>
        <w:t>. Journal of Consciousness Studies, 23(11–12), 11–39.</w:t>
      </w:r>
      <w:r>
        <w:t xml:space="preserve"> Legătura duce la prezentarea și resursele autorului privind iluzionismul.</w:t>
      </w:r>
    </w:p>
    <w:p>
      <w:bookmarkStart w:id="62" w:name="ref_46"/>
      <w:pPr>
        <w:pStyle w:val="Reference"/>
        <w:keepLines/>
        <w:ind w:left="389" w:hanging="389"/>
      </w:pPr>
      <w:bookmarkEnd w:id="62"/>
      <w:r>
        <w:rPr>
          <w:b/>
        </w:rPr>
        <w:t xml:space="preserve">[46] </w:t>
      </w:r>
      <w:r>
        <w:t xml:space="preserve">Rozenblit, L.; Keil, F. (2002). </w:t>
      </w:r>
      <w:hyperlink r:id="rId74" w:history="1">
        <w:r>
          <w:rPr>
            <w:color w:val="28516A"/>
            <w:i/>
          </w:rPr>
          <w:t>The misunderstood limits of folk science: an illusion of explanatory depth</w:t>
        </w:r>
      </w:hyperlink>
      <w:r>
        <w:t>. Cognitive Science, 26(5), 521–562.</w:t>
      </w:r>
      <w:r>
        <w:t xml:space="preserve"> </w:t>
      </w:r>
      <w:hyperlink r:id="rId74" w:history="1">
        <w:r>
          <w:rPr>
            <w:color w:val="28516A"/>
            <w:rFonts w:ascii="Lato" w:hAnsi="Lato" w:cs="Lato" w:eastAsia="Lato"/>
            <w:sz w:val="17"/>
          </w:rPr>
          <w:t>DOI</w:t>
        </w:r>
      </w:hyperlink>
    </w:p>
    <w:p>
      <w:bookmarkStart w:id="63" w:name="ref_47"/>
      <w:pPr>
        <w:pStyle w:val="Reference"/>
        <w:keepLines/>
        <w:ind w:left="389" w:hanging="389"/>
      </w:pPr>
      <w:bookmarkEnd w:id="63"/>
      <w:r>
        <w:rPr>
          <w:b/>
        </w:rPr>
        <w:t xml:space="preserve">[47] </w:t>
      </w:r>
      <w:r>
        <w:t xml:space="preserve">Weisberg, D. S.; Keil, F. C.; Goodstein, J.; Rawson, E.; Gray, J. R. (2008). </w:t>
      </w:r>
      <w:hyperlink r:id="rId75" w:history="1">
        <w:r>
          <w:rPr>
            <w:color w:val="28516A"/>
            <w:i/>
          </w:rPr>
          <w:t>The Seductive Allure of Neuroscience Explanations</w:t>
        </w:r>
      </w:hyperlink>
      <w:r>
        <w:t>. Journal of Cognitive Neuroscience, 20(3), 470–477.</w:t>
      </w:r>
      <w:r>
        <w:t xml:space="preserve"> </w:t>
      </w:r>
      <w:hyperlink r:id="rId76" w:history="1">
        <w:r>
          <w:rPr>
            <w:color w:val="28516A"/>
            <w:rFonts w:ascii="Lato" w:hAnsi="Lato" w:cs="Lato" w:eastAsia="Lato"/>
            <w:sz w:val="17"/>
          </w:rPr>
          <w:t>DOI</w:t>
        </w:r>
      </w:hyperlink>
    </w:p>
    <w:p>
      <w:bookmarkStart w:id="64" w:name="ref_48"/>
      <w:pPr>
        <w:pStyle w:val="Reference"/>
        <w:keepLines/>
        <w:ind w:left="389" w:hanging="389"/>
      </w:pPr>
      <w:bookmarkEnd w:id="64"/>
      <w:r>
        <w:rPr>
          <w:b/>
        </w:rPr>
        <w:t xml:space="preserve">[48] </w:t>
      </w:r>
      <w:r>
        <w:t xml:space="preserve">Searle, J. R. (1980). </w:t>
      </w:r>
      <w:hyperlink r:id="rId77" w:history="1">
        <w:r>
          <w:rPr>
            <w:color w:val="28516A"/>
            <w:i/>
          </w:rPr>
          <w:t>Minds, brains, and programs</w:t>
        </w:r>
      </w:hyperlink>
      <w:r>
        <w:t>. Behavioral and Brain Sciences, 3(3), 417–424.</w:t>
      </w:r>
      <w:r>
        <w:t xml:space="preserve"> </w:t>
      </w:r>
      <w:hyperlink r:id="rId77" w:history="1">
        <w:r>
          <w:rPr>
            <w:color w:val="28516A"/>
            <w:rFonts w:ascii="Lato" w:hAnsi="Lato" w:cs="Lato" w:eastAsia="Lato"/>
            <w:sz w:val="17"/>
          </w:rPr>
          <w:t>DOI</w:t>
        </w:r>
      </w:hyperlink>
    </w:p>
    <w:p>
      <w:bookmarkStart w:id="65" w:name="ref_49"/>
      <w:pPr>
        <w:pStyle w:val="Reference"/>
        <w:keepLines/>
        <w:ind w:left="389" w:hanging="389"/>
      </w:pPr>
      <w:bookmarkEnd w:id="65"/>
      <w:r>
        <w:rPr>
          <w:b/>
        </w:rPr>
        <w:t xml:space="preserve">[49] </w:t>
      </w:r>
      <w:r>
        <w:t xml:space="preserve">Turing, A. M. (1937). </w:t>
      </w:r>
      <w:hyperlink r:id="rId78" w:history="1">
        <w:r>
          <w:rPr>
            <w:color w:val="28516A"/>
            <w:i/>
          </w:rPr>
          <w:t>On Computable Numbers, with an Application to the Entscheidungsproblem</w:t>
        </w:r>
      </w:hyperlink>
      <w:r>
        <w:t>. Proceedings of the London Mathematical Society, s2–42(1), 230–265.</w:t>
      </w:r>
      <w:r>
        <w:t xml:space="preserve"> </w:t>
      </w:r>
      <w:hyperlink r:id="rId79" w:history="1">
        <w:r>
          <w:rPr>
            <w:color w:val="28516A"/>
            <w:rFonts w:ascii="Lato" w:hAnsi="Lato" w:cs="Lato" w:eastAsia="Lato"/>
            <w:sz w:val="17"/>
          </w:rPr>
          <w:t>DOI</w:t>
        </w:r>
      </w:hyperlink>
    </w:p>
    <w:p>
      <w:bookmarkStart w:id="66" w:name="ref_50"/>
      <w:pPr>
        <w:pStyle w:val="Reference"/>
        <w:keepLines/>
        <w:ind w:left="389" w:hanging="389"/>
      </w:pPr>
      <w:bookmarkEnd w:id="66"/>
      <w:r>
        <w:rPr>
          <w:b/>
        </w:rPr>
        <w:t xml:space="preserve">[50] </w:t>
      </w:r>
      <w:r>
        <w:t xml:space="preserve">Lizzini, O. (2026). </w:t>
      </w:r>
      <w:hyperlink r:id="rId80" w:history="1">
        <w:r>
          <w:rPr>
            <w:color w:val="28516A"/>
            <w:i/>
          </w:rPr>
          <w:t>Ibn Sina’s Metaphysics</w:t>
        </w:r>
      </w:hyperlink>
      <w:r>
        <w:t>. Stanford Encyclopedia of Philosophy, versiune revizuită la 9 iunie 2026.</w:t>
      </w:r>
    </w:p>
    <w:p>
      <w:bookmarkStart w:id="67" w:name="ref_51"/>
      <w:pPr>
        <w:pStyle w:val="Reference"/>
        <w:keepLines/>
        <w:ind w:left="389" w:hanging="389"/>
      </w:pPr>
      <w:bookmarkEnd w:id="67"/>
      <w:r>
        <w:rPr>
          <w:b/>
        </w:rPr>
        <w:t xml:space="preserve">[51] </w:t>
      </w:r>
      <w:r>
        <w:t xml:space="preserve">Westerhoff, J. C. (2026). </w:t>
      </w:r>
      <w:hyperlink r:id="rId81" w:history="1">
        <w:r>
          <w:rPr>
            <w:color w:val="28516A"/>
            <w:i/>
          </w:rPr>
          <w:t>Nāgārjuna</w:t>
        </w:r>
      </w:hyperlink>
      <w:r>
        <w:t>. Stanford Encyclopedia of Philosophy, versiune online.</w:t>
      </w:r>
    </w:p>
    <w:p>
      <w:bookmarkStart w:id="68" w:name="ref_52"/>
      <w:pPr>
        <w:pStyle w:val="Reference"/>
        <w:keepLines/>
        <w:ind w:left="389" w:hanging="389"/>
      </w:pPr>
      <w:bookmarkEnd w:id="68"/>
      <w:r>
        <w:rPr>
          <w:b/>
        </w:rPr>
        <w:t xml:space="preserve">[52] </w:t>
      </w:r>
      <w:r>
        <w:t xml:space="preserve">Bostrom, N. (2003). </w:t>
      </w:r>
      <w:hyperlink r:id="rId82" w:history="1">
        <w:r>
          <w:rPr>
            <w:color w:val="28516A"/>
            <w:i/>
          </w:rPr>
          <w:t>Are You Living in a Computer Simulation?</w:t>
        </w:r>
      </w:hyperlink>
      <w:r>
        <w:t>. The Philosophical Quarterly, 53(211), 243–255; versiune pe site-ul argumentului.</w:t>
      </w:r>
      <w:r>
        <w:t xml:space="preserve"> </w:t>
      </w:r>
      <w:hyperlink r:id="rId83" w:history="1">
        <w:r>
          <w:rPr>
            <w:color w:val="28516A"/>
            <w:rFonts w:ascii="Lato" w:hAnsi="Lato" w:cs="Lato" w:eastAsia="Lato"/>
            <w:sz w:val="17"/>
          </w:rPr>
          <w:t>DOI</w:t>
        </w:r>
      </w:hyperlink>
    </w:p>
    <w:p>
      <w:bookmarkStart w:id="69" w:name="ref_53"/>
      <w:pPr>
        <w:pStyle w:val="Reference"/>
        <w:keepLines/>
        <w:ind w:left="389" w:hanging="389"/>
      </w:pPr>
      <w:bookmarkEnd w:id="69"/>
      <w:r>
        <w:rPr>
          <w:b/>
        </w:rPr>
        <w:t xml:space="preserve">[53] </w:t>
      </w:r>
      <w:r>
        <w:t xml:space="preserve">Kipping, D. (2020). </w:t>
      </w:r>
      <w:hyperlink r:id="rId84" w:history="1">
        <w:r>
          <w:rPr>
            <w:color w:val="28516A"/>
            <w:i/>
          </w:rPr>
          <w:t>A Bayesian Approach to the Simulation Argument</w:t>
        </w:r>
      </w:hyperlink>
      <w:r>
        <w:t>. arXiv:2008.12254.</w:t>
      </w:r>
    </w:p>
    <w:p>
      <w:bookmarkStart w:id="70" w:name="ref_54"/>
      <w:pPr>
        <w:pStyle w:val="Reference"/>
        <w:keepLines/>
        <w:ind w:left="389" w:hanging="389"/>
      </w:pPr>
      <w:bookmarkEnd w:id="70"/>
      <w:r>
        <w:rPr>
          <w:b/>
        </w:rPr>
        <w:t xml:space="preserve">[54] </w:t>
      </w:r>
      <w:r>
        <w:t xml:space="preserve">Beane, S. R.; Davoudi, Z.; Savage, M. J. (2012/2014). </w:t>
      </w:r>
      <w:hyperlink r:id="rId85" w:history="1">
        <w:r>
          <w:rPr>
            <w:color w:val="28516A"/>
            <w:i/>
          </w:rPr>
          <w:t>Constraints on the Universe as a Numerical Simulation</w:t>
        </w:r>
      </w:hyperlink>
      <w:r>
        <w:t>. Preprint arXiv:1210.1847; European Physical Journal A, 50, articolul 148, 2014.</w:t>
      </w:r>
      <w:r>
        <w:t xml:space="preserve"> </w:t>
      </w:r>
      <w:hyperlink r:id="rId86" w:history="1">
        <w:r>
          <w:rPr>
            <w:color w:val="28516A"/>
            <w:rFonts w:ascii="Lato" w:hAnsi="Lato" w:cs="Lato" w:eastAsia="Lato"/>
            <w:sz w:val="17"/>
          </w:rPr>
          <w:t>DOI</w:t>
        </w:r>
      </w:hyperlink>
    </w:p>
    <w:sectPr w:rsidR="00FC693F" w:rsidRPr="0006063C" w:rsidSect="00034616">
      <w:headerReference w:type="default" r:id="rId9"/>
      <w:footerReference w:type="default" r:id="rId10"/>
      <w:pgSz w:w="9360" w:h="13320"/>
      <w:pgMar w:top="1008" w:right="979" w:bottom="979" w:left="1123" w:header="432" w:footer="43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ARHITECTURA REALULUI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6" w:lineRule="auto" w:after="70"/>
      <w:ind w:firstLine="216"/>
      <w:jc w:val="both"/>
    </w:pPr>
    <w:rPr>
      <w:rFonts w:ascii="Noto Serif" w:hAnsi="Noto Serif" w:cs="Noto Serif" w:eastAsia="Noto Serif"/>
      <w:color w:val="20252B"/>
      <w:sz w:val="21"/>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rPr>
      <w:rFonts w:ascii="Lato" w:hAnsi="Lato"/>
      <w:color w:val="63717B"/>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rPr>
      <w:rFonts w:ascii="Lato" w:hAnsi="Lato"/>
      <w:color w:val="63717B"/>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440" w:line="259" w:lineRule="auto"/>
      <w:ind w:firstLine="0"/>
      <w:jc w:val="left"/>
      <w:outlineLvl w:val="0"/>
    </w:pPr>
    <w:rPr>
      <w:rFonts w:asciiTheme="majorHAnsi" w:eastAsiaTheme="majorEastAsia" w:hAnsiTheme="majorHAnsi" w:cstheme="majorBidi" w:ascii="Lato" w:hAnsi="Lato"/>
      <w:b/>
      <w:bCs/>
      <w:color w:val="152E40"/>
      <w:sz w:val="46"/>
      <w:szCs w:val="28"/>
    </w:rPr>
  </w:style>
  <w:style w:type="paragraph" w:styleId="Heading2">
    <w:name w:val="heading 2"/>
    <w:basedOn w:val="Normal"/>
    <w:next w:val="Normal"/>
    <w:link w:val="Heading2Char"/>
    <w:uiPriority w:val="9"/>
    <w:unhideWhenUsed/>
    <w:qFormat/>
    <w:rsid w:val="00FC693F"/>
    <w:pPr>
      <w:keepNext/>
      <w:keepLines/>
      <w:pageBreakBefore w:val="0"/>
      <w:spacing w:before="400" w:after="180" w:line="259" w:lineRule="auto"/>
      <w:ind w:firstLine="0"/>
      <w:jc w:val="left"/>
      <w:outlineLvl w:val="1"/>
    </w:pPr>
    <w:rPr>
      <w:rFonts w:asciiTheme="majorHAnsi" w:eastAsiaTheme="majorEastAsia" w:hAnsiTheme="majorHAnsi" w:cstheme="majorBidi" w:ascii="Lato" w:hAnsi="Lato"/>
      <w:b/>
      <w:bCs/>
      <w:color w:val="23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Label">
    <w:name w:val="Part Label"/>
    <w:basedOn w:val="Normal"/>
    <w:pPr>
      <w:keepNext/>
      <w:widowControl/>
      <w:spacing w:before="0" w:after="240" w:line="264" w:lineRule="auto"/>
      <w:ind w:firstLine="0"/>
      <w:jc w:val="left"/>
    </w:pPr>
    <w:rPr>
      <w:rFonts w:ascii="Lato" w:hAnsi="Lato"/>
      <w:b/>
      <w:color w:val="A06C38"/>
      <w:sz w:val="17"/>
    </w:rPr>
  </w:style>
  <w:style w:type="paragraph" w:customStyle="1" w:styleId="TOCEntry">
    <w:name w:val="TOC Entry"/>
    <w:basedOn w:val="Normal"/>
    <w:pPr>
      <w:widowControl/>
      <w:spacing w:before="0" w:after="80" w:line="264" w:lineRule="auto"/>
      <w:ind w:firstLine="0"/>
      <w:jc w:val="left"/>
    </w:pPr>
    <w:rPr>
      <w:rFonts w:ascii="Noto Serif" w:hAnsi="Noto Serif"/>
      <w:b w:val="0"/>
      <w:color w:val="20252B"/>
      <w:sz w:val="20"/>
    </w:rPr>
  </w:style>
  <w:style w:type="paragraph" w:customStyle="1" w:styleId="TOCPart">
    <w:name w:val="TOC Part"/>
    <w:basedOn w:val="Normal"/>
    <w:pPr>
      <w:keepNext/>
      <w:widowControl/>
      <w:spacing w:before="180" w:after="100" w:line="264" w:lineRule="auto"/>
      <w:ind w:firstLine="0"/>
      <w:jc w:val="left"/>
    </w:pPr>
    <w:rPr>
      <w:rFonts w:ascii="Lato" w:hAnsi="Lato"/>
      <w:b/>
      <w:color w:val="A06C38"/>
      <w:sz w:val="16"/>
    </w:rPr>
  </w:style>
  <w:style w:type="paragraph" w:customStyle="1" w:styleId="BookNote">
    <w:name w:val="Book Note"/>
    <w:basedOn w:val="Normal"/>
    <w:pPr>
      <w:widowControl/>
      <w:spacing w:before="0" w:after="200" w:line="264" w:lineRule="auto"/>
      <w:ind w:firstLine="0"/>
      <w:jc w:val="left"/>
    </w:pPr>
    <w:rPr>
      <w:rFonts w:ascii="Noto Serif" w:hAnsi="Noto Serif"/>
      <w:b w:val="0"/>
      <w:color w:val="505C66"/>
      <w:sz w:val="19"/>
    </w:rPr>
  </w:style>
  <w:style w:type="paragraph" w:customStyle="1" w:styleId="Reference">
    <w:name w:val="Reference"/>
    <w:basedOn w:val="Normal"/>
    <w:pPr>
      <w:widowControl/>
      <w:spacing w:before="0" w:after="160" w:line="264" w:lineRule="auto"/>
      <w:ind w:firstLine="0"/>
      <w:jc w:val="left"/>
    </w:pPr>
    <w:rPr>
      <w:rFonts w:ascii="Noto Serif" w:hAnsi="Noto Serif"/>
      <w:b w:val="0"/>
      <w:color w:val="20252B"/>
      <w:sz w:val="19"/>
    </w:rPr>
  </w:style>
  <w:style w:type="paragraph" w:customStyle="1" w:styleId="Glossary">
    <w:name w:val="Glossary"/>
    <w:basedOn w:val="Normal"/>
    <w:pPr>
      <w:widowControl/>
      <w:spacing w:before="0" w:after="160" w:line="271" w:lineRule="auto"/>
      <w:ind w:firstLine="0"/>
      <w:jc w:val="left"/>
    </w:pPr>
    <w:rPr>
      <w:rFonts w:ascii="Noto Serif" w:hAnsi="Noto Serif"/>
      <w:b w:val="0"/>
      <w:color w:val="20252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lassics.mit.edu/Aristotle/physics.4.iv.html" TargetMode="External"/><Relationship Id="rId12" Type="http://schemas.openxmlformats.org/officeDocument/2006/relationships/hyperlink" Target="https://plato.stanford.edu/entries/spacetime-theories/" TargetMode="External"/><Relationship Id="rId13" Type="http://schemas.openxmlformats.org/officeDocument/2006/relationships/hyperlink" Target="https://plato.stanford.edu/entries/leibniz/" TargetMode="External"/><Relationship Id="rId14" Type="http://schemas.openxmlformats.org/officeDocument/2006/relationships/hyperlink" Target="https://www.gutenberg.org/cache/epub/4280/pg4280-images.html" TargetMode="External"/><Relationship Id="rId15" Type="http://schemas.openxmlformats.org/officeDocument/2006/relationships/hyperlink" Target="https://www.gutenberg.org/files/5001/5001-h/5001-h.htm" TargetMode="External"/><Relationship Id="rId16" Type="http://schemas.openxmlformats.org/officeDocument/2006/relationships/hyperlink" Target="https://arxiv.org/abs/1005.3035" TargetMode="External"/><Relationship Id="rId17" Type="http://schemas.openxmlformats.org/officeDocument/2006/relationships/hyperlink" Target="https://arxiv.org/abs/1903.11544" TargetMode="External"/><Relationship Id="rId18" Type="http://schemas.openxmlformats.org/officeDocument/2006/relationships/hyperlink" Target="https://pubmed.ncbi.nlm.nih.gov/5124915/" TargetMode="External"/><Relationship Id="rId19" Type="http://schemas.openxmlformats.org/officeDocument/2006/relationships/hyperlink" Target="https://doi.org/10.1016/0006-8993(71)90358-1" TargetMode="External"/><Relationship Id="rId20" Type="http://schemas.openxmlformats.org/officeDocument/2006/relationships/hyperlink" Target="https://www.nature.com/articles/nature03721" TargetMode="External"/><Relationship Id="rId21" Type="http://schemas.openxmlformats.org/officeDocument/2006/relationships/hyperlink" Target="https://doi.org/10.1038/nature03721" TargetMode="External"/><Relationship Id="rId22" Type="http://schemas.openxmlformats.org/officeDocument/2006/relationships/hyperlink" Target="https://www.aeaweb.org/articles?id=10.1257/aer.20150572" TargetMode="External"/><Relationship Id="rId23" Type="http://schemas.openxmlformats.org/officeDocument/2006/relationships/hyperlink" Target="https://doi.org/10.1257/aer.20150572" TargetMode="External"/><Relationship Id="rId24" Type="http://schemas.openxmlformats.org/officeDocument/2006/relationships/hyperlink" Target="https://www.gutenberg.org/cache/epub/3296/pg3296-images.html" TargetMode="External"/><Relationship Id="rId25" Type="http://schemas.openxmlformats.org/officeDocument/2006/relationships/hyperlink" Target="https://www.gutenberg.org/cache/epub/56852/pg56852-images.html" TargetMode="External"/><Relationship Id="rId26" Type="http://schemas.openxmlformats.org/officeDocument/2006/relationships/hyperlink" Target="https://journals.plos.org/plosone/article?id=10.1371/journal.pone.0001295" TargetMode="External"/><Relationship Id="rId27" Type="http://schemas.openxmlformats.org/officeDocument/2006/relationships/hyperlink" Target="https://doi.org/10.1371/journal.pone.0001295" TargetMode="External"/><Relationship Id="rId28" Type="http://schemas.openxmlformats.org/officeDocument/2006/relationships/hyperlink" Target="https://arxiv.org/abs/2109.12238" TargetMode="External"/><Relationship Id="rId29" Type="http://schemas.openxmlformats.org/officeDocument/2006/relationships/hyperlink" Target="https://doi.org/10.1038/s41586-021-04349-7" TargetMode="External"/><Relationship Id="rId30" Type="http://schemas.openxmlformats.org/officeDocument/2006/relationships/hyperlink" Target="https://arxiv.org/abs/gr-qc/9304023" TargetMode="External"/><Relationship Id="rId31" Type="http://schemas.openxmlformats.org/officeDocument/2006/relationships/hyperlink" Target="https://www.nature.com/articles/nature10872" TargetMode="External"/><Relationship Id="rId32" Type="http://schemas.openxmlformats.org/officeDocument/2006/relationships/hyperlink" Target="https://doi.org/10.1038/nature10872" TargetMode="External"/><Relationship Id="rId33" Type="http://schemas.openxmlformats.org/officeDocument/2006/relationships/hyperlink" Target="https://academic.oup.com/past/article-abstract/38/1/56/1454624" TargetMode="External"/><Relationship Id="rId34" Type="http://schemas.openxmlformats.org/officeDocument/2006/relationships/hyperlink" Target="https://doi.org/10.1093/past/38.1.56" TargetMode="External"/><Relationship Id="rId35" Type="http://schemas.openxmlformats.org/officeDocument/2006/relationships/hyperlink" Target="https://journals.sagepub.com/doi/10.1177/0956797610386621" TargetMode="External"/><Relationship Id="rId36" Type="http://schemas.openxmlformats.org/officeDocument/2006/relationships/hyperlink" Target="https://doi.org/10.1177/0956797610386621" TargetMode="External"/><Relationship Id="rId37" Type="http://schemas.openxmlformats.org/officeDocument/2006/relationships/hyperlink" Target="https://classics.mit.edu/Aristotle/physics.2.ii.html" TargetMode="External"/><Relationship Id="rId38" Type="http://schemas.openxmlformats.org/officeDocument/2006/relationships/hyperlink" Target="https://www.gutenberg.org/cache/epub/9662/pg9662-images.html" TargetMode="External"/><Relationship Id="rId39" Type="http://schemas.openxmlformats.org/officeDocument/2006/relationships/hyperlink" Target="https://pmc.ncbi.nlm.nih.gov/articles/PMC2836213/" TargetMode="External"/><Relationship Id="rId40" Type="http://schemas.openxmlformats.org/officeDocument/2006/relationships/hyperlink" Target="https://doi.org/10.2202/1557-4679.1203" TargetMode="External"/><Relationship Id="rId41" Type="http://schemas.openxmlformats.org/officeDocument/2006/relationships/hyperlink" Target="https://arxiv.org/abs/1508.05949" TargetMode="External"/><Relationship Id="rId42" Type="http://schemas.openxmlformats.org/officeDocument/2006/relationships/hyperlink" Target="https://doi.org/10.1038/nature15759" TargetMode="External"/><Relationship Id="rId43" Type="http://schemas.openxmlformats.org/officeDocument/2006/relationships/hyperlink" Target="https://arxiv.org/abs/1105.4464" TargetMode="External"/><Relationship Id="rId44" Type="http://schemas.openxmlformats.org/officeDocument/2006/relationships/hyperlink" Target="https://doi.org/10.1038/ncomms2076" TargetMode="External"/><Relationship Id="rId45" Type="http://schemas.openxmlformats.org/officeDocument/2006/relationships/hyperlink" Target="https://plato.stanford.edu/entries/laws-of-nature/" TargetMode="External"/><Relationship Id="rId46" Type="http://schemas.openxmlformats.org/officeDocument/2006/relationships/hyperlink" Target="https://arxiv.org/abs/physics/0503066" TargetMode="External"/><Relationship Id="rId47" Type="http://schemas.openxmlformats.org/officeDocument/2006/relationships/hyperlink" Target="https://plato.stanford.edu/entries/occasionalism/" TargetMode="External"/><Relationship Id="rId48" Type="http://schemas.openxmlformats.org/officeDocument/2006/relationships/hyperlink" Target="https://arxiv.org/abs/gr-qc/9504004" TargetMode="External"/><Relationship Id="rId49" Type="http://schemas.openxmlformats.org/officeDocument/2006/relationships/hyperlink" Target="https://doi.org/10.1103/PhysRevLett.75.1260" TargetMode="External"/><Relationship Id="rId50" Type="http://schemas.openxmlformats.org/officeDocument/2006/relationships/hyperlink" Target="https://plato.stanford.edu/entries/physicalism/" TargetMode="External"/><Relationship Id="rId51" Type="http://schemas.openxmlformats.org/officeDocument/2006/relationships/hyperlink" Target="https://arxiv.org/abs/0809.0151" TargetMode="External"/><Relationship Id="rId52" Type="http://schemas.openxmlformats.org/officeDocument/2006/relationships/hyperlink" Target="https://doi.org/10.1016/j.physd.2008.12.016" TargetMode="External"/><Relationship Id="rId53" Type="http://schemas.openxmlformats.org/officeDocument/2006/relationships/hyperlink" Target="https://arxiv.org/abs/1210.2262" TargetMode="External"/><Relationship Id="rId54" Type="http://schemas.openxmlformats.org/officeDocument/2006/relationships/hyperlink" Target="https://www.gutenberg.org/ebooks/1228" TargetMode="External"/><Relationship Id="rId55" Type="http://schemas.openxmlformats.org/officeDocument/2006/relationships/hyperlink" Target="https://www.complex-systems.com/abstracts/v15_i01_a01/" TargetMode="External"/><Relationship Id="rId56" Type="http://schemas.openxmlformats.org/officeDocument/2006/relationships/hyperlink" Target="https://doi.org/10.25088/ComplexSystems.15.1.1" TargetMode="External"/><Relationship Id="rId57" Type="http://schemas.openxmlformats.org/officeDocument/2006/relationships/hyperlink" Target="https://www.gutenberg.org/cache/epub/3800/pg3800-images.html" TargetMode="External"/><Relationship Id="rId58" Type="http://schemas.openxmlformats.org/officeDocument/2006/relationships/hyperlink" Target="https://www.gutenberg.org/cache/epub/1227/pg1227-images.html" TargetMode="External"/><Relationship Id="rId59" Type="http://schemas.openxmlformats.org/officeDocument/2006/relationships/hyperlink" Target="https://www.gutenberg.org/cache/epub/57634/pg57634-images.html" TargetMode="External"/><Relationship Id="rId60" Type="http://schemas.openxmlformats.org/officeDocument/2006/relationships/hyperlink" Target="https://pmc.ncbi.nlm.nih.gov/articles/PMC5390700/" TargetMode="External"/><Relationship Id="rId61" Type="http://schemas.openxmlformats.org/officeDocument/2006/relationships/hyperlink" Target="https://doi.org/10.1093/scan/nsw154" TargetMode="External"/><Relationship Id="rId62" Type="http://schemas.openxmlformats.org/officeDocument/2006/relationships/hyperlink" Target="https://pmc.ncbi.nlm.nih.gov/articles/PMC5617253/" TargetMode="External"/><Relationship Id="rId63" Type="http://schemas.openxmlformats.org/officeDocument/2006/relationships/hyperlink" Target="https://doi.org/10.1073/pnas.1702247114" TargetMode="External"/><Relationship Id="rId64" Type="http://schemas.openxmlformats.org/officeDocument/2006/relationships/hyperlink" Target="https://doi.org/10.1086/227049" TargetMode="External"/><Relationship Id="rId65" Type="http://schemas.openxmlformats.org/officeDocument/2006/relationships/hyperlink" Target="https://consc.net/papers/facing.html" TargetMode="External"/><Relationship Id="rId66" Type="http://schemas.openxmlformats.org/officeDocument/2006/relationships/hyperlink" Target="https://arxiv.org/abs/2308.08708" TargetMode="External"/><Relationship Id="rId67" Type="http://schemas.openxmlformats.org/officeDocument/2006/relationships/hyperlink" Target="https://journals.plos.org/ploscompbiol/article?id=10.1371/journal.pcbi.1011465" TargetMode="External"/><Relationship Id="rId68" Type="http://schemas.openxmlformats.org/officeDocument/2006/relationships/hyperlink" Target="https://doi.org/10.1371/journal.pcbi.1011465" TargetMode="External"/><Relationship Id="rId69" Type="http://schemas.openxmlformats.org/officeDocument/2006/relationships/hyperlink" Target="https://www.nature.com/articles/s41586-025-08888-1" TargetMode="External"/><Relationship Id="rId70" Type="http://schemas.openxmlformats.org/officeDocument/2006/relationships/hyperlink" Target="https://doi.org/10.1038/s41586-025-08888-1" TargetMode="External"/><Relationship Id="rId71" Type="http://schemas.openxmlformats.org/officeDocument/2006/relationships/hyperlink" Target="https://plato.stanford.edu/entries/idealism/" TargetMode="External"/><Relationship Id="rId72" Type="http://schemas.openxmlformats.org/officeDocument/2006/relationships/hyperlink" Target="https://plato.stanford.edu/entries/panpsychism/" TargetMode="External"/><Relationship Id="rId73" Type="http://schemas.openxmlformats.org/officeDocument/2006/relationships/hyperlink" Target="https://www.keithfrankish.com/illusionism/" TargetMode="External"/><Relationship Id="rId74" Type="http://schemas.openxmlformats.org/officeDocument/2006/relationships/hyperlink" Target="https://doi.org/10.1207/s15516709cog2605_1" TargetMode="External"/><Relationship Id="rId75" Type="http://schemas.openxmlformats.org/officeDocument/2006/relationships/hyperlink" Target="https://pmc.ncbi.nlm.nih.gov/articles/PMC2778755/" TargetMode="External"/><Relationship Id="rId76" Type="http://schemas.openxmlformats.org/officeDocument/2006/relationships/hyperlink" Target="https://doi.org/10.1162/jocn.2008.20040" TargetMode="External"/><Relationship Id="rId77" Type="http://schemas.openxmlformats.org/officeDocument/2006/relationships/hyperlink" Target="https://doi.org/10.1017/S0140525X00005756" TargetMode="External"/><Relationship Id="rId78" Type="http://schemas.openxmlformats.org/officeDocument/2006/relationships/hyperlink" Target="https://londmathsoc.onlinelibrary.wiley.com/doi/10.1112/plms/s2-42.1.230" TargetMode="External"/><Relationship Id="rId79" Type="http://schemas.openxmlformats.org/officeDocument/2006/relationships/hyperlink" Target="https://doi.org/10.1112/plms/s2-42.1.230" TargetMode="External"/><Relationship Id="rId80" Type="http://schemas.openxmlformats.org/officeDocument/2006/relationships/hyperlink" Target="https://plato.stanford.edu/entries/ibn-sina-metaphysics/" TargetMode="External"/><Relationship Id="rId81" Type="http://schemas.openxmlformats.org/officeDocument/2006/relationships/hyperlink" Target="https://plato.stanford.edu/entries/nagarjuna/" TargetMode="External"/><Relationship Id="rId82" Type="http://schemas.openxmlformats.org/officeDocument/2006/relationships/hyperlink" Target="https://simulation-argument.com/simulation/" TargetMode="External"/><Relationship Id="rId83" Type="http://schemas.openxmlformats.org/officeDocument/2006/relationships/hyperlink" Target="https://doi.org/10.1111/1467-9213.00309" TargetMode="External"/><Relationship Id="rId84" Type="http://schemas.openxmlformats.org/officeDocument/2006/relationships/hyperlink" Target="https://arxiv.org/abs/2008.12254" TargetMode="External"/><Relationship Id="rId85" Type="http://schemas.openxmlformats.org/officeDocument/2006/relationships/hyperlink" Target="https://arxiv.org/abs/1210.1847" TargetMode="External"/><Relationship Id="rId86" Type="http://schemas.openxmlformats.org/officeDocument/2006/relationships/hyperlink" Target="https://doi.org/10.1140/epja/i2014-1414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Arhitectura realului</dc:title>
  <dc:subject>Spațiu, timp, cauzalitate, legi ale naturii, conștiință și existență</dc:subject>
  <dc:creator/>
  <cp:keywords>filosofie; fizică; conștiință; cauzalitate; emergență; existență</cp:keywords>
  <dc:description/>
  <cp:lastModifiedBy/>
  <cp:revision>1</cp:revision>
  <dcterms:created xsi:type="dcterms:W3CDTF">2013-12-23T23:15:00Z</dcterms:created>
  <dcterms:modified xsi:type="dcterms:W3CDTF">2013-12-23T23:15:00Z</dcterms:modified>
  <cp:category/>
</cp:coreProperties>
</file>