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FIRST INFORMATION REPORT (CONSTRUCTED TEST FIXTURE -- NOT A REAL CASE)</w:t>
      </w:r>
    </w:p>
    <w:p>
      <w:r>
        <w:t xml:space="preserve">District: Test District. Police Station: Test Station. FIR No. 0001 of 2026.</w:t>
      </w:r>
    </w:p>
    <w:p>
      <w:r>
        <w:t xml:space="preserve">The complainant states that on the date of the incident, the accused struck the complainant on the head with a wooden stick with the intention of causing grievous hurt.</w:t>
      </w:r>
    </w:p>
    <w:p>
      <w:r>
        <w:t xml:space="preserve">The complainant further states that the accused had, some months earlier, promised to marry the complainant, and that this promise was made without any intention of fulfilling it, and that the complainant relied on this promise.</w:t>
      </w:r>
    </w:p>
    <w:p>
      <w:r>
        <w:t xml:space="preserve">The complainant requests that appropriate legal action be taken against the accused under the applicable provisions of law.</w:t>
      </w:r>
    </w:p>
    <w:sectPr/>
  </w:body>
</w:document>
</file>