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both"/>
        <w:rPr>
          <w:b w:val="1"/>
          <w:sz w:val="36"/>
          <w:szCs w:val="36"/>
        </w:rPr>
      </w:pPr>
      <w:bookmarkStart w:colFirst="0" w:colLast="0" w:name="_y4uc4aljqkps" w:id="0"/>
      <w:bookmarkEnd w:id="0"/>
      <w:r w:rsidDel="00000000" w:rsidR="00000000" w:rsidRPr="00000000">
        <w:rPr>
          <w:b w:val="1"/>
          <w:sz w:val="36"/>
          <w:szCs w:val="36"/>
          <w:rtl w:val="0"/>
        </w:rPr>
        <w:t xml:space="preserve">CRYPTO OLYMPICS: Battle of the Tokens</w:t>
      </w:r>
    </w:p>
    <w:p w:rsidR="00000000" w:rsidDel="00000000" w:rsidP="00000000" w:rsidRDefault="00000000" w:rsidRPr="00000000" w14:paraId="00000002">
      <w:pPr>
        <w:pStyle w:val="Heading1"/>
        <w:jc w:val="both"/>
        <w:rPr>
          <w:b w:val="1"/>
          <w:sz w:val="28"/>
          <w:szCs w:val="28"/>
        </w:rPr>
      </w:pPr>
      <w:bookmarkStart w:colFirst="0" w:colLast="0" w:name="_66ur3pwr3cj8" w:id="1"/>
      <w:bookmarkEnd w:id="1"/>
      <w:r w:rsidDel="00000000" w:rsidR="00000000" w:rsidRPr="00000000">
        <w:rPr>
          <w:b w:val="1"/>
          <w:sz w:val="28"/>
          <w:szCs w:val="28"/>
          <w:rtl w:val="0"/>
        </w:rPr>
        <w:t xml:space="preserve">Introduction</w:t>
      </w:r>
    </w:p>
    <w:p w:rsidR="00000000" w:rsidDel="00000000" w:rsidP="00000000" w:rsidRDefault="00000000" w:rsidRPr="00000000" w14:paraId="00000003">
      <w:pPr>
        <w:pStyle w:val="Heading1"/>
        <w:jc w:val="both"/>
        <w:rPr>
          <w:sz w:val="24"/>
          <w:szCs w:val="24"/>
        </w:rPr>
      </w:pPr>
      <w:bookmarkStart w:colFirst="0" w:colLast="0" w:name="_4340t71hzfmf" w:id="2"/>
      <w:bookmarkEnd w:id="2"/>
      <w:r w:rsidDel="00000000" w:rsidR="00000000" w:rsidRPr="00000000">
        <w:rPr>
          <w:sz w:val="24"/>
          <w:szCs w:val="24"/>
          <w:rtl w:val="0"/>
        </w:rPr>
        <w:t xml:space="preserve"> The world of cryptocurrencies has witnessed an explosion of innovation and growth in recent years, with new tokens and blockchain projects emerging at an unprecedented rate. As the crypto space continues to evolve, it has become akin to an Olympic arena, where various tokens compete for dominance and recognition. This article explores the concept of the "Crypto Olympics" and delves into the battle of the tokens, highlighting the key players, their unique features, and the factors that determine their success.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sz w:val="28"/>
          <w:szCs w:val="28"/>
        </w:rPr>
      </w:pPr>
      <w:bookmarkStart w:colFirst="0" w:colLast="0" w:name="_f5c8146ud5jf" w:id="3"/>
      <w:bookmarkEnd w:id="3"/>
      <w:r w:rsidDel="00000000" w:rsidR="00000000" w:rsidRPr="00000000">
        <w:rPr>
          <w:b w:val="1"/>
          <w:sz w:val="28"/>
          <w:szCs w:val="28"/>
          <w:rtl w:val="0"/>
        </w:rPr>
        <w:t xml:space="preserve">The Rise of Tokens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Tokens are digital assets that represent a particular utility, value, or asset within a blockchain ecosystem. They are created through tokenization, a process that leverages blockchain technology to tokenize real-world assets or create native digital assets. Tokens can serve a multitude of purposes, including facilitating transactions, granting access to services, or representing ownership rights.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With the advent of initial coin offerings (ICOs) and decentralized finance (DeFi), tokens have proliferated across various blockchain platforms. Each token has its own distinct characteristics, use cases, and underlying technologies. This diversity has set the stage for the Crypto Olympics, where tokens compete to establish their dominance in the market.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b w:val="1"/>
          <w:sz w:val="28"/>
          <w:szCs w:val="28"/>
        </w:rPr>
      </w:pPr>
      <w:bookmarkStart w:colFirst="0" w:colLast="0" w:name="_s2tncntw0dc" w:id="4"/>
      <w:bookmarkEnd w:id="4"/>
      <w:r w:rsidDel="00000000" w:rsidR="00000000" w:rsidRPr="00000000">
        <w:rPr>
          <w:b w:val="1"/>
          <w:sz w:val="28"/>
          <w:szCs w:val="28"/>
          <w:rtl w:val="0"/>
        </w:rPr>
        <w:t xml:space="preserve">The Crypto Olympics Arena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 the Crypto Olympics arena, tokens compete in various categories, much like athletes in the Olympic Games. These categories include but are not limited to: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b w:val="1"/>
          <w:sz w:val="28"/>
          <w:szCs w:val="28"/>
        </w:rPr>
      </w:pPr>
      <w:bookmarkStart w:colFirst="0" w:colLast="0" w:name="_dfbttobweet4" w:id="5"/>
      <w:bookmarkEnd w:id="5"/>
      <w:r w:rsidDel="00000000" w:rsidR="00000000" w:rsidRPr="00000000">
        <w:rPr>
          <w:b w:val="1"/>
          <w:sz w:val="28"/>
          <w:szCs w:val="28"/>
          <w:rtl w:val="0"/>
        </w:rPr>
        <w:t xml:space="preserve">Decentralized Finance (DeFi)</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DeFi has emerged as one of the most vibrant and active sectors within the cryptocurrency space.DeFi tokens have gained immense popularity as they enable financial activities without intermediaries, including lending, borrowing, decentralized exchanges, yield farming, and more. Tokens like Uniswap (UNI), Compound (COMP), and Aave (AAVE) are vying for the top position in the DeFi space.The success of DeFi tokens depends on several factors: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pStyle w:val="Heading3"/>
        <w:jc w:val="both"/>
        <w:rPr>
          <w:sz w:val="24"/>
          <w:szCs w:val="24"/>
        </w:rPr>
      </w:pPr>
      <w:bookmarkStart w:colFirst="0" w:colLast="0" w:name="_zh53xtui9ec6" w:id="6"/>
      <w:bookmarkEnd w:id="6"/>
      <w:r w:rsidDel="00000000" w:rsidR="00000000" w:rsidRPr="00000000">
        <w:rPr>
          <w:sz w:val="24"/>
          <w:szCs w:val="24"/>
          <w:rtl w:val="0"/>
        </w:rPr>
        <w:t xml:space="preserve">a. </w:t>
      </w:r>
      <w:r w:rsidDel="00000000" w:rsidR="00000000" w:rsidRPr="00000000">
        <w:rPr>
          <w:b w:val="1"/>
          <w:sz w:val="24"/>
          <w:szCs w:val="24"/>
          <w:rtl w:val="0"/>
        </w:rPr>
        <w:t xml:space="preserve">Total Value Locked (TVL):</w:t>
      </w:r>
      <w:r w:rsidDel="00000000" w:rsidR="00000000" w:rsidRPr="00000000">
        <w:rPr>
          <w:sz w:val="24"/>
          <w:szCs w:val="24"/>
          <w:rtl w:val="0"/>
        </w:rPr>
        <w:t xml:space="preserve"> TVL represents the amount of cryptocurrency locked in DeFi protocols. Tokens associated with protocols that attract a significant amount of funds tend to gain attention and recognition.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pStyle w:val="Heading3"/>
        <w:jc w:val="both"/>
        <w:rPr>
          <w:sz w:val="24"/>
          <w:szCs w:val="24"/>
        </w:rPr>
      </w:pPr>
      <w:bookmarkStart w:colFirst="0" w:colLast="0" w:name="_yohn60n7wqhe" w:id="7"/>
      <w:bookmarkEnd w:id="7"/>
      <w:r w:rsidDel="00000000" w:rsidR="00000000" w:rsidRPr="00000000">
        <w:rPr>
          <w:sz w:val="24"/>
          <w:szCs w:val="24"/>
          <w:rtl w:val="0"/>
        </w:rPr>
        <w:t xml:space="preserve">b. </w:t>
      </w:r>
      <w:r w:rsidDel="00000000" w:rsidR="00000000" w:rsidRPr="00000000">
        <w:rPr>
          <w:b w:val="1"/>
          <w:sz w:val="24"/>
          <w:szCs w:val="24"/>
          <w:rtl w:val="0"/>
        </w:rPr>
        <w:t xml:space="preserve">Protocol Development and Innovation:</w:t>
      </w:r>
      <w:r w:rsidDel="00000000" w:rsidR="00000000" w:rsidRPr="00000000">
        <w:rPr>
          <w:sz w:val="24"/>
          <w:szCs w:val="24"/>
          <w:rtl w:val="0"/>
        </w:rPr>
        <w:t xml:space="preserve"> Tokens that drive innovation within the DeFi space and introduce new features, such as novel lending mechanisms, improved yield farming strategies, or innovative governance models, have a higher chance of success.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pStyle w:val="Heading3"/>
        <w:jc w:val="both"/>
        <w:rPr>
          <w:sz w:val="24"/>
          <w:szCs w:val="24"/>
        </w:rPr>
      </w:pPr>
      <w:bookmarkStart w:colFirst="0" w:colLast="0" w:name="_ndjz55u6yii" w:id="8"/>
      <w:bookmarkEnd w:id="8"/>
      <w:r w:rsidDel="00000000" w:rsidR="00000000" w:rsidRPr="00000000">
        <w:rPr>
          <w:sz w:val="24"/>
          <w:szCs w:val="24"/>
          <w:rtl w:val="0"/>
        </w:rPr>
        <w:t xml:space="preserve">c.</w:t>
      </w:r>
      <w:r w:rsidDel="00000000" w:rsidR="00000000" w:rsidRPr="00000000">
        <w:rPr>
          <w:b w:val="1"/>
          <w:sz w:val="24"/>
          <w:szCs w:val="24"/>
          <w:rtl w:val="0"/>
        </w:rPr>
        <w:t xml:space="preserve"> Security and Auditing:</w:t>
      </w:r>
      <w:r w:rsidDel="00000000" w:rsidR="00000000" w:rsidRPr="00000000">
        <w:rPr>
          <w:sz w:val="24"/>
          <w:szCs w:val="24"/>
          <w:rtl w:val="0"/>
        </w:rPr>
        <w:t xml:space="preserve"> DeFi protocols are subject to security vulnerabilities, which can impact user confidence and token value. Tokens associated with audited and secure protocols are more likely to gain trust and attract users.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pStyle w:val="Heading2"/>
        <w:jc w:val="both"/>
        <w:rPr>
          <w:b w:val="1"/>
          <w:sz w:val="28"/>
          <w:szCs w:val="28"/>
        </w:rPr>
      </w:pPr>
      <w:bookmarkStart w:colFirst="0" w:colLast="0" w:name="_j1smalchd6ud" w:id="9"/>
      <w:bookmarkEnd w:id="9"/>
      <w:r w:rsidDel="00000000" w:rsidR="00000000" w:rsidRPr="00000000">
        <w:rPr>
          <w:b w:val="1"/>
          <w:sz w:val="28"/>
          <w:szCs w:val="28"/>
          <w:rtl w:val="0"/>
        </w:rPr>
        <w:t xml:space="preserve">Smart Contract Platforms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Smart contract platforms are the backbone of decentralized applications (DApps) and enable the creation and execution of self-executing contracts. Ethereum, the pioneering platform, still dominates this category, but competitors such as Binance Smart Chain (BSC), Cardano (ADA), among others have emerged, each offering unique features and scalability solutions. Factors that determine the success of smart contract platform tokens include: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pStyle w:val="Heading3"/>
        <w:jc w:val="both"/>
        <w:rPr>
          <w:sz w:val="24"/>
          <w:szCs w:val="24"/>
        </w:rPr>
      </w:pPr>
      <w:bookmarkStart w:colFirst="0" w:colLast="0" w:name="_omhr6gtiiwfi" w:id="10"/>
      <w:bookmarkEnd w:id="10"/>
      <w:r w:rsidDel="00000000" w:rsidR="00000000" w:rsidRPr="00000000">
        <w:rPr>
          <w:sz w:val="24"/>
          <w:szCs w:val="24"/>
          <w:rtl w:val="0"/>
        </w:rPr>
        <w:t xml:space="preserve">a. </w:t>
      </w:r>
      <w:r w:rsidDel="00000000" w:rsidR="00000000" w:rsidRPr="00000000">
        <w:rPr>
          <w:b w:val="1"/>
          <w:sz w:val="24"/>
          <w:szCs w:val="24"/>
          <w:rtl w:val="0"/>
        </w:rPr>
        <w:t xml:space="preserve">Scalability:</w:t>
      </w:r>
      <w:r w:rsidDel="00000000" w:rsidR="00000000" w:rsidRPr="00000000">
        <w:rPr>
          <w:sz w:val="24"/>
          <w:szCs w:val="24"/>
          <w:rtl w:val="0"/>
        </w:rPr>
        <w:t xml:space="preserve"> Scalability is a crucial consideration for smart contract platforms, as it determines the network's ability to handle a high volume of transactions. Tokens associated with platforms that offer scalable solutions, such as layer-2 protocols or sharding, are more likely to gain widespread adoption.</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pStyle w:val="Heading3"/>
        <w:jc w:val="both"/>
        <w:rPr>
          <w:sz w:val="24"/>
          <w:szCs w:val="24"/>
        </w:rPr>
      </w:pPr>
      <w:bookmarkStart w:colFirst="0" w:colLast="0" w:name="_lmwwvwi9tzq2" w:id="11"/>
      <w:bookmarkEnd w:id="11"/>
      <w:r w:rsidDel="00000000" w:rsidR="00000000" w:rsidRPr="00000000">
        <w:rPr>
          <w:sz w:val="24"/>
          <w:szCs w:val="24"/>
          <w:rtl w:val="0"/>
        </w:rPr>
        <w:t xml:space="preserve">b. </w:t>
      </w:r>
      <w:r w:rsidDel="00000000" w:rsidR="00000000" w:rsidRPr="00000000">
        <w:rPr>
          <w:b w:val="1"/>
          <w:sz w:val="24"/>
          <w:szCs w:val="24"/>
          <w:rtl w:val="0"/>
        </w:rPr>
        <w:t xml:space="preserve">Developer Community:</w:t>
      </w:r>
      <w:r w:rsidDel="00000000" w:rsidR="00000000" w:rsidRPr="00000000">
        <w:rPr>
          <w:sz w:val="24"/>
          <w:szCs w:val="24"/>
          <w:rtl w:val="0"/>
        </w:rPr>
        <w:t xml:space="preserve"> The strength and size of the developer community contribute to a smart contract platform's success. Tokens associated with platforms that attract developers and offer comprehensive development tools, documentation, and support have an advantage.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pStyle w:val="Heading3"/>
        <w:jc w:val="both"/>
        <w:rPr>
          <w:sz w:val="24"/>
          <w:szCs w:val="24"/>
        </w:rPr>
      </w:pPr>
      <w:bookmarkStart w:colFirst="0" w:colLast="0" w:name="_2pdxan3a27ik" w:id="12"/>
      <w:bookmarkEnd w:id="12"/>
      <w:r w:rsidDel="00000000" w:rsidR="00000000" w:rsidRPr="00000000">
        <w:rPr>
          <w:sz w:val="24"/>
          <w:szCs w:val="24"/>
          <w:rtl w:val="0"/>
        </w:rPr>
        <w:t xml:space="preserve">c. </w:t>
      </w:r>
      <w:r w:rsidDel="00000000" w:rsidR="00000000" w:rsidRPr="00000000">
        <w:rPr>
          <w:b w:val="1"/>
          <w:sz w:val="24"/>
          <w:szCs w:val="24"/>
          <w:rtl w:val="0"/>
        </w:rPr>
        <w:t xml:space="preserve">Interoperability:</w:t>
      </w:r>
      <w:r w:rsidDel="00000000" w:rsidR="00000000" w:rsidRPr="00000000">
        <w:rPr>
          <w:sz w:val="24"/>
          <w:szCs w:val="24"/>
          <w:rtl w:val="0"/>
        </w:rPr>
        <w:t xml:space="preserve"> Smart contract platforms that facilitate interoperability with other blockchains and allow for seamless communication between different networks can gain a competitive edge. Tokens associated with platforms focusing on cross-chain compatibility and interoperability stand to benefit.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sz w:val="28"/>
          <w:szCs w:val="28"/>
        </w:rPr>
      </w:pPr>
      <w:bookmarkStart w:colFirst="0" w:colLast="0" w:name="_x64h8fyiutsn" w:id="13"/>
      <w:bookmarkEnd w:id="13"/>
      <w:r w:rsidDel="00000000" w:rsidR="00000000" w:rsidRPr="00000000">
        <w:rPr>
          <w:b w:val="1"/>
          <w:sz w:val="28"/>
          <w:szCs w:val="28"/>
          <w:rtl w:val="0"/>
        </w:rPr>
        <w:t xml:space="preserve">Non-Fungible Tokens (NFTs)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NFTs have exploded in popularity, revolutionizing the digital art and collectibles market. These unique tokens represent ownership of digital assets, including artwork, music, virtual real estate, and more. Key factors influencing the success of NFT tokens include: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3"/>
        <w:jc w:val="both"/>
        <w:rPr>
          <w:sz w:val="24"/>
          <w:szCs w:val="24"/>
        </w:rPr>
      </w:pPr>
      <w:bookmarkStart w:colFirst="0" w:colLast="0" w:name="_8npt38vtm9m0" w:id="14"/>
      <w:bookmarkEnd w:id="14"/>
      <w:r w:rsidDel="00000000" w:rsidR="00000000" w:rsidRPr="00000000">
        <w:rPr>
          <w:sz w:val="24"/>
          <w:szCs w:val="24"/>
          <w:rtl w:val="0"/>
        </w:rPr>
        <w:t xml:space="preserve">a. </w:t>
      </w:r>
      <w:r w:rsidDel="00000000" w:rsidR="00000000" w:rsidRPr="00000000">
        <w:rPr>
          <w:b w:val="1"/>
          <w:sz w:val="24"/>
          <w:szCs w:val="24"/>
          <w:rtl w:val="0"/>
        </w:rPr>
        <w:t xml:space="preserve">Marketplace and Infrastructure:</w:t>
      </w:r>
      <w:r w:rsidDel="00000000" w:rsidR="00000000" w:rsidRPr="00000000">
        <w:rPr>
          <w:sz w:val="24"/>
          <w:szCs w:val="24"/>
          <w:rtl w:val="0"/>
        </w:rPr>
        <w:t xml:space="preserve"> Tokens associated with NFT marketplaces that offer a user-friendly interface, low fees, and extensive collections tend to attract a larger user base. Additionally, robust infrastructure that ensures seamless minting, trading, and storage of NFTs contributes to a token's success.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pStyle w:val="Heading3"/>
        <w:jc w:val="both"/>
        <w:rPr>
          <w:sz w:val="24"/>
          <w:szCs w:val="24"/>
        </w:rPr>
      </w:pPr>
      <w:bookmarkStart w:colFirst="0" w:colLast="0" w:name="_9gi9d5gmaevc" w:id="15"/>
      <w:bookmarkEnd w:id="15"/>
      <w:r w:rsidDel="00000000" w:rsidR="00000000" w:rsidRPr="00000000">
        <w:rPr>
          <w:sz w:val="24"/>
          <w:szCs w:val="24"/>
          <w:rtl w:val="0"/>
        </w:rPr>
        <w:t xml:space="preserve">b.</w:t>
      </w:r>
      <w:r w:rsidDel="00000000" w:rsidR="00000000" w:rsidRPr="00000000">
        <w:rPr>
          <w:b w:val="1"/>
          <w:sz w:val="24"/>
          <w:szCs w:val="24"/>
          <w:rtl w:val="0"/>
        </w:rPr>
        <w:t xml:space="preserve"> Celebrity and Brand Endorsements:</w:t>
      </w:r>
      <w:r w:rsidDel="00000000" w:rsidR="00000000" w:rsidRPr="00000000">
        <w:rPr>
          <w:sz w:val="24"/>
          <w:szCs w:val="24"/>
          <w:rtl w:val="0"/>
        </w:rPr>
        <w:t xml:space="preserve"> Collaboration with celebrities, brands, or influential figures can significantly boost the visibility and adoption of NFT tokens. High-profile endorsements attract mainstream attention and create a sense of legitimacy.</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pStyle w:val="Heading3"/>
        <w:jc w:val="both"/>
        <w:rPr>
          <w:sz w:val="24"/>
          <w:szCs w:val="24"/>
        </w:rPr>
      </w:pPr>
      <w:bookmarkStart w:colFirst="0" w:colLast="0" w:name="_icoaswlwkbe2" w:id="16"/>
      <w:bookmarkEnd w:id="16"/>
      <w:r w:rsidDel="00000000" w:rsidR="00000000" w:rsidRPr="00000000">
        <w:rPr>
          <w:sz w:val="24"/>
          <w:szCs w:val="24"/>
          <w:rtl w:val="0"/>
        </w:rPr>
        <w:t xml:space="preserve">c. </w:t>
      </w:r>
      <w:r w:rsidDel="00000000" w:rsidR="00000000" w:rsidRPr="00000000">
        <w:rPr>
          <w:b w:val="1"/>
          <w:sz w:val="24"/>
          <w:szCs w:val="24"/>
          <w:rtl w:val="0"/>
        </w:rPr>
        <w:t xml:space="preserve">Utility and Use Cases:</w:t>
      </w:r>
      <w:r w:rsidDel="00000000" w:rsidR="00000000" w:rsidRPr="00000000">
        <w:rPr>
          <w:sz w:val="24"/>
          <w:szCs w:val="24"/>
          <w:rtl w:val="0"/>
        </w:rPr>
        <w:t xml:space="preserve"> Tokens associated with NFT platforms that provide additional utility, such as fractional ownership, royalties for creators, or gamification elements, can attract a broader audience and drive demand.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2"/>
        <w:jc w:val="both"/>
        <w:rPr>
          <w:b w:val="1"/>
          <w:sz w:val="28"/>
          <w:szCs w:val="28"/>
        </w:rPr>
      </w:pPr>
      <w:bookmarkStart w:colFirst="0" w:colLast="0" w:name="_2cnjc8cl9vew" w:id="17"/>
      <w:bookmarkEnd w:id="17"/>
      <w:r w:rsidDel="00000000" w:rsidR="00000000" w:rsidRPr="00000000">
        <w:rPr>
          <w:b w:val="1"/>
          <w:sz w:val="28"/>
          <w:szCs w:val="28"/>
          <w:rtl w:val="0"/>
        </w:rPr>
        <w:t xml:space="preserve">Privacy Coins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Privacy coins offer enhanced anonymity and privacy features, appealing to individuals who value the confidentiality of their transactions. Factors contributing to the success of privacy coins include: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pStyle w:val="Heading3"/>
        <w:jc w:val="both"/>
        <w:rPr>
          <w:sz w:val="24"/>
          <w:szCs w:val="24"/>
        </w:rPr>
      </w:pPr>
      <w:bookmarkStart w:colFirst="0" w:colLast="0" w:name="_si0fs11to6zl" w:id="18"/>
      <w:bookmarkEnd w:id="18"/>
      <w:r w:rsidDel="00000000" w:rsidR="00000000" w:rsidRPr="00000000">
        <w:rPr>
          <w:rtl w:val="0"/>
        </w:rPr>
        <w:t xml:space="preserve">a. </w:t>
      </w:r>
      <w:r w:rsidDel="00000000" w:rsidR="00000000" w:rsidRPr="00000000">
        <w:rPr>
          <w:b w:val="1"/>
          <w:sz w:val="24"/>
          <w:szCs w:val="24"/>
          <w:rtl w:val="0"/>
        </w:rPr>
        <w:t xml:space="preserve">Privacy Technology:</w:t>
      </w:r>
      <w:r w:rsidDel="00000000" w:rsidR="00000000" w:rsidRPr="00000000">
        <w:rPr>
          <w:sz w:val="24"/>
          <w:szCs w:val="24"/>
          <w:rtl w:val="0"/>
        </w:rPr>
        <w:t xml:space="preserve"> The effectiveness and robustness of privacy features within a coin's protocol influence its success. Tokens that employ advanced privacy-enhancing technologies, such as zero-knowledge proofs or ring signatures, are considered more secure and attractive to privacy-conscious users.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pStyle w:val="Heading3"/>
        <w:jc w:val="both"/>
        <w:rPr>
          <w:sz w:val="24"/>
          <w:szCs w:val="24"/>
        </w:rPr>
      </w:pPr>
      <w:bookmarkStart w:colFirst="0" w:colLast="0" w:name="_s1q66nqlciuw" w:id="19"/>
      <w:bookmarkEnd w:id="19"/>
      <w:r w:rsidDel="00000000" w:rsidR="00000000" w:rsidRPr="00000000">
        <w:rPr>
          <w:sz w:val="24"/>
          <w:szCs w:val="24"/>
          <w:rtl w:val="0"/>
        </w:rPr>
        <w:t xml:space="preserve">b.</w:t>
      </w:r>
      <w:r w:rsidDel="00000000" w:rsidR="00000000" w:rsidRPr="00000000">
        <w:rPr>
          <w:rtl w:val="0"/>
        </w:rPr>
        <w:t xml:space="preserve"> </w:t>
      </w:r>
      <w:r w:rsidDel="00000000" w:rsidR="00000000" w:rsidRPr="00000000">
        <w:rPr>
          <w:b w:val="1"/>
          <w:sz w:val="24"/>
          <w:szCs w:val="24"/>
          <w:rtl w:val="0"/>
        </w:rPr>
        <w:t xml:space="preserve">Reputation and Trust:</w:t>
      </w:r>
      <w:r w:rsidDel="00000000" w:rsidR="00000000" w:rsidRPr="00000000">
        <w:rPr>
          <w:sz w:val="24"/>
          <w:szCs w:val="24"/>
          <w:rtl w:val="0"/>
        </w:rPr>
        <w:t xml:space="preserve"> Privacy coins that have a proven track record and a reputation for maintaining user privacy are more likely to gain trust and widespread adoption. Transparent governance and community involvement also contribute to building trust.</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pStyle w:val="Heading3"/>
        <w:jc w:val="both"/>
        <w:rPr>
          <w:sz w:val="24"/>
          <w:szCs w:val="24"/>
        </w:rPr>
      </w:pPr>
      <w:bookmarkStart w:colFirst="0" w:colLast="0" w:name="_5bkf9h4fg1et" w:id="20"/>
      <w:bookmarkEnd w:id="20"/>
      <w:r w:rsidDel="00000000" w:rsidR="00000000" w:rsidRPr="00000000">
        <w:rPr>
          <w:sz w:val="24"/>
          <w:szCs w:val="24"/>
          <w:rtl w:val="0"/>
        </w:rPr>
        <w:t xml:space="preserve">c. </w:t>
      </w:r>
      <w:r w:rsidDel="00000000" w:rsidR="00000000" w:rsidRPr="00000000">
        <w:rPr>
          <w:b w:val="1"/>
          <w:sz w:val="24"/>
          <w:szCs w:val="24"/>
          <w:rtl w:val="0"/>
        </w:rPr>
        <w:t xml:space="preserve">Regulatory Compliance:</w:t>
      </w:r>
      <w:r w:rsidDel="00000000" w:rsidR="00000000" w:rsidRPr="00000000">
        <w:rPr>
          <w:sz w:val="24"/>
          <w:szCs w:val="24"/>
          <w:rtl w:val="0"/>
        </w:rPr>
        <w:t xml:space="preserve"> Privacy coins face regulatory challenges due to concerns about potential illicit activities. Tokens that actively work towards regulatory compliance, engage with regulators, and implement measures to prevent misuse have a higher chance of success.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pStyle w:val="Heading2"/>
        <w:jc w:val="both"/>
        <w:rPr>
          <w:b w:val="1"/>
          <w:sz w:val="28"/>
          <w:szCs w:val="28"/>
        </w:rPr>
      </w:pPr>
      <w:bookmarkStart w:colFirst="0" w:colLast="0" w:name="_33gl1vwyqm7c" w:id="21"/>
      <w:bookmarkEnd w:id="21"/>
      <w:r w:rsidDel="00000000" w:rsidR="00000000" w:rsidRPr="00000000">
        <w:rPr>
          <w:b w:val="1"/>
          <w:sz w:val="28"/>
          <w:szCs w:val="28"/>
          <w:rtl w:val="0"/>
        </w:rPr>
        <w:t xml:space="preserve">Stablecoins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Stablecoins provide stability and serve as a bridge between the traditional financial world and the crypto ecosystem. They are pegged to a stable asset, usually a fiat currency, and offer a reliable medium of exchange and store of value. Key factors impacting the success of stablecoins include: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pStyle w:val="Heading3"/>
        <w:jc w:val="both"/>
        <w:rPr>
          <w:sz w:val="24"/>
          <w:szCs w:val="24"/>
        </w:rPr>
      </w:pPr>
      <w:bookmarkStart w:colFirst="0" w:colLast="0" w:name="_86o6y26cecpg" w:id="22"/>
      <w:bookmarkEnd w:id="22"/>
      <w:r w:rsidDel="00000000" w:rsidR="00000000" w:rsidRPr="00000000">
        <w:rPr>
          <w:rtl w:val="0"/>
        </w:rPr>
        <w:t xml:space="preserve">a. </w:t>
      </w:r>
      <w:r w:rsidDel="00000000" w:rsidR="00000000" w:rsidRPr="00000000">
        <w:rPr>
          <w:b w:val="1"/>
          <w:sz w:val="24"/>
          <w:szCs w:val="24"/>
          <w:rtl w:val="0"/>
        </w:rPr>
        <w:t xml:space="preserve">Trust and Transparency:</w:t>
      </w:r>
      <w:r w:rsidDel="00000000" w:rsidR="00000000" w:rsidRPr="00000000">
        <w:rPr>
          <w:sz w:val="24"/>
          <w:szCs w:val="24"/>
          <w:rtl w:val="0"/>
        </w:rPr>
        <w:t xml:space="preserve"> Stablecoins must maintain a high level of trust by ensuring transparency regarding their reserves, audits, and regulatory compliance. Tokens associated with stablecoins that provide regular audits and maintain a strong reputation for stability are more likely to succeed.</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pStyle w:val="Heading3"/>
        <w:jc w:val="both"/>
        <w:rPr>
          <w:sz w:val="24"/>
          <w:szCs w:val="24"/>
        </w:rPr>
      </w:pPr>
      <w:bookmarkStart w:colFirst="0" w:colLast="0" w:name="_nkterr3ukp6u" w:id="23"/>
      <w:bookmarkEnd w:id="23"/>
      <w:r w:rsidDel="00000000" w:rsidR="00000000" w:rsidRPr="00000000">
        <w:rPr>
          <w:rtl w:val="0"/>
        </w:rPr>
        <w:t xml:space="preserve">b.</w:t>
      </w:r>
      <w:r w:rsidDel="00000000" w:rsidR="00000000" w:rsidRPr="00000000">
        <w:rPr>
          <w:b w:val="1"/>
          <w:rtl w:val="0"/>
        </w:rPr>
        <w:t xml:space="preserve"> </w:t>
      </w:r>
      <w:r w:rsidDel="00000000" w:rsidR="00000000" w:rsidRPr="00000000">
        <w:rPr>
          <w:b w:val="1"/>
          <w:sz w:val="24"/>
          <w:szCs w:val="24"/>
          <w:rtl w:val="0"/>
        </w:rPr>
        <w:t xml:space="preserve">Adoption and Liquidity:</w:t>
      </w:r>
      <w:r w:rsidDel="00000000" w:rsidR="00000000" w:rsidRPr="00000000">
        <w:rPr>
          <w:sz w:val="24"/>
          <w:szCs w:val="24"/>
          <w:rtl w:val="0"/>
        </w:rPr>
        <w:t xml:space="preserve"> The success of stablecoins depends on their widespread adoption and liquidity within the crypto ecosystem. Tokens associated with stablecoins listed on major exchanges, accepted by merchants, and widely used for trading and transactions are considered successful.</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pStyle w:val="Heading3"/>
        <w:jc w:val="both"/>
        <w:rPr>
          <w:sz w:val="24"/>
          <w:szCs w:val="24"/>
        </w:rPr>
      </w:pPr>
      <w:bookmarkStart w:colFirst="0" w:colLast="0" w:name="_jcry0ycqjc11" w:id="24"/>
      <w:bookmarkEnd w:id="24"/>
      <w:r w:rsidDel="00000000" w:rsidR="00000000" w:rsidRPr="00000000">
        <w:rPr>
          <w:rtl w:val="0"/>
        </w:rPr>
        <w:t xml:space="preserve">c.</w:t>
      </w:r>
      <w:r w:rsidDel="00000000" w:rsidR="00000000" w:rsidRPr="00000000">
        <w:rPr>
          <w:b w:val="1"/>
          <w:rtl w:val="0"/>
        </w:rPr>
        <w:t xml:space="preserve"> </w:t>
      </w:r>
      <w:r w:rsidDel="00000000" w:rsidR="00000000" w:rsidRPr="00000000">
        <w:rPr>
          <w:b w:val="1"/>
          <w:sz w:val="24"/>
          <w:szCs w:val="24"/>
          <w:rtl w:val="0"/>
        </w:rPr>
        <w:t xml:space="preserve">Integration and Partnerships: </w:t>
      </w:r>
      <w:r w:rsidDel="00000000" w:rsidR="00000000" w:rsidRPr="00000000">
        <w:rPr>
          <w:sz w:val="24"/>
          <w:szCs w:val="24"/>
          <w:rtl w:val="0"/>
        </w:rPr>
        <w:t xml:space="preserve">Collaborations with traditional financial institutions, payment processors, or other cryptocurrencies can significantly enhance the utility and acceptance of stablecoins. Tokens associated with stablecoins that have formed strategic partnerships to enable fiat on/off-ramps and facilitate seamless integration with existing financial infrastructure have an advantage.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36"/>
          <w:szCs w:val="36"/>
        </w:rPr>
      </w:pPr>
      <w:bookmarkStart w:colFirst="0" w:colLast="0" w:name="_lp0t6wnydc6y" w:id="25"/>
      <w:bookmarkEnd w:id="25"/>
      <w:r w:rsidDel="00000000" w:rsidR="00000000" w:rsidRPr="00000000">
        <w:rPr>
          <w:b w:val="1"/>
          <w:sz w:val="36"/>
          <w:szCs w:val="36"/>
          <w:rtl w:val="0"/>
        </w:rPr>
        <w:t xml:space="preserve">Factors Determining Success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In the Crypto Olympics, various factors contribute to the success and recognition of tokens. These factors include: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pStyle w:val="Heading2"/>
        <w:jc w:val="both"/>
        <w:rPr>
          <w:sz w:val="24"/>
          <w:szCs w:val="24"/>
        </w:rPr>
      </w:pPr>
      <w:bookmarkStart w:colFirst="0" w:colLast="0" w:name="_a4vfwqw6fh1j" w:id="26"/>
      <w:bookmarkEnd w:id="26"/>
      <w:r w:rsidDel="00000000" w:rsidR="00000000" w:rsidRPr="00000000">
        <w:rPr>
          <w:b w:val="1"/>
          <w:sz w:val="24"/>
          <w:szCs w:val="24"/>
          <w:rtl w:val="0"/>
        </w:rPr>
        <w:t xml:space="preserve">Technology and Innovation:</w:t>
      </w:r>
      <w:r w:rsidDel="00000000" w:rsidR="00000000" w:rsidRPr="00000000">
        <w:rPr>
          <w:sz w:val="24"/>
          <w:szCs w:val="24"/>
          <w:rtl w:val="0"/>
        </w:rPr>
        <w:t xml:space="preserve"> The underlying technology of a token plays a crucial role in determining its success. Tokens that introduce groundbreaking features, scalability solutions, or address specific pain points within the blockchain ecosystem tend to gain popularity.</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pStyle w:val="Heading2"/>
        <w:jc w:val="both"/>
        <w:rPr>
          <w:sz w:val="24"/>
          <w:szCs w:val="24"/>
        </w:rPr>
      </w:pPr>
      <w:bookmarkStart w:colFirst="0" w:colLast="0" w:name="_86ejxibbrvel" w:id="27"/>
      <w:bookmarkEnd w:id="27"/>
      <w:r w:rsidDel="00000000" w:rsidR="00000000" w:rsidRPr="00000000">
        <w:rPr>
          <w:b w:val="1"/>
          <w:sz w:val="24"/>
          <w:szCs w:val="24"/>
          <w:rtl w:val="0"/>
        </w:rPr>
        <w:t xml:space="preserve">Adoption and Community:</w:t>
      </w:r>
      <w:r w:rsidDel="00000000" w:rsidR="00000000" w:rsidRPr="00000000">
        <w:rPr>
          <w:sz w:val="24"/>
          <w:szCs w:val="24"/>
          <w:rtl w:val="0"/>
        </w:rPr>
        <w:t xml:space="preserve"> The strength of a token's community and its adoption across various platforms and use cases significantly impact its success. Active communities foster development, generate awareness, and attract new users, driving the token's value.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pStyle w:val="Heading2"/>
        <w:jc w:val="both"/>
        <w:rPr>
          <w:sz w:val="24"/>
          <w:szCs w:val="24"/>
        </w:rPr>
      </w:pPr>
      <w:bookmarkStart w:colFirst="0" w:colLast="0" w:name="_bylxf17juvco" w:id="28"/>
      <w:bookmarkEnd w:id="28"/>
      <w:r w:rsidDel="00000000" w:rsidR="00000000" w:rsidRPr="00000000">
        <w:rPr>
          <w:b w:val="1"/>
          <w:sz w:val="24"/>
          <w:szCs w:val="24"/>
          <w:rtl w:val="0"/>
        </w:rPr>
        <w:t xml:space="preserve">Liquidity and Trading Volume:</w:t>
      </w:r>
      <w:r w:rsidDel="00000000" w:rsidR="00000000" w:rsidRPr="00000000">
        <w:rPr>
          <w:sz w:val="24"/>
          <w:szCs w:val="24"/>
          <w:rtl w:val="0"/>
        </w:rPr>
        <w:t xml:space="preserve"> High liquidity and trading volume are vital for tokens to gain widespread recognition. Tokens listed on major exchanges and with significant trading volume are more likely to garner attention from investors and traders.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pStyle w:val="Heading2"/>
        <w:jc w:val="both"/>
        <w:rPr>
          <w:sz w:val="24"/>
          <w:szCs w:val="24"/>
        </w:rPr>
      </w:pPr>
      <w:bookmarkStart w:colFirst="0" w:colLast="0" w:name="_g3ymikltkemx" w:id="29"/>
      <w:bookmarkEnd w:id="29"/>
      <w:r w:rsidDel="00000000" w:rsidR="00000000" w:rsidRPr="00000000">
        <w:rPr>
          <w:b w:val="1"/>
          <w:sz w:val="24"/>
          <w:szCs w:val="24"/>
          <w:rtl w:val="0"/>
        </w:rPr>
        <w:t xml:space="preserve">Regulatory Environment:</w:t>
      </w:r>
      <w:r w:rsidDel="00000000" w:rsidR="00000000" w:rsidRPr="00000000">
        <w:rPr>
          <w:sz w:val="24"/>
          <w:szCs w:val="24"/>
          <w:rtl w:val="0"/>
        </w:rPr>
        <w:t xml:space="preserve"> The regulatory landscape surrounding cryptocurrencies and tokens plays a crucial role in their success. Tokens operating within a clear legal framework, complying with regulations, and fostering trust among users are more likely to thrive in the long run.</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2"/>
        <w:jc w:val="both"/>
        <w:rPr>
          <w:sz w:val="24"/>
          <w:szCs w:val="24"/>
        </w:rPr>
      </w:pPr>
      <w:bookmarkStart w:colFirst="0" w:colLast="0" w:name="_otuexktau07b" w:id="30"/>
      <w:bookmarkEnd w:id="30"/>
      <w:r w:rsidDel="00000000" w:rsidR="00000000" w:rsidRPr="00000000">
        <w:rPr>
          <w:b w:val="1"/>
          <w:sz w:val="24"/>
          <w:szCs w:val="24"/>
          <w:rtl w:val="0"/>
        </w:rPr>
        <w:t xml:space="preserve">Partnerships and Integrations:</w:t>
      </w:r>
      <w:r w:rsidDel="00000000" w:rsidR="00000000" w:rsidRPr="00000000">
        <w:rPr>
          <w:sz w:val="24"/>
          <w:szCs w:val="24"/>
          <w:rtl w:val="0"/>
        </w:rPr>
        <w:t xml:space="preserve"> Collaborations with established companies, institutions, or other tokens can provide a significant boost to a token's credibility and utility. Partnerships enable cross-platform integrations, expanding the token's reach and enhancing its value proposition.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b w:val="1"/>
          <w:sz w:val="36"/>
          <w:szCs w:val="36"/>
        </w:rPr>
      </w:pPr>
      <w:bookmarkStart w:colFirst="0" w:colLast="0" w:name="_8xzpifj5dl17" w:id="31"/>
      <w:bookmarkEnd w:id="31"/>
      <w:r w:rsidDel="00000000" w:rsidR="00000000" w:rsidRPr="00000000">
        <w:rPr>
          <w:b w:val="1"/>
          <w:sz w:val="36"/>
          <w:szCs w:val="36"/>
          <w:rtl w:val="0"/>
        </w:rPr>
        <w:t xml:space="preserve">The Winner's Circle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In the ever-evolving Crypto Olympics, it is challenging to predict a definitive winner. The success of tokens depends on multiple variables, including market trends, technological advancements, and regulatory developments. While some tokens may rise to prominence, the landscape can quickly shift as new contenders emerge, bringing forth innovative solutions and disrupting the status quo.</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pStyle w:val="Heading1"/>
        <w:jc w:val="both"/>
        <w:rPr>
          <w:b w:val="1"/>
          <w:sz w:val="36"/>
          <w:szCs w:val="36"/>
        </w:rPr>
      </w:pPr>
      <w:bookmarkStart w:colFirst="0" w:colLast="0" w:name="_cz8qq3ciu9ho" w:id="32"/>
      <w:bookmarkEnd w:id="32"/>
      <w:r w:rsidDel="00000000" w:rsidR="00000000" w:rsidRPr="00000000">
        <w:rPr>
          <w:b w:val="1"/>
          <w:sz w:val="36"/>
          <w:szCs w:val="36"/>
          <w:rtl w:val="0"/>
        </w:rPr>
        <w:t xml:space="preserve">Conclusion</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Crypto Olympics encompass a diverse range of tokens competing across various categories, including DeFi, smart contract platforms, NFTs, privacy coins, and stablecoins. The success of tokens within each category depends on a combination of factors such as technology, adoption, liquidity, regulations, partnerships, and innovation. As the crypto space continues to evolve, tokens will continue to battle for dominance, and only time will reveal the ultimate winners in this dynamic and rapidly evolving ecosystem.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