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4534" w:rsidRDefault="003F5A0B">
      <w:pPr>
        <w:spacing w:before="240" w:after="80"/>
        <w:jc w:val="center"/>
      </w:pPr>
      <w:r>
        <w:rPr>
          <w:rFonts w:ascii="Times New Roman" w:eastAsia="Times New Roman" w:hAnsi="Times New Roman" w:cs="Times New Roman"/>
          <w:b/>
          <w:bCs/>
          <w:color w:val="1F3A5F"/>
          <w:sz w:val="24"/>
        </w:rPr>
        <w:t>UNIVERSIDAD CONTINENTAL</w:t>
      </w:r>
    </w:p>
    <w:p w:rsidR="00E24534" w:rsidRDefault="003F5A0B">
      <w:pPr>
        <w:spacing w:after="320"/>
        <w:jc w:val="center"/>
      </w:pPr>
      <w:r>
        <w:rPr>
          <w:rFonts w:ascii="Times New Roman" w:eastAsia="Times New Roman" w:hAnsi="Times New Roman" w:cs="Times New Roman"/>
          <w:color w:val="4A5568"/>
        </w:rPr>
        <w:t>Escuela Académico Profesional de Ingeniería de Sistemas e Informática</w:t>
      </w:r>
    </w:p>
    <w:p w:rsidR="00E24534" w:rsidRDefault="003F5A0B">
      <w:pPr>
        <w:pBdr>
          <w:bottom w:val="single" w:sz="12" w:space="4" w:color="1F3A5F"/>
        </w:pBdr>
        <w:spacing w:before="120"/>
      </w:pPr>
      <w:r>
        <w:rPr>
          <w:rFonts w:ascii="Times New Roman" w:eastAsia="Times New Roman" w:hAnsi="Times New Roman" w:cs="Times New Roman"/>
          <w:b/>
          <w:bCs/>
          <w:color w:val="1F3A5F"/>
          <w:sz w:val="40"/>
        </w:rPr>
        <w:t>ANEXO 07. Desarrollo metodológico</w:t>
      </w:r>
    </w:p>
    <w:p w:rsidR="00E24534" w:rsidRDefault="003F5A0B">
      <w:pPr>
        <w:spacing w:after="80"/>
        <w:jc w:val="center"/>
      </w:pPr>
      <w:r>
        <w:rPr>
          <w:rFonts w:ascii="Times New Roman" w:eastAsia="Times New Roman" w:hAnsi="Times New Roman" w:cs="Times New Roman"/>
          <w:b/>
          <w:bCs/>
          <w:color w:val="1A5F7A"/>
          <w:sz w:val="28"/>
        </w:rPr>
        <w:t>Informe de la intervención metodológica</w:t>
      </w:r>
    </w:p>
    <w:p w:rsidR="00E24534" w:rsidRDefault="003F5A0B">
      <w:pPr>
        <w:spacing w:after="240"/>
        <w:jc w:val="center"/>
      </w:pPr>
      <w:r>
        <w:rPr>
          <w:rFonts w:ascii="Times New Roman" w:eastAsia="Times New Roman" w:hAnsi="Times New Roman" w:cs="Times New Roman"/>
          <w:i/>
          <w:iCs/>
          <w:color w:val="4A5568"/>
        </w:rPr>
        <w:t>Aplicación del Prompt-Centered SDLC v1.2  ·  Caso Sigemad MPA V2</w:t>
      </w:r>
      <w:r>
        <w:br/>
      </w:r>
      <w:r>
        <w:rPr>
          <w:rFonts w:ascii="Times New Roman" w:eastAsia="Times New Roman" w:hAnsi="Times New Roman" w:cs="Times New Roman"/>
          <w:i/>
          <w:iCs/>
          <w:color w:val="4A5568"/>
        </w:rPr>
        <w:t>Municipalidad Provincial de Acobamba</w:t>
      </w:r>
    </w:p>
    <w:p w:rsidR="003D610D" w:rsidRDefault="003E19C5">
      <w:pPr>
        <w:spacing w:after="160" w:line="360" w:lineRule="auto"/>
        <w:ind w:firstLine="425"/>
        <w:jc w:val="both"/>
      </w:pPr>
      <w:r>
        <w:rPr>
          <w:rFonts w:ascii="Times New Roman" w:eastAsia="Times New Roman" w:hAnsi="Times New Roman"/>
          <w:color w:val="1A1A1A"/>
          <w:sz w:val="24"/>
        </w:rPr>
        <w:t>El presente anexo documenta la intervención metodológica con la que se construyó Sigemad MPA V2 en la Municipalidad Provincial de Acobamba, mediante la aplicación del Prompt-Centered SDLC versión 1.2. La unidad de trabajo se observa en la Figura 1: prompt versionado, artefacto, métrica y decisión. La evidencia de proceso alimenta el apartado 4.1 del Capítulo IV y no sustituye al Capítulo III ni a la contrastación de hipótesis.</w:t>
      </w:r>
    </w:p>
    <w:p w:rsidR="00E24534" w:rsidRDefault="00E24534"/>
    <w:p w:rsidR="008B624A" w:rsidRPr="008B624A" w:rsidRDefault="008B624A"/>
    <w:p w:rsidR="00E24534" w:rsidRDefault="003F5A0B">
      <w:pPr>
        <w:pBdr>
          <w:bottom w:val="single" w:sz="8" w:space="4" w:color="1A5F7A"/>
        </w:pBdr>
        <w:spacing w:before="320" w:after="160"/>
      </w:pPr>
      <w:r>
        <w:rPr>
          <w:rFonts w:ascii="Times New Roman" w:eastAsia="Times New Roman" w:hAnsi="Times New Roman" w:cs="Times New Roman"/>
          <w:b/>
          <w:bCs/>
          <w:color w:val="1F3A5F"/>
          <w:sz w:val="30"/>
        </w:rPr>
        <w:t xml:space="preserve">Nota de </w:t>
      </w:r>
      <w:proofErr w:type="spellStart"/>
      <w:r>
        <w:rPr>
          <w:rFonts w:ascii="Times New Roman" w:eastAsia="Times New Roman" w:hAnsi="Times New Roman" w:cs="Times New Roman"/>
          <w:b/>
          <w:bCs/>
          <w:color w:val="1F3A5F"/>
          <w:sz w:val="30"/>
        </w:rPr>
        <w:t>propósito</w:t>
      </w:r>
      <w:proofErr w:type="spellEnd"/>
      <w:r>
        <w:rPr>
          <w:rFonts w:ascii="Times New Roman" w:eastAsia="Times New Roman" w:hAnsi="Times New Roman" w:cs="Times New Roman"/>
          <w:b/>
          <w:bCs/>
          <w:color w:val="1F3A5F"/>
          <w:sz w:val="30"/>
        </w:rPr>
        <w:t xml:space="preserve"> y </w:t>
      </w:r>
      <w:proofErr w:type="spellStart"/>
      <w:r>
        <w:rPr>
          <w:rFonts w:ascii="Times New Roman" w:eastAsia="Times New Roman" w:hAnsi="Times New Roman" w:cs="Times New Roman"/>
          <w:b/>
          <w:bCs/>
          <w:color w:val="1F3A5F"/>
          <w:sz w:val="30"/>
        </w:rPr>
        <w:t>vínculo</w:t>
      </w:r>
      <w:proofErr w:type="spellEnd"/>
      <w:r>
        <w:rPr>
          <w:rFonts w:ascii="Times New Roman" w:eastAsia="Times New Roman" w:hAnsi="Times New Roman" w:cs="Times New Roman"/>
          <w:b/>
          <w:bCs/>
          <w:color w:val="1F3A5F"/>
          <w:sz w:val="30"/>
        </w:rPr>
        <w:t xml:space="preserve"> con la tesis</w:t>
      </w:r>
    </w:p>
    <w:p w:rsidR="00E24534" w:rsidRDefault="00E24534"/>
    <w:p w:rsidR="00E24534" w:rsidRDefault="003F5A0B">
      <w:pPr>
        <w:pBdr>
          <w:bottom w:val="single" w:sz="8" w:space="4" w:color="1A5F7A"/>
        </w:pBdr>
        <w:spacing w:before="320" w:after="160"/>
      </w:pPr>
      <w:r>
        <w:rPr>
          <w:rFonts w:ascii="Times New Roman" w:eastAsia="Times New Roman" w:hAnsi="Times New Roman" w:cs="Times New Roman"/>
          <w:b/>
          <w:bCs/>
          <w:color w:val="1F3A5F"/>
          <w:sz w:val="30"/>
        </w:rPr>
        <w:t>Contenido del anexo</w:t>
      </w:r>
    </w:p>
    <w:p w:rsidR="00E24534" w:rsidRDefault="003F5A0B">
      <w:pPr>
        <w:spacing w:after="160" w:line="360" w:lineRule="auto"/>
        <w:jc w:val="both"/>
      </w:pPr>
      <w:r>
        <w:rPr>
          <w:rFonts w:ascii="Times New Roman" w:eastAsia="Times New Roman" w:hAnsi="Times New Roman" w:cs="Times New Roman"/>
          <w:color w:val="1A1A1A"/>
          <w:sz w:val="24"/>
        </w:rPr>
        <w:t>1. Introducción a la intervención metodológica</w:t>
      </w:r>
    </w:p>
    <w:p w:rsidR="00E24534" w:rsidRDefault="003F5A0B">
      <w:pPr>
        <w:spacing w:after="160" w:line="360" w:lineRule="auto"/>
        <w:jc w:val="both"/>
      </w:pPr>
      <w:r>
        <w:rPr>
          <w:rFonts w:ascii="Times New Roman" w:eastAsia="Times New Roman" w:hAnsi="Times New Roman" w:cs="Times New Roman"/>
          <w:color w:val="1A1A1A"/>
          <w:sz w:val="24"/>
        </w:rPr>
        <w:t>2. Justificación de la elección del Prompt-Centered SDLC</w:t>
      </w:r>
    </w:p>
    <w:p w:rsidR="00E24534" w:rsidRDefault="003F5A0B">
      <w:pPr>
        <w:spacing w:after="160" w:line="360" w:lineRule="auto"/>
        <w:jc w:val="both"/>
      </w:pPr>
      <w:r>
        <w:rPr>
          <w:rFonts w:ascii="Times New Roman" w:eastAsia="Times New Roman" w:hAnsi="Times New Roman" w:cs="Times New Roman"/>
          <w:color w:val="1A1A1A"/>
          <w:sz w:val="24"/>
        </w:rPr>
        <w:t>3. Descripción del proyecto de software y de los procesos institucionales</w:t>
      </w:r>
    </w:p>
    <w:p w:rsidR="00E24534" w:rsidRDefault="003F5A0B">
      <w:pPr>
        <w:spacing w:after="160" w:line="360" w:lineRule="auto"/>
        <w:jc w:val="both"/>
      </w:pPr>
      <w:r>
        <w:rPr>
          <w:rFonts w:ascii="Times New Roman" w:eastAsia="Times New Roman" w:hAnsi="Times New Roman" w:cs="Times New Roman"/>
          <w:color w:val="1A1A1A"/>
          <w:sz w:val="24"/>
        </w:rPr>
        <w:t>4. Preparación y entrada mínima del proyecto</w:t>
      </w:r>
    </w:p>
    <w:p w:rsidR="00E24534" w:rsidRDefault="003F5A0B">
      <w:pPr>
        <w:spacing w:after="160" w:line="360" w:lineRule="auto"/>
        <w:jc w:val="both"/>
      </w:pPr>
      <w:r>
        <w:rPr>
          <w:rFonts w:ascii="Times New Roman" w:eastAsia="Times New Roman" w:hAnsi="Times New Roman" w:cs="Times New Roman"/>
          <w:color w:val="1A1A1A"/>
          <w:sz w:val="24"/>
        </w:rPr>
        <w:t>5. Aplicación por fases del SDLC</w:t>
      </w:r>
    </w:p>
    <w:p w:rsidR="00E24534" w:rsidRDefault="003F5A0B">
      <w:pPr>
        <w:spacing w:after="160" w:line="360" w:lineRule="auto"/>
        <w:jc w:val="both"/>
      </w:pPr>
      <w:r>
        <w:rPr>
          <w:rFonts w:ascii="Times New Roman" w:eastAsia="Times New Roman" w:hAnsi="Times New Roman" w:cs="Times New Roman"/>
          <w:color w:val="1A1A1A"/>
          <w:sz w:val="24"/>
        </w:rPr>
        <w:t>6. Evaluación, refinamiento y versionado de prompts (D2)</w:t>
      </w:r>
    </w:p>
    <w:p w:rsidR="00E24534" w:rsidRDefault="003F5A0B">
      <w:pPr>
        <w:spacing w:after="160" w:line="360" w:lineRule="auto"/>
        <w:jc w:val="both"/>
      </w:pPr>
      <w:r>
        <w:rPr>
          <w:rFonts w:ascii="Times New Roman" w:eastAsia="Times New Roman" w:hAnsi="Times New Roman" w:cs="Times New Roman"/>
          <w:color w:val="1A1A1A"/>
          <w:sz w:val="24"/>
        </w:rPr>
        <w:t>7. Matriz de doble entrada: trazabilidad de funciones y prompts</w:t>
      </w:r>
    </w:p>
    <w:p w:rsidR="00E24534" w:rsidRDefault="003F5A0B">
      <w:pPr>
        <w:spacing w:after="160" w:line="360" w:lineRule="auto"/>
        <w:jc w:val="both"/>
      </w:pPr>
      <w:r>
        <w:rPr>
          <w:rFonts w:ascii="Times New Roman" w:eastAsia="Times New Roman" w:hAnsi="Times New Roman" w:cs="Times New Roman"/>
          <w:color w:val="1A1A1A"/>
          <w:sz w:val="24"/>
        </w:rPr>
        <w:t>8. Nivel de automatización agentica alcanzado</w:t>
      </w:r>
    </w:p>
    <w:p w:rsidR="00E24534" w:rsidRDefault="003F5A0B">
      <w:pPr>
        <w:spacing w:after="160" w:line="360" w:lineRule="auto"/>
        <w:jc w:val="both"/>
      </w:pPr>
      <w:r>
        <w:rPr>
          <w:rFonts w:ascii="Times New Roman" w:eastAsia="Times New Roman" w:hAnsi="Times New Roman" w:cs="Times New Roman"/>
          <w:color w:val="1A1A1A"/>
          <w:sz w:val="24"/>
        </w:rPr>
        <w:t>9. Seguridad, gobernanza y monitoreo</w:t>
      </w:r>
    </w:p>
    <w:p w:rsidR="00E24534" w:rsidRDefault="003F5A0B">
      <w:pPr>
        <w:spacing w:after="160" w:line="360" w:lineRule="auto"/>
        <w:jc w:val="both"/>
      </w:pPr>
      <w:r>
        <w:rPr>
          <w:rFonts w:ascii="Times New Roman" w:eastAsia="Times New Roman" w:hAnsi="Times New Roman" w:cs="Times New Roman"/>
          <w:color w:val="1A1A1A"/>
          <w:sz w:val="24"/>
        </w:rPr>
        <w:lastRenderedPageBreak/>
        <w:t>10. Trazabilidad de artefactos (síntesis)</w:t>
      </w:r>
    </w:p>
    <w:p w:rsidR="00E24534" w:rsidRDefault="003F5A0B">
      <w:pPr>
        <w:spacing w:after="160" w:line="360" w:lineRule="auto"/>
        <w:jc w:val="both"/>
      </w:pPr>
      <w:r>
        <w:rPr>
          <w:rFonts w:ascii="Times New Roman" w:eastAsia="Times New Roman" w:hAnsi="Times New Roman" w:cs="Times New Roman"/>
          <w:color w:val="1A1A1A"/>
          <w:sz w:val="24"/>
        </w:rPr>
        <w:t>11. Métricas de proceso de la intervención</w:t>
      </w:r>
    </w:p>
    <w:p w:rsidR="00E24534" w:rsidRDefault="003F5A0B">
      <w:pPr>
        <w:spacing w:after="160" w:line="360" w:lineRule="auto"/>
        <w:jc w:val="both"/>
      </w:pPr>
      <w:r>
        <w:rPr>
          <w:rFonts w:ascii="Times New Roman" w:eastAsia="Times New Roman" w:hAnsi="Times New Roman" w:cs="Times New Roman"/>
          <w:color w:val="1A1A1A"/>
          <w:sz w:val="24"/>
        </w:rPr>
        <w:t>12. Lecciones aprendidas de la intervención</w:t>
      </w:r>
    </w:p>
    <w:p w:rsidR="00E24534" w:rsidRDefault="003F5A0B">
      <w:pPr>
        <w:spacing w:after="160" w:line="360" w:lineRule="auto"/>
        <w:jc w:val="both"/>
      </w:pPr>
      <w:r>
        <w:rPr>
          <w:rFonts w:ascii="Times New Roman" w:eastAsia="Times New Roman" w:hAnsi="Times New Roman" w:cs="Times New Roman"/>
          <w:color w:val="1A1A1A"/>
          <w:sz w:val="24"/>
        </w:rPr>
        <w:t>13. Cierre del anexo</w:t>
      </w:r>
    </w:p>
    <w:p w:rsidR="00E24534" w:rsidRDefault="003F5A0B">
      <w:pPr>
        <w:spacing w:after="160" w:line="360" w:lineRule="auto"/>
        <w:jc w:val="both"/>
      </w:pPr>
      <w:r>
        <w:rPr>
          <w:rFonts w:ascii="Times New Roman" w:eastAsia="Times New Roman" w:hAnsi="Times New Roman" w:cs="Times New Roman"/>
          <w:color w:val="1A1A1A"/>
          <w:sz w:val="24"/>
        </w:rPr>
        <w:t>14. Referencias utilizadas en este anexo</w:t>
      </w:r>
    </w:p>
    <w:p w:rsidR="00E24534" w:rsidRDefault="003F5A0B">
      <w:pPr>
        <w:spacing w:after="160" w:line="360" w:lineRule="auto"/>
        <w:jc w:val="both"/>
      </w:pPr>
      <w:r>
        <w:rPr>
          <w:rFonts w:ascii="Times New Roman" w:eastAsia="Times New Roman" w:hAnsi="Times New Roman" w:cs="Times New Roman"/>
          <w:color w:val="1A1A1A"/>
          <w:sz w:val="24"/>
        </w:rPr>
        <w:t>Apéndices A–G</w:t>
      </w:r>
    </w:p>
    <w:p w:rsidR="00E24534" w:rsidRDefault="003F5A0B">
      <w:pPr>
        <w:pBdr>
          <w:bottom w:val="single" w:sz="8" w:space="4" w:color="1A5F7A"/>
        </w:pBdr>
        <w:spacing w:before="320" w:after="160"/>
      </w:pPr>
      <w:r>
        <w:rPr>
          <w:rFonts w:ascii="Times New Roman" w:eastAsia="Times New Roman" w:hAnsi="Times New Roman" w:cs="Times New Roman"/>
          <w:b/>
          <w:bCs/>
          <w:color w:val="1F3A5F"/>
          <w:sz w:val="30"/>
        </w:rPr>
        <w:t>1. Introducción a la intervención metodológica</w:t>
      </w:r>
    </w:p>
    <w:p w:rsidR="00E24534" w:rsidRDefault="003F5A0B">
      <w:pPr>
        <w:spacing w:before="240" w:after="120"/>
      </w:pPr>
      <w:r>
        <w:rPr>
          <w:rFonts w:ascii="Times New Roman" w:eastAsia="Times New Roman" w:hAnsi="Times New Roman" w:cs="Times New Roman"/>
          <w:b/>
          <w:bCs/>
          <w:color w:val="1A5F7A"/>
          <w:sz w:val="26"/>
        </w:rPr>
        <w:t>1.1 Propósito de este anexo</w:t>
      </w:r>
    </w:p>
    <w:p w:rsidR="00E24534" w:rsidRDefault="00E24534"/>
    <w:p w:rsidR="00E24534" w:rsidRDefault="00E24534"/>
    <w:p w:rsidR="00E24534" w:rsidRDefault="003F5A0B">
      <w:pPr>
        <w:spacing w:before="120" w:after="40" w:line="240" w:lineRule="auto"/>
        <w:jc w:val="center"/>
      </w:pPr>
      <w:r>
        <w:rPr>
          <w:noProof/>
        </w:rPr>
        <w:drawing>
          <wp:inline distT="0" distB="0" distL="0" distR="0" wp14:anchorId="5740B862" wp14:editId="68EE7418">
            <wp:extent cx="5581650" cy="171450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8"/>
                    <a:stretch>
                      <a:fillRect/>
                    </a:stretch>
                  </pic:blipFill>
                  <pic:spPr>
                    <a:xfrm>
                      <a:off x="0" y="0"/>
                      <a:ext cx="5581650" cy="1714500"/>
                    </a:xfrm>
                    <a:prstGeom prst="rect">
                      <a:avLst/>
                    </a:prstGeom>
                  </pic:spPr>
                </pic:pic>
              </a:graphicData>
            </a:graphic>
          </wp:inline>
        </w:drawing>
      </w:r>
    </w:p>
    <w:p w:rsidR="00E24534" w:rsidRDefault="003F5A0B">
      <w:pPr>
        <w:spacing w:before="80" w:after="240" w:line="240" w:lineRule="auto"/>
        <w:jc w:val="center"/>
      </w:pPr>
      <w:r>
        <w:rPr>
          <w:rFonts w:ascii="Times New Roman" w:eastAsia="Times New Roman" w:hAnsi="Times New Roman" w:cs="Times New Roman"/>
          <w:i/>
          <w:iCs/>
          <w:color w:val="4A5568"/>
          <w:sz w:val="20"/>
        </w:rPr>
        <w:t>Figura 1. Cadena de la intervención: prompt, artefacto, métrica y decisión.</w:t>
      </w:r>
    </w:p>
    <w:p w:rsidR="00E24534" w:rsidRDefault="003F5A0B">
      <w:pPr>
        <w:spacing w:before="240" w:after="120"/>
      </w:pPr>
      <w:r>
        <w:rPr>
          <w:rFonts w:ascii="Times New Roman" w:eastAsia="Times New Roman" w:hAnsi="Times New Roman" w:cs="Times New Roman"/>
          <w:b/>
          <w:bCs/>
          <w:color w:val="1A5F7A"/>
          <w:sz w:val="26"/>
        </w:rPr>
        <w:t>1.2 Objetivos de la intervención</w:t>
      </w:r>
    </w:p>
    <w:p w:rsidR="00E24534" w:rsidRDefault="003F5A0B">
      <w:pPr>
        <w:spacing w:before="160" w:after="80"/>
      </w:pPr>
      <w:r>
        <w:rPr>
          <w:rFonts w:ascii="Times New Roman" w:eastAsia="Times New Roman" w:hAnsi="Times New Roman" w:cs="Times New Roman"/>
          <w:b/>
          <w:bCs/>
          <w:color w:val="1F3A5F"/>
          <w:sz w:val="24"/>
        </w:rPr>
        <w:t>1.2.1 Objetivo general</w:t>
      </w:r>
    </w:p>
    <w:p w:rsidR="003D610D" w:rsidRDefault="003E19C5">
      <w:pPr>
        <w:spacing w:after="160" w:line="360" w:lineRule="auto"/>
        <w:ind w:firstLine="425"/>
        <w:jc w:val="both"/>
      </w:pPr>
      <w:r>
        <w:rPr>
          <w:rFonts w:ascii="Times New Roman" w:eastAsia="Times New Roman" w:hAnsi="Times New Roman"/>
          <w:color w:val="1A1A1A"/>
          <w:sz w:val="24"/>
        </w:rPr>
        <w:t>El objetivo general de esta intervención fue aplicar el Prompt-Centered SDLC v1.2, desde la elicitación de requisitos hasta la puesta en producción, dejando evidencia versionada de prompts, revisión humana y trazabilidad. Dicho objetivo no sustituye al objetivo general de la tesis.</w:t>
      </w:r>
    </w:p>
    <w:p w:rsidR="00E24534" w:rsidRDefault="00E24534"/>
    <w:p w:rsidR="00E24534" w:rsidRDefault="003F5A0B">
      <w:pPr>
        <w:spacing w:before="160" w:after="80"/>
      </w:pPr>
      <w:r>
        <w:rPr>
          <w:rFonts w:ascii="Times New Roman" w:eastAsia="Times New Roman" w:hAnsi="Times New Roman" w:cs="Times New Roman"/>
          <w:b/>
          <w:bCs/>
          <w:color w:val="1F3A5F"/>
          <w:sz w:val="24"/>
        </w:rPr>
        <w:t>1.2.2 Objetivos específicos</w:t>
      </w:r>
    </w:p>
    <w:p w:rsidR="00E24534" w:rsidRDefault="00E24534"/>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ayout w:type="fixed"/>
        <w:tblLook w:val="07E0" w:firstRow="1" w:lastRow="1" w:firstColumn="1" w:lastColumn="1" w:noHBand="1" w:noVBand="1"/>
      </w:tblPr>
      <w:tblGrid>
        <w:gridCol w:w="794"/>
        <w:gridCol w:w="3628"/>
        <w:gridCol w:w="2551"/>
        <w:gridCol w:w="1814"/>
      </w:tblGrid>
      <w:tr w:rsidR="00E24534">
        <w:trPr>
          <w:jc w:val="center"/>
        </w:trPr>
        <w:tc>
          <w:tcPr>
            <w:tcW w:w="794"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8"/>
              </w:rPr>
              <w:t>N.º</w:t>
            </w:r>
          </w:p>
        </w:tc>
        <w:tc>
          <w:tcPr>
            <w:tcW w:w="3628"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8"/>
              </w:rPr>
              <w:t>Objetivo específico de la intervención</w:t>
            </w:r>
          </w:p>
        </w:tc>
        <w:tc>
          <w:tcPr>
            <w:tcW w:w="2551"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8"/>
              </w:rPr>
              <w:t>Evidencia</w:t>
            </w:r>
          </w:p>
        </w:tc>
        <w:tc>
          <w:tcPr>
            <w:tcW w:w="1814"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8"/>
              </w:rPr>
              <w:t>Apartado</w:t>
            </w:r>
          </w:p>
        </w:tc>
      </w:tr>
      <w:tr w:rsidR="00E24534">
        <w:trPr>
          <w:cantSplit/>
          <w:jc w:val="center"/>
        </w:trPr>
        <w:tc>
          <w:tcPr>
            <w:tcW w:w="79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lastRenderedPageBreak/>
              <w:t>OE-1</w:t>
            </w:r>
          </w:p>
        </w:tc>
        <w:tc>
          <w:tcPr>
            <w:tcW w:w="362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Aplicar anatomía D1 en todas las fases del SDLC</w:t>
            </w:r>
          </w:p>
        </w:tc>
        <w:tc>
          <w:tcPr>
            <w:tcW w:w="255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48 registros vigentes</w:t>
            </w:r>
          </w:p>
        </w:tc>
        <w:tc>
          <w:tcPr>
            <w:tcW w:w="181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4 y 5</w:t>
            </w:r>
          </w:p>
        </w:tc>
      </w:tr>
      <w:tr w:rsidR="00E24534">
        <w:trPr>
          <w:cantSplit/>
          <w:jc w:val="center"/>
        </w:trPr>
        <w:tc>
          <w:tcPr>
            <w:tcW w:w="79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OE-2</w:t>
            </w:r>
          </w:p>
        </w:tc>
        <w:tc>
          <w:tcPr>
            <w:tcW w:w="362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Evaluar salidas con ciclo D2 y dejar decisión</w:t>
            </w:r>
          </w:p>
        </w:tc>
        <w:tc>
          <w:tcPr>
            <w:tcW w:w="255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registro_metricas.md</w:t>
            </w:r>
          </w:p>
        </w:tc>
        <w:tc>
          <w:tcPr>
            <w:tcW w:w="181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6</w:t>
            </w:r>
          </w:p>
        </w:tc>
      </w:tr>
      <w:tr w:rsidR="00E24534">
        <w:trPr>
          <w:cantSplit/>
          <w:jc w:val="center"/>
        </w:trPr>
        <w:tc>
          <w:tcPr>
            <w:tcW w:w="79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OE-3</w:t>
            </w:r>
          </w:p>
        </w:tc>
        <w:tc>
          <w:tcPr>
            <w:tcW w:w="362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Trazar cada incremento a un prompt I-*</w:t>
            </w:r>
          </w:p>
        </w:tc>
        <w:tc>
          <w:tcPr>
            <w:tcW w:w="255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I-001 … I-017; 0.1.0–0.10.7</w:t>
            </w:r>
          </w:p>
        </w:tc>
        <w:tc>
          <w:tcPr>
            <w:tcW w:w="181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5.3</w:t>
            </w:r>
          </w:p>
        </w:tc>
      </w:tr>
      <w:tr w:rsidR="00E24534">
        <w:trPr>
          <w:cantSplit/>
          <w:jc w:val="center"/>
        </w:trPr>
        <w:tc>
          <w:tcPr>
            <w:tcW w:w="79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OE-4</w:t>
            </w:r>
          </w:p>
        </w:tc>
        <w:tc>
          <w:tcPr>
            <w:tcW w:w="362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Construir la matriz función–prompt–commit</w:t>
            </w:r>
          </w:p>
        </w:tc>
        <w:tc>
          <w:tcPr>
            <w:tcW w:w="255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F-001 … F-008 + Excel V3</w:t>
            </w:r>
          </w:p>
        </w:tc>
        <w:tc>
          <w:tcPr>
            <w:tcW w:w="181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7</w:t>
            </w:r>
          </w:p>
        </w:tc>
      </w:tr>
      <w:tr w:rsidR="00E24534">
        <w:trPr>
          <w:cantSplit/>
          <w:jc w:val="center"/>
        </w:trPr>
        <w:tc>
          <w:tcPr>
            <w:tcW w:w="79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OE-5</w:t>
            </w:r>
          </w:p>
        </w:tc>
        <w:tc>
          <w:tcPr>
            <w:tcW w:w="362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Aplicar guardrails y política de uso de IA</w:t>
            </w:r>
          </w:p>
        </w:tc>
        <w:tc>
          <w:tcPr>
            <w:tcW w:w="255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politicas_uso_ia.md</w:t>
            </w:r>
          </w:p>
        </w:tc>
        <w:tc>
          <w:tcPr>
            <w:tcW w:w="181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9</w:t>
            </w:r>
          </w:p>
        </w:tc>
      </w:tr>
      <w:tr w:rsidR="00E24534">
        <w:trPr>
          <w:cantSplit/>
          <w:jc w:val="center"/>
        </w:trPr>
        <w:tc>
          <w:tcPr>
            <w:tcW w:w="79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OE-6</w:t>
            </w:r>
          </w:p>
        </w:tc>
        <w:tc>
          <w:tcPr>
            <w:tcW w:w="362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Dejar trazabilidad HU → prompt → código → test</w:t>
            </w:r>
          </w:p>
        </w:tc>
        <w:tc>
          <w:tcPr>
            <w:tcW w:w="255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Tabla 19</w:t>
            </w:r>
          </w:p>
        </w:tc>
        <w:tc>
          <w:tcPr>
            <w:tcW w:w="181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10</w:t>
            </w:r>
          </w:p>
        </w:tc>
      </w:tr>
    </w:tbl>
    <w:p w:rsidR="00E24534" w:rsidRDefault="003F5A0B">
      <w:pPr>
        <w:spacing w:before="80" w:after="240" w:line="240" w:lineRule="auto"/>
        <w:jc w:val="center"/>
      </w:pPr>
      <w:r>
        <w:rPr>
          <w:rFonts w:ascii="Times New Roman" w:eastAsia="Times New Roman" w:hAnsi="Times New Roman" w:cs="Times New Roman"/>
          <w:i/>
          <w:iCs/>
          <w:color w:val="4A5568"/>
          <w:sz w:val="20"/>
        </w:rPr>
        <w:t>Tabla 1. Objetivos específicos de la intervención y dónde se evidencian.</w:t>
      </w:r>
    </w:p>
    <w:p w:rsidR="00E24534" w:rsidRDefault="003F5A0B">
      <w:pPr>
        <w:spacing w:before="240" w:after="120"/>
      </w:pPr>
      <w:r>
        <w:rPr>
          <w:rFonts w:ascii="Times New Roman" w:eastAsia="Times New Roman" w:hAnsi="Times New Roman" w:cs="Times New Roman"/>
          <w:b/>
          <w:bCs/>
          <w:color w:val="1A5F7A"/>
          <w:sz w:val="26"/>
        </w:rPr>
        <w:t>1.3 Alcance</w:t>
      </w:r>
    </w:p>
    <w:p w:rsidR="003D610D" w:rsidRDefault="003E19C5">
      <w:pPr>
        <w:spacing w:after="160" w:line="360" w:lineRule="auto"/>
        <w:ind w:firstLine="425"/>
        <w:jc w:val="both"/>
      </w:pPr>
      <w:r>
        <w:rPr>
          <w:rFonts w:ascii="Times New Roman" w:eastAsia="Times New Roman" w:hAnsi="Times New Roman"/>
          <w:color w:val="1A1A1A"/>
          <w:sz w:val="24"/>
        </w:rPr>
        <w:t>El alcance de esta intervención se delimita a la construcción documentada de Sigemad MPA V2 con el Prompt-Centered SDLC v1.2, desde la elicitación de requisitos hasta la puesta en producción. El Gráfico 1 distingue lo incluido de lo excluido. Los macroprocesos institucionales y los diagramas de proceso se desarrollan en los apartados 3.4 y 3.5.</w:t>
      </w:r>
    </w:p>
    <w:p w:rsidR="003D610D" w:rsidRDefault="003E19C5">
      <w:pPr>
        <w:spacing w:before="120" w:after="40"/>
        <w:jc w:val="center"/>
      </w:pPr>
      <w:r>
        <w:rPr>
          <w:noProof/>
        </w:rPr>
        <w:drawing>
          <wp:inline distT="0" distB="0" distL="0" distR="0">
            <wp:extent cx="5580000" cy="3056938"/>
            <wp:effectExtent l="0" t="0" r="0" b="0"/>
            <wp:docPr id="100012"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7_alcance.png"/>
                    <pic:cNvPicPr/>
                  </pic:nvPicPr>
                  <pic:blipFill>
                    <a:blip r:embed="rId9"/>
                    <a:stretch>
                      <a:fillRect/>
                    </a:stretch>
                  </pic:blipFill>
                  <pic:spPr>
                    <a:xfrm>
                      <a:off x="0" y="0"/>
                      <a:ext cx="5580000" cy="3056938"/>
                    </a:xfrm>
                    <a:prstGeom prst="rect">
                      <a:avLst/>
                    </a:prstGeom>
                  </pic:spPr>
                </pic:pic>
              </a:graphicData>
            </a:graphic>
          </wp:inline>
        </w:drawing>
      </w:r>
    </w:p>
    <w:p w:rsidR="003D610D" w:rsidRDefault="003E19C5">
      <w:pPr>
        <w:spacing w:line="240" w:lineRule="auto"/>
        <w:jc w:val="center"/>
      </w:pPr>
      <w:r>
        <w:rPr>
          <w:rFonts w:ascii="Times New Roman" w:eastAsia="Times New Roman" w:hAnsi="Times New Roman"/>
          <w:i/>
          <w:color w:val="1A1A1A"/>
        </w:rPr>
        <w:t>Gráfico 1. Alcance de la intervención: aspectos incluidos y fuera de alcance.</w:t>
      </w:r>
    </w:p>
    <w:p w:rsidR="00E24534" w:rsidRDefault="00E24534"/>
    <w:p w:rsidR="00E24534" w:rsidRDefault="003F5A0B">
      <w:pPr>
        <w:spacing w:before="240" w:after="120"/>
      </w:pPr>
      <w:r>
        <w:rPr>
          <w:rFonts w:ascii="Times New Roman" w:eastAsia="Times New Roman" w:hAnsi="Times New Roman" w:cs="Times New Roman"/>
          <w:b/>
          <w:bCs/>
          <w:color w:val="1A5F7A"/>
          <w:sz w:val="26"/>
        </w:rPr>
        <w:t>1.4 Marco metodológico de referencia</w:t>
      </w:r>
    </w:p>
    <w:p w:rsidR="003D610D" w:rsidRDefault="003E19C5">
      <w:pPr>
        <w:spacing w:after="160" w:line="360" w:lineRule="auto"/>
        <w:ind w:firstLine="425"/>
        <w:jc w:val="both"/>
      </w:pPr>
      <w:r>
        <w:rPr>
          <w:rFonts w:ascii="Times New Roman" w:eastAsia="Times New Roman" w:hAnsi="Times New Roman"/>
          <w:color w:val="1A1A1A"/>
          <w:sz w:val="24"/>
        </w:rPr>
        <w:t xml:space="preserve">El marco se opera en cinco dimensiones, ilustradas en la Figura 2. D4 (gobernanza) es el techo: la política mínima de uso de IA, el nivel N2 y la revisión humana obligatoria. Debajo operan tres dimensiones de trabajo: D1 (anatomía) formula el pedido al modelo, con restricciones y bloque «No hacer»; D2 (evaluación) mide, diagnostica, refina y deja una decisión escrita; D3 (mapa por fase) sitúa cada prompt en requisitos, diseño, implementación, pruebas o mantenimiento. D5 (trazabilidad) es el piso: función, prompt, </w:t>
      </w:r>
      <w:r>
        <w:rPr>
          <w:rFonts w:ascii="Times New Roman" w:eastAsia="Times New Roman" w:hAnsi="Times New Roman"/>
          <w:color w:val="1A1A1A"/>
          <w:sz w:val="24"/>
        </w:rPr>
        <w:lastRenderedPageBreak/>
        <w:t>commit y archivo, sin depender del historial de chat. Cada dimensión se evidencia más adelante en el apartado que le corresponde.</w:t>
      </w:r>
    </w:p>
    <w:p w:rsidR="00E24534" w:rsidRDefault="00E24534"/>
    <w:p w:rsidR="00E24534" w:rsidRDefault="003F5A0B">
      <w:pPr>
        <w:spacing w:before="120" w:after="40" w:line="240" w:lineRule="auto"/>
        <w:jc w:val="center"/>
      </w:pPr>
      <w:r>
        <w:rPr>
          <w:noProof/>
        </w:rPr>
        <w:drawing>
          <wp:inline distT="0" distB="0" distL="0" distR="0">
            <wp:extent cx="5760000" cy="3627783"/>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7_2_d1d5.png"/>
                    <pic:cNvPicPr/>
                  </pic:nvPicPr>
                  <pic:blipFill>
                    <a:blip r:embed="rId10"/>
                    <a:stretch>
                      <a:fillRect/>
                    </a:stretch>
                  </pic:blipFill>
                  <pic:spPr>
                    <a:xfrm>
                      <a:off x="0" y="0"/>
                      <a:ext cx="5760000" cy="3627783"/>
                    </a:xfrm>
                    <a:prstGeom prst="rect">
                      <a:avLst/>
                    </a:prstGeom>
                  </pic:spPr>
                </pic:pic>
              </a:graphicData>
            </a:graphic>
          </wp:inline>
        </w:drawing>
      </w:r>
    </w:p>
    <w:p w:rsidR="00E24534" w:rsidRDefault="003F5A0B">
      <w:pPr>
        <w:spacing w:before="80" w:after="160" w:line="240" w:lineRule="auto"/>
        <w:jc w:val="center"/>
      </w:pPr>
      <w:r>
        <w:rPr>
          <w:rFonts w:ascii="Times New Roman" w:eastAsia="Times New Roman" w:hAnsi="Times New Roman" w:cs="Times New Roman"/>
          <w:i/>
          <w:iCs/>
          <w:color w:val="1A1A1A"/>
        </w:rPr>
        <w:t>Figura 2. Cinco dimensiones del Prompt-Centered SDLC: gobernanza (D4), anatomía, evaluación y mapa por fase (D1–D3) y trazabilidad (D5).</w:t>
      </w:r>
    </w:p>
    <w:p w:rsidR="003D610D" w:rsidRDefault="003E19C5">
      <w:pPr>
        <w:spacing w:after="160" w:line="360" w:lineRule="auto"/>
        <w:ind w:firstLine="425"/>
        <w:jc w:val="both"/>
      </w:pPr>
      <w:r>
        <w:rPr>
          <w:rFonts w:ascii="Times New Roman" w:eastAsia="Times New Roman" w:hAnsi="Times New Roman"/>
          <w:color w:val="1A1A1A"/>
          <w:sz w:val="24"/>
        </w:rPr>
        <w:t>La Figura 2 se lee de arriba abajo. Arriba, D4 responde con qué reglas se usa el agente. En el centro, D1, D2 y D3 forman el ciclo del prompt dentro de una fase del SDLC. Abajo, D5 permite que un tercero abra el prompt, el commit y el archivo en GitHub. La política de IA no es un texto suelto: es D4 operando sobre las otras cuatro dimensiones.</w:t>
      </w:r>
    </w:p>
    <w:p w:rsidR="00E24534" w:rsidRDefault="003F5A0B">
      <w:pPr>
        <w:pBdr>
          <w:bottom w:val="single" w:sz="8" w:space="4" w:color="1A5F7A"/>
        </w:pBdr>
        <w:spacing w:before="320" w:after="160"/>
      </w:pPr>
      <w:r>
        <w:rPr>
          <w:rFonts w:ascii="Times New Roman" w:eastAsia="Times New Roman" w:hAnsi="Times New Roman" w:cs="Times New Roman"/>
          <w:b/>
          <w:bCs/>
          <w:color w:val="1F3A5F"/>
          <w:sz w:val="30"/>
        </w:rPr>
        <w:t>2. Justificación de la elección del Prompt-Centered SDLC</w:t>
      </w:r>
    </w:p>
    <w:p w:rsidR="00BA7E9C" w:rsidRPr="00BA7E9C" w:rsidRDefault="00BA7E9C" w:rsidP="00BA7E9C">
      <w:pPr>
        <w:rPr>
          <w:rFonts w:ascii="Times New Roman" w:eastAsia="Times New Roman" w:hAnsi="Times New Roman" w:cs="Times New Roman"/>
          <w:bCs/>
          <w:sz w:val="26"/>
          <w:lang w:val="es-PE"/>
        </w:rPr>
      </w:pPr>
      <w:r w:rsidRPr="00BA7E9C">
        <w:rPr>
          <w:rFonts w:ascii="Times New Roman" w:eastAsia="Times New Roman" w:hAnsi="Times New Roman" w:cs="Times New Roman"/>
          <w:bCs/>
          <w:sz w:val="26"/>
          <w:lang w:val="es-PE"/>
        </w:rPr>
        <w:t>Para este caso, la elección de un </w:t>
      </w:r>
      <w:proofErr w:type="spellStart"/>
      <w:r w:rsidRPr="00BA7E9C">
        <w:rPr>
          <w:rFonts w:ascii="Times New Roman" w:eastAsia="Times New Roman" w:hAnsi="Times New Roman" w:cs="Times New Roman"/>
          <w:bCs/>
          <w:sz w:val="26"/>
          <w:lang w:val="es-PE"/>
        </w:rPr>
        <w:t>Prompt-Centered</w:t>
      </w:r>
      <w:proofErr w:type="spellEnd"/>
      <w:r w:rsidRPr="00BA7E9C">
        <w:rPr>
          <w:rFonts w:ascii="Times New Roman" w:eastAsia="Times New Roman" w:hAnsi="Times New Roman" w:cs="Times New Roman"/>
          <w:bCs/>
          <w:sz w:val="26"/>
          <w:lang w:val="es-PE"/>
        </w:rPr>
        <w:t xml:space="preserve"> SDLC se sostiene porque el desarrollo asistido por </w:t>
      </w:r>
      <w:proofErr w:type="spellStart"/>
      <w:r w:rsidRPr="00BA7E9C">
        <w:rPr>
          <w:rFonts w:ascii="Times New Roman" w:eastAsia="Times New Roman" w:hAnsi="Times New Roman" w:cs="Times New Roman"/>
          <w:bCs/>
          <w:sz w:val="26"/>
          <w:lang w:val="es-PE"/>
        </w:rPr>
        <w:t>LLMs</w:t>
      </w:r>
      <w:proofErr w:type="spellEnd"/>
      <w:r w:rsidRPr="00BA7E9C">
        <w:rPr>
          <w:rFonts w:ascii="Times New Roman" w:eastAsia="Times New Roman" w:hAnsi="Times New Roman" w:cs="Times New Roman"/>
          <w:bCs/>
          <w:sz w:val="26"/>
          <w:lang w:val="es-PE"/>
        </w:rPr>
        <w:t xml:space="preserve"> introduce problemas de ambigüedad, seguridad, trazabilidad y control que no quedan bien resueltos con prácticas improvisadas de “</w:t>
      </w:r>
      <w:proofErr w:type="spellStart"/>
      <w:r w:rsidRPr="00BA7E9C">
        <w:rPr>
          <w:rFonts w:ascii="Times New Roman" w:eastAsia="Times New Roman" w:hAnsi="Times New Roman" w:cs="Times New Roman"/>
          <w:bCs/>
          <w:sz w:val="26"/>
          <w:lang w:val="es-PE"/>
        </w:rPr>
        <w:t>vibe</w:t>
      </w:r>
      <w:proofErr w:type="spellEnd"/>
      <w:r w:rsidRPr="00BA7E9C">
        <w:rPr>
          <w:rFonts w:ascii="Times New Roman" w:eastAsia="Times New Roman" w:hAnsi="Times New Roman" w:cs="Times New Roman"/>
          <w:bCs/>
          <w:sz w:val="26"/>
          <w:lang w:val="es-PE"/>
        </w:rPr>
        <w:t xml:space="preserve"> </w:t>
      </w:r>
      <w:proofErr w:type="spellStart"/>
      <w:r w:rsidRPr="00BA7E9C">
        <w:rPr>
          <w:rFonts w:ascii="Times New Roman" w:eastAsia="Times New Roman" w:hAnsi="Times New Roman" w:cs="Times New Roman"/>
          <w:bCs/>
          <w:sz w:val="26"/>
          <w:lang w:val="es-PE"/>
        </w:rPr>
        <w:t>coding</w:t>
      </w:r>
      <w:proofErr w:type="spellEnd"/>
      <w:r w:rsidRPr="00BA7E9C">
        <w:rPr>
          <w:rFonts w:ascii="Times New Roman" w:eastAsia="Times New Roman" w:hAnsi="Times New Roman" w:cs="Times New Roman"/>
          <w:bCs/>
          <w:sz w:val="26"/>
          <w:lang w:val="es-PE"/>
        </w:rPr>
        <w:t>”, y porque varios trabajos recientes describen una transición desde flujos ágiles pensados para equipos humanos hacia esquemas de orquestación humano-agente con unidades de trabajo mucho más pequeñas</w:t>
      </w:r>
      <w:r w:rsidR="00A47DDC">
        <w:rPr>
          <w:rFonts w:ascii="Times New Roman" w:eastAsia="Times New Roman" w:hAnsi="Times New Roman" w:cs="Times New Roman"/>
          <w:bCs/>
          <w:sz w:val="26"/>
          <w:lang w:val="es-PE"/>
        </w:rPr>
        <w:fldChar w:fldCharType="begin"/>
      </w:r>
      <w:r w:rsidR="00A47DDC">
        <w:rPr>
          <w:rFonts w:ascii="Times New Roman" w:eastAsia="Times New Roman" w:hAnsi="Times New Roman" w:cs="Times New Roman"/>
          <w:bCs/>
          <w:sz w:val="26"/>
          <w:lang w:val="es-PE"/>
        </w:rPr>
        <w:instrText xml:space="preserve"> ADDIN ZOTERO_ITEM CSL_CITATION {"citationID":"LslTGT45","properties":{"unsorted":false,"formattedCitation":"[1], [2], [3], [4]","plainCitation":"[1], [2], [3], [4]","noteIndex":0},"citationItems":[{"id":179,"uris":["http://zotero.org/users/local/pcqM5yZa/items/TW4HQQXQ"],"itemData":{"id":179,"type":"article","abstract":"The integration of Large Language Models (LLMs) into software engineering has revolutionized code generation, enabling unprecedented productivity through promptware and autonomous AI agents. However, this transformation introduces significant risks, including insecure code generation, hallucinated outputs, irreversible actions, and a lack of transparency and accountability. Incidents like the Replit database deletion underscore the urgent need for robust safety and governance mechanisms. This paper comprehensively analyzes the inherent challenges of LLM-assisted code generation, such as vulnerability inheritance, overtrust, misinterpretation, and the absence of standardized validation and rollback protocols. To address these, we propose the SAFE-AI Framework, a holistic approach emphasizing Safety, Auditability, Feedback, and Explainability. The framework integrates guardrails, sandboxing, runtime verification, risk-aware logging, human-in-the-loop systems, and explainable AI techniques to mitigate risks while fostering trust and compliance. We introduce a novel taxonomy of AI behaviors categorizing suggestive, generative, autonomous, and destructive actions to guide risk assessment and oversight. Additionally, we identify open problems, including the lack of standardized benchmarks for code specific hallucinations and autonomy levels, and propose future research directions for hybrid verification, semantic guardrails, and proactive governance tools. Through detailed comparisons of autonomy control, prompt engineering, explainability, and governance frameworks, this paper provides a roadmap for responsible AI integration in software engineering, aligning with emerging regulations like the EU AI Act and Canada's AIDA to ensure safe, transparent, and accountable AI-driven development.","DOI":"10.48550/ARXIV.2508.11824","license":"Creative Commons Attribution 4.0 International","note":"version: 1","publisher":"arXiv","source":"DOI.org (Datacite)","title":"Rethinking Autonomy: Preventing Failures in AI-Driven Software Engineering","title-short":"Rethinking Autonomy","URL":"https://arxiv.org/abs/2508.11824","author":[{"family":"Navneet","given":"Satyam Kumar"},{"family":"Chandra","given":"Joydeep"}],"accessed":{"date-parts":[["2026",9,13]]},"issued":{"date-parts":[["2025"]]}}},{"id":180,"uris":["http://zotero.org/users/local/pcqM5yZa/items/KUIENEZU"],"itemData":{"id":180,"type":"article","abstract":"The emergence of Agentic AI is fundamentally transforming how software is designed, developed, and maintained. Traditional software development methodologies such as Agile, Kanban, ShapeUp, etc, were originally designed for human-centric teams and are increasingly inadequate in environments where autonomous AI agents contribute to planning, coding, testing, and continuous learning. To address this methodological gap, we present \"Agentsway\" a novel software development framework designed for ecosystems where AI agents operate as first-class collaborators. Agentsway introduces a structured lifecycle centered on human orchestration, and privacy-preserving collaboration among specialized AI agents. The framework defines distinct roles for planning, prompting, coding, testing, and fine-tuning agents, each contributing to iterative improvement and adaptive learning throughout the development process. By integrating fine-tuned LLMs that leverage outputs and feedback from different agents throughout the development cycle as part of a retrospective learning process, Agentsway enhances domain-specific reasoning, and explainable decision-making across the entire software development lifecycle. Responsible AI principles are further embedded across the agents through the coordinated use of multiple fine-tuned LLMs and advanced reasoning models, ensuring balanced, transparent, and accountable decision-making. This work advances software engineering by formalizing agent-centric collaboration, integrating privacy-by-design principles, and defining measurable metrics for productivity and trust. Agentsway represents a foundational step toward the next generation of AI-native, self-improving software development methodologies. To the best of our knowledge, this is the first research effort to introduce a dedicated methodology explicitly designed for AI agent-based software engineering teams.","DOI":"10.48550/ARXIV.2510.23664","license":"Creative Commons Attribution 4.0 International","note":"version: 1","publisher":"arXiv","source":"DOI.org (Datacite)","title":"Agentsway -- Software Development Methodology for AI Agents-based Teams","URL":"https://arxiv.org/abs/2510.23664","author":[{"family":"Bandara","given":"Eranga"},{"family":"Gore","given":"Ross"},{"family":"Liang","given":"Xueping"},{"family":"Rajapakse","given":"Sachini"},{"family":"Kularathne","given":"Isurunima"},{"family":"Karunarathna","given":"Pramoda"},{"family":"Foytik","given":"Peter"},{"family":"Shetty","given":"Sachin"},{"family":"Mukkamala","given":"Ravi"},{"family":"Rahman","given":"Abdul"},{"family":"Hass","given":"Amin"},{"family":"Keong","given":"Ng Wee"},{"family":"De Zoysa","given":"Kasun"},{"family":"Withanage","given":"Aruna"},{"family":"Loganathan","given":"Nilaan"}],"accessed":{"date-parts":[["2026",9,13]]},"issued":{"date-parts":[["2025"]]}}},{"id":181,"uris":["http://zotero.org/users/local/pcqM5yZa/items/HVJ2H2XC"],"itemData":{"id":181,"type":"article","abstract":"The arrival of large language models (LLMs) capable of multi-step reasoning, tool use, and long-horizon planning has produced a qualitative shift in software engineering. Where earlier code-completion tools such as GitHub Copilot operated at the granularity of a line or function, modern agentic systems -- Claude Code, OpenAI Codex CLI, Google Jules, Devin, OpenHands, SWE-agent, MetaGPT, ChatDev, and DeepMind's AlphaEvolve -- operate at the granularity of a repository, a feature, or an algorithm. We synthesize work from Anthropic, OpenAI, Google DeepMind, Microsoft Research, Princeton, Stanford, and the broader academic community to characterize this transition. We propose a six-layer reference architecture for agentic software engineering systems, contrast a traditional Software Development Lifecycle (SDLC) with an emerging Agentic SDLC (A-SDLC), and consolidate empirical evidence on performance (a rise from 1.96% to 78.4% on SWE-bench Verified between October 2023 and April 2026), productivity (13.6%-55.8% time savings across controlled studies), and labor-market impact (49% of jobs sampled by Anthropic in 2026 saw AI used for at least a quarter of their tasks). We argue that the central object of inquiry has shifted from code generation to delegated execution under human supervision, and we identify five open problems -- evaluation, governance, technical debt, skill redistribution, and the economics of attention -- that will determine whether the agentic transition is net-positive for the discipline.","DOI":"10.48550/ARXIV.2604.26275","license":"Creative Commons Attribution 4.0 International","note":"version: 1","publisher":"arXiv","source":"DOI.org (Datacite)","title":"Agentic AI in the Software Development Lifecycle: Architecture, Empirical Evidence, and the Reshaping of Software Engineering","title-short":"Agentic AI in the Software Development Lifecycle","URL":"https://arxiv.org/abs/2604.26275","author":[{"family":"Bhati","given":"Happy"}],"accessed":{"date-parts":[["2026",9,13]]},"issued":{"date-parts":[["2026"]]}}},{"id":183,"uris":["http://zotero.org/users/local/pcqM5yZa/items/5HHF6GDK"],"itemData":{"id":183,"type":"paper-conference","container-title":"2025 7th International Conference on Innovative Data Communication Technologies and Application (ICIDCA)","DOI":"10.1109/ICIDCA66325.2025.11280486","event-title":"2025 7th International Conference on Innovative Data Communication Technologies and Application (ICIDCA)","ISBN":"979-8-3315-1414-3","license":"https://doi.org/10.15223/policy-029","page":"1199-1208","publisher":"IEEE","publisher-place":"Coimbatore, India","source":"DOI.org (Crossref)","title":"Generative AI in Agile Software Development: A Comprehensive Survey","title-short":"Generative AI in Agile Software Development","URL":"https://ieeexplore.ieee.org/document/11280486/","author":[{"family":"Malladi","given":"Nagarjun V."},{"family":"K","given":"Sudheer Reddy"}],"accessed":{"date-parts":[["2026",9,13]]},"issued":{"date-parts":[["2025",10,6]]}}}],"schema":"https://github.com/citation-style-language/schema/raw/master/csl-citation.json"} </w:instrText>
      </w:r>
      <w:r w:rsidR="00A47DDC">
        <w:rPr>
          <w:rFonts w:ascii="Times New Roman" w:eastAsia="Times New Roman" w:hAnsi="Times New Roman" w:cs="Times New Roman"/>
          <w:bCs/>
          <w:sz w:val="26"/>
          <w:lang w:val="es-PE"/>
        </w:rPr>
        <w:fldChar w:fldCharType="separate"/>
      </w:r>
      <w:r w:rsidR="00A47DDC" w:rsidRPr="00A47DDC">
        <w:rPr>
          <w:rFonts w:ascii="Times New Roman" w:hAnsi="Times New Roman" w:cs="Times New Roman"/>
          <w:sz w:val="26"/>
        </w:rPr>
        <w:t>[1], [2], [3], [4]</w:t>
      </w:r>
      <w:r w:rsidR="00A47DDC">
        <w:rPr>
          <w:rFonts w:ascii="Times New Roman" w:eastAsia="Times New Roman" w:hAnsi="Times New Roman" w:cs="Times New Roman"/>
          <w:bCs/>
          <w:sz w:val="26"/>
          <w:lang w:val="es-PE"/>
        </w:rPr>
        <w:fldChar w:fldCharType="end"/>
      </w:r>
      <w:r w:rsidR="00A47DDC">
        <w:rPr>
          <w:rFonts w:ascii="Times New Roman" w:eastAsia="Times New Roman" w:hAnsi="Times New Roman" w:cs="Times New Roman"/>
          <w:bCs/>
          <w:sz w:val="26"/>
          <w:lang w:val="es-PE"/>
        </w:rPr>
        <w:t xml:space="preserve">. </w:t>
      </w:r>
      <w:r w:rsidRPr="00BA7E9C">
        <w:rPr>
          <w:rFonts w:ascii="Times New Roman" w:eastAsia="Times New Roman" w:hAnsi="Times New Roman" w:cs="Times New Roman"/>
          <w:bCs/>
          <w:sz w:val="26"/>
          <w:lang w:val="es-PE"/>
        </w:rPr>
        <w:t xml:space="preserve">En un escenario con un solo desarrollador apoyado por agentes, la evidencia favorece procesos que hagan explícitos los </w:t>
      </w:r>
      <w:proofErr w:type="spellStart"/>
      <w:r w:rsidRPr="00BA7E9C">
        <w:rPr>
          <w:rFonts w:ascii="Times New Roman" w:eastAsia="Times New Roman" w:hAnsi="Times New Roman" w:cs="Times New Roman"/>
          <w:bCs/>
          <w:sz w:val="26"/>
          <w:lang w:val="es-PE"/>
        </w:rPr>
        <w:t>prompts</w:t>
      </w:r>
      <w:proofErr w:type="spellEnd"/>
      <w:r w:rsidRPr="00BA7E9C">
        <w:rPr>
          <w:rFonts w:ascii="Times New Roman" w:eastAsia="Times New Roman" w:hAnsi="Times New Roman" w:cs="Times New Roman"/>
          <w:bCs/>
          <w:sz w:val="26"/>
          <w:lang w:val="es-PE"/>
        </w:rPr>
        <w:t>, los criterios de aceptación, la revisión humana y el versionado, más que ceremonias de coordinación diseñadas para equipos Scrum completos </w:t>
      </w:r>
      <w:r w:rsidR="00A47DDC">
        <w:rPr>
          <w:rFonts w:ascii="Times New Roman" w:eastAsia="Times New Roman" w:hAnsi="Times New Roman" w:cs="Times New Roman"/>
          <w:bCs/>
          <w:sz w:val="26"/>
          <w:lang w:val="es-PE"/>
        </w:rPr>
        <w:fldChar w:fldCharType="begin"/>
      </w:r>
      <w:r w:rsidR="00A47DDC">
        <w:rPr>
          <w:rFonts w:ascii="Times New Roman" w:eastAsia="Times New Roman" w:hAnsi="Times New Roman" w:cs="Times New Roman"/>
          <w:bCs/>
          <w:sz w:val="26"/>
          <w:lang w:val="es-PE"/>
        </w:rPr>
        <w:instrText xml:space="preserve"> ADDIN ZOTERO_ITEM CSL_CITATION {"citationID":"nvosnyn5","properties":{"unsorted":false,"formattedCitation":"[2], [5], [6]","plainCitation":"[2], [5], [6]","noteIndex":0},"citationItems":[{"id":180,"uris":["http://zotero.org/users/local/pcqM5yZa/items/KUIENEZU"],"itemData":{"id":180,"type":"article","abstract":"The emergence of Agentic AI is fundamentally transforming how software is designed, developed, and maintained. Traditional software development methodologies such as Agile, Kanban, ShapeUp, etc, were originally designed for human-centric teams and are increasingly inadequate in environments where autonomous AI agents contribute to planning, coding, testing, and continuous learning. To address this methodological gap, we present \"Agentsway\" a novel software development framework designed for ecosystems where AI agents operate as first-class collaborators. Agentsway introduces a structured lifecycle centered on human orchestration, and privacy-preserving collaboration among specialized AI agents. The framework defines distinct roles for planning, prompting, coding, testing, and fine-tuning agents, each contributing to iterative improvement and adaptive learning throughout the development process. By integrating fine-tuned LLMs that leverage outputs and feedback from different agents throughout the development cycle as part of a retrospective learning process, Agentsway enhances domain-specific reasoning, and explainable decision-making across the entire software development lifecycle. Responsible AI principles are further embedded across the agents through the coordinated use of multiple fine-tuned LLMs and advanced reasoning models, ensuring balanced, transparent, and accountable decision-making. This work advances software engineering by formalizing agent-centric collaboration, integrating privacy-by-design principles, and defining measurable metrics for productivity and trust. Agentsway represents a foundational step toward the next generation of AI-native, self-improving software development methodologies. To the best of our knowledge, this is the first research effort to introduce a dedicated methodology explicitly designed for AI agent-based software engineering teams.","DOI":"10.48550/ARXIV.2510.23664","license":"Creative Commons Attribution 4.0 International","note":"version: 1","publisher":"arXiv","source":"DOI.org (Datacite)","title":"Agentsway -- Software Development Methodology for AI Agents-based Teams","URL":"https://arxiv.org/abs/2510.23664","author":[{"family":"Bandara","given":"Eranga"},{"family":"Gore","given":"Ross"},{"family":"Liang","given":"Xueping"},{"family":"Rajapakse","given":"Sachini"},{"family":"Kularathne","given":"Isurunima"},{"family":"Karunarathna","given":"Pramoda"},{"family":"Foytik","given":"Peter"},{"family":"Shetty","given":"Sachin"},{"family":"Mukkamala","given":"Ravi"},{"family":"Rahman","given":"Abdul"},{"family":"Hass","given":"Amin"},{"family":"Keong","given":"Ng Wee"},{"family":"De Zoysa","given":"Kasun"},{"family":"Withanage","given":"Aruna"},{"family":"Loganathan","given":"Nilaan"}],"accessed":{"date-parts":[["2026",9,13]]},"issued":{"date-parts":[["2025"]]}}},{"id":186,"uris":["http://zotero.org/users/local/pcqM5yZa/items/9SMEZX5P"],"itemData":{"id":186,"type":"article-journal","abstract":"Abstract\n            Teamwork is crucial in software development, particularly in agile development teams which are cross-functional and where team members work intensively together to develop a cohesive software solution. Effective teamwork is not easy; prior studies indicate challenges with communication, learning, prioritization, and leadership. Nevertheless, there is much advice available for teams, from agile methods, practitioner literature, and general studies on teamwork to a growing body of empirical studies on teamwork in the specific context of agile software development. This article presents the agile teamwork effectiveness model (ATEM) for colocated agile development teams. The model is based on evidence from focus groups, case studies, and multi-vocal literature and is a revision of a general team effectiveness model. Our model of agile teamwork effectiveness is composed of shared leadership, team orientation, redundancy, adaptability, and peer feedback. Coordinating mechanisms are needed to facilitate these components. The coordinating mechanisms are shared mental models, communication, and mutual trust. We critically examine the model and discuss extensions for very small, multi-team, distributed, and safety-critical development contexts. The model is intended for researchers, team members, coaches, and leaders in the agile community.","container-title":"Empirical Software Engineering","DOI":"10.1007/s10664-021-10115-0","ISSN":"1382-3256, 1573-7616","issue":"2","journalAbbreviation":"Empir Software Eng","language":"en","page":"56","source":"DOI.org (Crossref)","title":"A teamwork effectiveness model for agile software development","volume":"27","author":[{"family":"Strode","given":"Diane"},{"family":"Dingsøyr","given":"Torgeir"},{"family":"Lindsjorn","given":"Yngve"}],"issued":{"date-parts":[["2022",3]]}}},{"id":188,"uris":["http://zotero.org/users/local/pcqM5yZa/items/CHFJZW73"],"itemData":{"id":188,"type":"article-journal","abstract":"Abstract\n            Software engineering involves more than coding. It encompasses planning, development, communication, and process management. Scrum, the most widely adopted agile methodology, helps teams deliver value iteratively, yet practitioners often struggle with challenges such as maintaining requirement clarity, reducing cognitive load, and managing communication overhead. As artificial intelligence (AI) becomes increasingly integrated into the software engineering lifecycle, its potential to improve productivity, quality, and decision-making is gaining significant attention. Moreover, Scrum offers a structured yet flexible framework, but it remains unclear which AI features can most effectively support its practices in real-world settings. Therefore, this study addresses that gap by identifying and prioritizing key Scrum AI Support Features (SAISFs) based on industry needs. A two-phase research approach was used. First, a focus group with five software engineering industry experts identified 18 relevant SAISFs. Second, a survey using the Kano methodology was conducted with 344 experienced Scrum practitioners to evaluate and prioritize these features. The results were analyzed across three Scrum team size groups: small ( &lt; = 6), medium (7–10), and large (11+), and four functional SAISF groups: Requirements Support (R), Development Support (D), Communication Support (C), and Scrum Process Support (S). The research also provides prioritization of SAISFs according to Scrum roles. Our findings offer actionable insights for designing AI-enhanced tools tailored to Scrum teams, highlighting the importance of considering team size and Scrum roles when prioritizing AI features. This study contributes to the agile software engineering literature by offering a practitioner-informed foundation for integrating AI into Scrum-based project environments. Future Scrum tools may become adaptive and context-aware, automatically tailoring workflows, predicting bottlenecks, and optimizing team communication and performance.","container-title":"Empirical Software Engineering","DOI":"10.1007/s10664-026-10876-6","ISSN":"1382-3256, 1573-7616","issue":"5","journalAbbreviation":"Empir Software Eng","language":"en","page":"138","source":"DOI.org (Crossref)","title":"Key AI features to support scrum software engineering: practitioners’ perspective","title-short":"Key AI features to support scrum software engineering","volume":"31","author":[{"family":"Fujs","given":"Damjan"},{"family":"Kochovski","given":"Petar"},{"family":"Stankovski","given":"Vlado"},{"family":"Vavpotič","given":"Damjan"}],"issued":{"date-parts":[["2026",9]]}}}],"schema":"https://github.com/citation-style-language/schema/raw/master/csl-citation.json"} </w:instrText>
      </w:r>
      <w:r w:rsidR="00A47DDC">
        <w:rPr>
          <w:rFonts w:ascii="Times New Roman" w:eastAsia="Times New Roman" w:hAnsi="Times New Roman" w:cs="Times New Roman"/>
          <w:bCs/>
          <w:sz w:val="26"/>
          <w:lang w:val="es-PE"/>
        </w:rPr>
        <w:fldChar w:fldCharType="separate"/>
      </w:r>
      <w:r w:rsidR="00A47DDC" w:rsidRPr="00A47DDC">
        <w:rPr>
          <w:rFonts w:ascii="Times New Roman" w:hAnsi="Times New Roman" w:cs="Times New Roman"/>
          <w:sz w:val="26"/>
        </w:rPr>
        <w:t>[2], [5], [6]</w:t>
      </w:r>
      <w:r w:rsidR="00A47DDC">
        <w:rPr>
          <w:rFonts w:ascii="Times New Roman" w:eastAsia="Times New Roman" w:hAnsi="Times New Roman" w:cs="Times New Roman"/>
          <w:bCs/>
          <w:sz w:val="26"/>
          <w:lang w:val="es-PE"/>
        </w:rPr>
        <w:fldChar w:fldCharType="end"/>
      </w:r>
      <w:r w:rsidRPr="00BA7E9C">
        <w:rPr>
          <w:rFonts w:ascii="Times New Roman" w:eastAsia="Times New Roman" w:hAnsi="Times New Roman" w:cs="Times New Roman"/>
          <w:bCs/>
          <w:sz w:val="26"/>
          <w:lang w:val="es-PE"/>
        </w:rPr>
        <w:t>.</w:t>
      </w:r>
    </w:p>
    <w:p w:rsidR="00E24534" w:rsidRDefault="003F5A0B">
      <w:pPr>
        <w:spacing w:before="240" w:after="120"/>
        <w:rPr>
          <w:rFonts w:ascii="Times New Roman" w:eastAsia="Times New Roman" w:hAnsi="Times New Roman" w:cs="Times New Roman"/>
          <w:b/>
          <w:bCs/>
          <w:color w:val="1A5F7A"/>
          <w:sz w:val="26"/>
        </w:rPr>
      </w:pPr>
      <w:r>
        <w:rPr>
          <w:rFonts w:ascii="Times New Roman" w:eastAsia="Times New Roman" w:hAnsi="Times New Roman" w:cs="Times New Roman"/>
          <w:b/>
          <w:bCs/>
          <w:color w:val="1A5F7A"/>
          <w:sz w:val="26"/>
        </w:rPr>
        <w:lastRenderedPageBreak/>
        <w:t xml:space="preserve">2.1 </w:t>
      </w:r>
      <w:proofErr w:type="spellStart"/>
      <w:r>
        <w:rPr>
          <w:rFonts w:ascii="Times New Roman" w:eastAsia="Times New Roman" w:hAnsi="Times New Roman" w:cs="Times New Roman"/>
          <w:b/>
          <w:bCs/>
          <w:color w:val="1A5F7A"/>
          <w:sz w:val="26"/>
        </w:rPr>
        <w:t>Problema</w:t>
      </w:r>
      <w:proofErr w:type="spellEnd"/>
      <w:r>
        <w:rPr>
          <w:rFonts w:ascii="Times New Roman" w:eastAsia="Times New Roman" w:hAnsi="Times New Roman" w:cs="Times New Roman"/>
          <w:b/>
          <w:bCs/>
          <w:color w:val="1A5F7A"/>
          <w:sz w:val="26"/>
        </w:rPr>
        <w:t xml:space="preserve"> </w:t>
      </w:r>
      <w:proofErr w:type="spellStart"/>
      <w:r>
        <w:rPr>
          <w:rFonts w:ascii="Times New Roman" w:eastAsia="Times New Roman" w:hAnsi="Times New Roman" w:cs="Times New Roman"/>
          <w:b/>
          <w:bCs/>
          <w:color w:val="1A5F7A"/>
          <w:sz w:val="26"/>
        </w:rPr>
        <w:t>metodológico</w:t>
      </w:r>
      <w:proofErr w:type="spellEnd"/>
    </w:p>
    <w:p w:rsidR="00BA7E9C" w:rsidRPr="00BA7E9C" w:rsidRDefault="00BA7E9C" w:rsidP="00BA7E9C">
      <w:pPr>
        <w:rPr>
          <w:rFonts w:ascii="Times New Roman" w:eastAsia="Times New Roman" w:hAnsi="Times New Roman" w:cs="Times New Roman"/>
          <w:bCs/>
          <w:sz w:val="26"/>
          <w:lang w:val="es-PE"/>
        </w:rPr>
      </w:pPr>
      <w:r w:rsidRPr="00BA7E9C">
        <w:rPr>
          <w:rFonts w:ascii="Times New Roman" w:eastAsia="Times New Roman" w:hAnsi="Times New Roman" w:cs="Times New Roman"/>
          <w:bCs/>
          <w:sz w:val="26"/>
          <w:lang w:val="es-PE"/>
        </w:rPr>
        <w:t xml:space="preserve">El problema metodológico central es que los </w:t>
      </w:r>
      <w:proofErr w:type="spellStart"/>
      <w:r w:rsidRPr="00BA7E9C">
        <w:rPr>
          <w:rFonts w:ascii="Times New Roman" w:eastAsia="Times New Roman" w:hAnsi="Times New Roman" w:cs="Times New Roman"/>
          <w:bCs/>
          <w:sz w:val="26"/>
          <w:lang w:val="es-PE"/>
        </w:rPr>
        <w:t>LLMs</w:t>
      </w:r>
      <w:proofErr w:type="spellEnd"/>
      <w:r w:rsidRPr="00BA7E9C">
        <w:rPr>
          <w:rFonts w:ascii="Times New Roman" w:eastAsia="Times New Roman" w:hAnsi="Times New Roman" w:cs="Times New Roman"/>
          <w:bCs/>
          <w:sz w:val="26"/>
          <w:lang w:val="es-PE"/>
        </w:rPr>
        <w:t xml:space="preserve"> no ejecutan instrucciones con la determinación de un programa tradicional, sino que interpretan lenguaje natural ambiguo, lo que abre una brecha de intención entre lo que el desarrollador quiere y lo que el modelo entiende </w:t>
      </w:r>
      <w:r w:rsidR="00A47DDC">
        <w:rPr>
          <w:rFonts w:ascii="Times New Roman" w:eastAsia="Times New Roman" w:hAnsi="Times New Roman" w:cs="Times New Roman"/>
          <w:bCs/>
          <w:sz w:val="26"/>
          <w:lang w:val="es-PE"/>
        </w:rPr>
        <w:fldChar w:fldCharType="begin"/>
      </w:r>
      <w:r w:rsidR="00A47DDC">
        <w:rPr>
          <w:rFonts w:ascii="Times New Roman" w:eastAsia="Times New Roman" w:hAnsi="Times New Roman" w:cs="Times New Roman"/>
          <w:bCs/>
          <w:sz w:val="26"/>
          <w:lang w:val="es-PE"/>
        </w:rPr>
        <w:instrText xml:space="preserve"> ADDIN ZOTERO_ITEM CSL_CITATION {"citationID":"2tdGWUQT","properties":{"unsorted":false,"formattedCitation":"[1], [3]","plainCitation":"[1], [3]","noteIndex":0},"citationItems":[{"id":179,"uris":["http://zotero.org/users/local/pcqM5yZa/items/TW4HQQXQ"],"itemData":{"id":179,"type":"article","abstract":"The integration of Large Language Models (LLMs) into software engineering has revolutionized code generation, enabling unprecedented productivity through promptware and autonomous AI agents. However, this transformation introduces significant risks, including insecure code generation, hallucinated outputs, irreversible actions, and a lack of transparency and accountability. Incidents like the Replit database deletion underscore the urgent need for robust safety and governance mechanisms. This paper comprehensively analyzes the inherent challenges of LLM-assisted code generation, such as vulnerability inheritance, overtrust, misinterpretation, and the absence of standardized validation and rollback protocols. To address these, we propose the SAFE-AI Framework, a holistic approach emphasizing Safety, Auditability, Feedback, and Explainability. The framework integrates guardrails, sandboxing, runtime verification, risk-aware logging, human-in-the-loop systems, and explainable AI techniques to mitigate risks while fostering trust and compliance. We introduce a novel taxonomy of AI behaviors categorizing suggestive, generative, autonomous, and destructive actions to guide risk assessment and oversight. Additionally, we identify open problems, including the lack of standardized benchmarks for code specific hallucinations and autonomy levels, and propose future research directions for hybrid verification, semantic guardrails, and proactive governance tools. Through detailed comparisons of autonomy control, prompt engineering, explainability, and governance frameworks, this paper provides a roadmap for responsible AI integration in software engineering, aligning with emerging regulations like the EU AI Act and Canada's AIDA to ensure safe, transparent, and accountable AI-driven development.","DOI":"10.48550/ARXIV.2508.11824","license":"Creative Commons Attribution 4.0 International","note":"version: 1","publisher":"arXiv","source":"DOI.org (Datacite)","title":"Rethinking Autonomy: Preventing Failures in AI-Driven Software Engineering","title-short":"Rethinking Autonomy","URL":"https://arxiv.org/abs/2508.11824","author":[{"family":"Navneet","given":"Satyam Kumar"},{"family":"Chandra","given":"Joydeep"}],"accessed":{"date-parts":[["2026",9,13]]},"issued":{"date-parts":[["2025"]]}}},{"id":181,"uris":["http://zotero.org/users/local/pcqM5yZa/items/HVJ2H2XC"],"itemData":{"id":181,"type":"article","abstract":"The arrival of large language models (LLMs) capable of multi-step reasoning, tool use, and long-horizon planning has produced a qualitative shift in software engineering. Where earlier code-completion tools such as GitHub Copilot operated at the granularity of a line or function, modern agentic systems -- Claude Code, OpenAI Codex CLI, Google Jules, Devin, OpenHands, SWE-agent, MetaGPT, ChatDev, and DeepMind's AlphaEvolve -- operate at the granularity of a repository, a feature, or an algorithm. We synthesize work from Anthropic, OpenAI, Google DeepMind, Microsoft Research, Princeton, Stanford, and the broader academic community to characterize this transition. We propose a six-layer reference architecture for agentic software engineering systems, contrast a traditional Software Development Lifecycle (SDLC) with an emerging Agentic SDLC (A-SDLC), and consolidate empirical evidence on performance (a rise from 1.96% to 78.4% on SWE-bench Verified between October 2023 and April 2026), productivity (13.6%-55.8% time savings across controlled studies), and labor-market impact (49% of jobs sampled by Anthropic in 2026 saw AI used for at least a quarter of their tasks). We argue that the central object of inquiry has shifted from code generation to delegated execution under human supervision, and we identify five open problems -- evaluation, governance, technical debt, skill redistribution, and the economics of attention -- that will determine whether the agentic transition is net-positive for the discipline.","DOI":"10.48550/ARXIV.2604.26275","license":"Creative Commons Attribution 4.0 International","note":"version: 1","publisher":"arXiv","source":"DOI.org (Datacite)","title":"Agentic AI in the Software Development Lifecycle: Architecture, Empirical Evidence, and the Reshaping of Software Engineering","title-short":"Agentic AI in the Software Development Lifecycle","URL":"https://arxiv.org/abs/2604.26275","author":[{"family":"Bhati","given":"Happy"}],"accessed":{"date-parts":[["2026",9,13]]},"issued":{"date-parts":[["2026"]]}}}],"schema":"https://github.com/citation-style-language/schema/raw/master/csl-citation.json"} </w:instrText>
      </w:r>
      <w:r w:rsidR="00A47DDC">
        <w:rPr>
          <w:rFonts w:ascii="Times New Roman" w:eastAsia="Times New Roman" w:hAnsi="Times New Roman" w:cs="Times New Roman"/>
          <w:bCs/>
          <w:sz w:val="26"/>
          <w:lang w:val="es-PE"/>
        </w:rPr>
        <w:fldChar w:fldCharType="separate"/>
      </w:r>
      <w:r w:rsidR="00A47DDC" w:rsidRPr="00A47DDC">
        <w:rPr>
          <w:rFonts w:ascii="Times New Roman" w:hAnsi="Times New Roman" w:cs="Times New Roman"/>
          <w:sz w:val="26"/>
        </w:rPr>
        <w:t>[1], [3]</w:t>
      </w:r>
      <w:r w:rsidR="00A47DDC">
        <w:rPr>
          <w:rFonts w:ascii="Times New Roman" w:eastAsia="Times New Roman" w:hAnsi="Times New Roman" w:cs="Times New Roman"/>
          <w:bCs/>
          <w:sz w:val="26"/>
          <w:lang w:val="es-PE"/>
        </w:rPr>
        <w:fldChar w:fldCharType="end"/>
      </w:r>
      <w:r w:rsidRPr="00BA7E9C">
        <w:rPr>
          <w:rFonts w:ascii="Times New Roman" w:eastAsia="Times New Roman" w:hAnsi="Times New Roman" w:cs="Times New Roman"/>
          <w:bCs/>
          <w:sz w:val="26"/>
          <w:lang w:val="es-PE"/>
        </w:rPr>
        <w:t xml:space="preserve">. Esa ambigüedad no es menor: </w:t>
      </w:r>
      <w:proofErr w:type="spellStart"/>
      <w:r w:rsidRPr="00BA7E9C">
        <w:rPr>
          <w:rFonts w:ascii="Times New Roman" w:eastAsia="Times New Roman" w:hAnsi="Times New Roman" w:cs="Times New Roman"/>
          <w:bCs/>
          <w:sz w:val="26"/>
          <w:lang w:val="es-PE"/>
        </w:rPr>
        <w:t>prompts</w:t>
      </w:r>
      <w:proofErr w:type="spellEnd"/>
      <w:r w:rsidRPr="00BA7E9C">
        <w:rPr>
          <w:rFonts w:ascii="Times New Roman" w:eastAsia="Times New Roman" w:hAnsi="Times New Roman" w:cs="Times New Roman"/>
          <w:bCs/>
          <w:sz w:val="26"/>
          <w:lang w:val="es-PE"/>
        </w:rPr>
        <w:t xml:space="preserve"> vagos o incompletos aumentan malinterpretaciones, acciones inesperadas y resultados inseguros, mientras que una menor calidad del </w:t>
      </w:r>
      <w:proofErr w:type="spellStart"/>
      <w:r w:rsidRPr="00BA7E9C">
        <w:rPr>
          <w:rFonts w:ascii="Times New Roman" w:eastAsia="Times New Roman" w:hAnsi="Times New Roman" w:cs="Times New Roman"/>
          <w:bCs/>
          <w:sz w:val="26"/>
          <w:lang w:val="es-PE"/>
        </w:rPr>
        <w:t>prompt</w:t>
      </w:r>
      <w:proofErr w:type="spellEnd"/>
      <w:r w:rsidRPr="00BA7E9C">
        <w:rPr>
          <w:rFonts w:ascii="Times New Roman" w:eastAsia="Times New Roman" w:hAnsi="Times New Roman" w:cs="Times New Roman"/>
          <w:bCs/>
          <w:sz w:val="26"/>
          <w:lang w:val="es-PE"/>
        </w:rPr>
        <w:t xml:space="preserve"> se asocia con mayor probabilidad de generar código vulnerable </w:t>
      </w:r>
      <w:r w:rsidR="00A47DDC">
        <w:rPr>
          <w:rFonts w:ascii="Times New Roman" w:eastAsia="Times New Roman" w:hAnsi="Times New Roman" w:cs="Times New Roman"/>
          <w:bCs/>
          <w:sz w:val="26"/>
          <w:lang w:val="es-PE"/>
        </w:rPr>
        <w:fldChar w:fldCharType="begin"/>
      </w:r>
      <w:r w:rsidR="00A47DDC">
        <w:rPr>
          <w:rFonts w:ascii="Times New Roman" w:eastAsia="Times New Roman" w:hAnsi="Times New Roman" w:cs="Times New Roman"/>
          <w:bCs/>
          <w:sz w:val="26"/>
          <w:lang w:val="es-PE"/>
        </w:rPr>
        <w:instrText xml:space="preserve"> ADDIN ZOTERO_ITEM CSL_CITATION {"citationID":"UCZmQ8HX","properties":{"unsorted":false,"formattedCitation":"[1], [7]","plainCitation":"[1], [7]","noteIndex":0},"citationItems":[{"id":179,"uris":["http://zotero.org/users/local/pcqM5yZa/items/TW4HQQXQ"],"itemData":{"id":179,"type":"article","abstract":"The integration of Large Language Models (LLMs) into software engineering has revolutionized code generation, enabling unprecedented productivity through promptware and autonomous AI agents. However, this transformation introduces significant risks, including insecure code generation, hallucinated outputs, irreversible actions, and a lack of transparency and accountability. Incidents like the Replit database deletion underscore the urgent need for robust safety and governance mechanisms. This paper comprehensively analyzes the inherent challenges of LLM-assisted code generation, such as vulnerability inheritance, overtrust, misinterpretation, and the absence of standardized validation and rollback protocols. To address these, we propose the SAFE-AI Framework, a holistic approach emphasizing Safety, Auditability, Feedback, and Explainability. The framework integrates guardrails, sandboxing, runtime verification, risk-aware logging, human-in-the-loop systems, and explainable AI techniques to mitigate risks while fostering trust and compliance. We introduce a novel taxonomy of AI behaviors categorizing suggestive, generative, autonomous, and destructive actions to guide risk assessment and oversight. Additionally, we identify open problems, including the lack of standardized benchmarks for code specific hallucinations and autonomy levels, and propose future research directions for hybrid verification, semantic guardrails, and proactive governance tools. Through detailed comparisons of autonomy control, prompt engineering, explainability, and governance frameworks, this paper provides a roadmap for responsible AI integration in software engineering, aligning with emerging regulations like the EU AI Act and Canada's AIDA to ensure safe, transparent, and accountable AI-driven development.","DOI":"10.48550/ARXIV.2508.11824","license":"Creative Commons Attribution 4.0 International","note":"version: 1","publisher":"arXiv","source":"DOI.org (Datacite)","title":"Rethinking Autonomy: Preventing Failures in AI-Driven Software Engineering","title-short":"Rethinking Autonomy","URL":"https://arxiv.org/abs/2508.11824","author":[{"family":"Navneet","given":"Satyam Kumar"},{"family":"Chandra","given":"Joydeep"}],"accessed":{"date-parts":[["2026",9,13]]},"issued":{"date-parts":[["2025"]]}}},{"id":190,"uris":["http://zotero.org/users/local/pcqM5yZa/items/ERY7SHQH"],"itemData":{"id":190,"type":"article-journal","container-title":"Empirical Software Engineering","DOI":"10.1007/s10664-026-10866-8","ISSN":"1382-3256, 1573-7616","issue":"6","journalAbbreviation":"Empir Software Eng","language":"en","page":"172","source":"DOI.org (Crossref)","title":"Is your prompt poisoning code? Defect induction rates and security mitigation strategies","title-short":"Is your prompt poisoning code?","volume":"31","author":[{"family":"Wang","given":"Bin"},{"family":"Zhong","given":"YiLu"},{"family":"Wan","given":"MiDi"},{"family":"Yu","given":"WenJie"},{"family":"Ouyang","given":"YuanBing"},{"family":"Huang","given":"YeNan"},{"family":"Wu","given":"HuiYu"},{"family":"Li","given":"Hui"}],"issued":{"date-parts":[["2026",11]]}}}],"schema":"https://github.com/citation-style-language/schema/raw/master/csl-citation.json"} </w:instrText>
      </w:r>
      <w:r w:rsidR="00A47DDC">
        <w:rPr>
          <w:rFonts w:ascii="Times New Roman" w:eastAsia="Times New Roman" w:hAnsi="Times New Roman" w:cs="Times New Roman"/>
          <w:bCs/>
          <w:sz w:val="26"/>
          <w:lang w:val="es-PE"/>
        </w:rPr>
        <w:fldChar w:fldCharType="separate"/>
      </w:r>
      <w:r w:rsidR="00A47DDC" w:rsidRPr="00A47DDC">
        <w:rPr>
          <w:rFonts w:ascii="Times New Roman" w:hAnsi="Times New Roman" w:cs="Times New Roman"/>
          <w:sz w:val="26"/>
        </w:rPr>
        <w:t>[1], [7]</w:t>
      </w:r>
      <w:r w:rsidR="00A47DDC">
        <w:rPr>
          <w:rFonts w:ascii="Times New Roman" w:eastAsia="Times New Roman" w:hAnsi="Times New Roman" w:cs="Times New Roman"/>
          <w:bCs/>
          <w:sz w:val="26"/>
          <w:lang w:val="es-PE"/>
        </w:rPr>
        <w:fldChar w:fldCharType="end"/>
      </w:r>
      <w:r w:rsidRPr="00BA7E9C">
        <w:rPr>
          <w:rFonts w:ascii="Times New Roman" w:eastAsia="Times New Roman" w:hAnsi="Times New Roman" w:cs="Times New Roman"/>
          <w:bCs/>
          <w:sz w:val="26"/>
          <w:lang w:val="es-PE"/>
        </w:rPr>
        <w:t>.</w:t>
      </w:r>
    </w:p>
    <w:p w:rsidR="00BA7E9C" w:rsidRPr="00BA7E9C" w:rsidRDefault="00BA7E9C" w:rsidP="00BA7E9C">
      <w:pPr>
        <w:rPr>
          <w:rFonts w:ascii="Times New Roman" w:eastAsia="Times New Roman" w:hAnsi="Times New Roman" w:cs="Times New Roman"/>
          <w:bCs/>
          <w:sz w:val="26"/>
          <w:lang w:val="es-PE"/>
        </w:rPr>
      </w:pPr>
      <w:r w:rsidRPr="00BA7E9C">
        <w:rPr>
          <w:rFonts w:ascii="Times New Roman" w:eastAsia="Times New Roman" w:hAnsi="Times New Roman" w:cs="Times New Roman"/>
          <w:bCs/>
          <w:sz w:val="26"/>
          <w:lang w:val="es-PE"/>
        </w:rPr>
        <w:t xml:space="preserve">Además, la evidencia de seguridad es suficientemente fuerte como para justificar una metodología más formal: al menos 62.07% de los programas generados en un estudio masivo presentaron vulnerabilidades, y pedir “código seguro” en el </w:t>
      </w:r>
      <w:proofErr w:type="spellStart"/>
      <w:r w:rsidRPr="00BA7E9C">
        <w:rPr>
          <w:rFonts w:ascii="Times New Roman" w:eastAsia="Times New Roman" w:hAnsi="Times New Roman" w:cs="Times New Roman"/>
          <w:bCs/>
          <w:sz w:val="26"/>
          <w:lang w:val="es-PE"/>
        </w:rPr>
        <w:t>prompt</w:t>
      </w:r>
      <w:proofErr w:type="spellEnd"/>
      <w:r w:rsidRPr="00BA7E9C">
        <w:rPr>
          <w:rFonts w:ascii="Times New Roman" w:eastAsia="Times New Roman" w:hAnsi="Times New Roman" w:cs="Times New Roman"/>
          <w:bCs/>
          <w:sz w:val="26"/>
          <w:lang w:val="es-PE"/>
        </w:rPr>
        <w:t xml:space="preserve"> no resolvió de forma fiable los problemas detectados </w:t>
      </w:r>
      <w:r w:rsidR="00A47DDC">
        <w:rPr>
          <w:rFonts w:ascii="Times New Roman" w:eastAsia="Times New Roman" w:hAnsi="Times New Roman" w:cs="Times New Roman"/>
          <w:bCs/>
          <w:sz w:val="26"/>
          <w:lang w:val="es-PE"/>
        </w:rPr>
        <w:fldChar w:fldCharType="begin"/>
      </w:r>
      <w:r w:rsidR="00A47DDC">
        <w:rPr>
          <w:rFonts w:ascii="Times New Roman" w:eastAsia="Times New Roman" w:hAnsi="Times New Roman" w:cs="Times New Roman"/>
          <w:bCs/>
          <w:sz w:val="26"/>
          <w:lang w:val="es-PE"/>
        </w:rPr>
        <w:instrText xml:space="preserve"> ADDIN ZOTERO_ITEM CSL_CITATION {"citationID":"t01hMGwq","properties":{"unsorted":false,"formattedCitation":"[8]","plainCitation":"[8]","noteIndex":0},"citationItems":[{"id":194,"uris":["http://zotero.org/users/local/pcqM5yZa/items/CN8VAQ6X"],"itemData":{"id":194,"type":"article-journal","container-title":"Empirical Software Engineering","DOI":"10.1007/s10664-024-10590-1","ISSN":"1382-3256, 1573-7616","issue":"2","journalAbbreviation":"Empir Software Eng","language":"en","page":"47","source":"DOI.org (Crossref)","title":"How secure is AI-generated code: a large-scale comparison of large language models","title-short":"How secure is AI-generated code","volume":"30","author":[{"family":"Tihanyi","given":"Norbert"},{"family":"Bisztray","given":"Tamas"},{"family":"Ferrag","given":"Mohamed Amine"},{"family":"Jain","given":"Ridhi"},{"family":"Cordeiro","given":"Lucas C."}],"issued":{"date-parts":[["2025",3]]}}}],"schema":"https://github.com/citation-style-language/schema/raw/master/csl-citation.json"} </w:instrText>
      </w:r>
      <w:r w:rsidR="00A47DDC">
        <w:rPr>
          <w:rFonts w:ascii="Times New Roman" w:eastAsia="Times New Roman" w:hAnsi="Times New Roman" w:cs="Times New Roman"/>
          <w:bCs/>
          <w:sz w:val="26"/>
          <w:lang w:val="es-PE"/>
        </w:rPr>
        <w:fldChar w:fldCharType="separate"/>
      </w:r>
      <w:r w:rsidR="00A47DDC" w:rsidRPr="00A47DDC">
        <w:rPr>
          <w:rFonts w:ascii="Times New Roman" w:hAnsi="Times New Roman" w:cs="Times New Roman"/>
          <w:sz w:val="26"/>
        </w:rPr>
        <w:t>[8]</w:t>
      </w:r>
      <w:r w:rsidR="00A47DDC">
        <w:rPr>
          <w:rFonts w:ascii="Times New Roman" w:eastAsia="Times New Roman" w:hAnsi="Times New Roman" w:cs="Times New Roman"/>
          <w:bCs/>
          <w:sz w:val="26"/>
          <w:lang w:val="es-PE"/>
        </w:rPr>
        <w:fldChar w:fldCharType="end"/>
      </w:r>
      <w:r w:rsidRPr="00BA7E9C">
        <w:rPr>
          <w:rFonts w:ascii="Times New Roman" w:eastAsia="Times New Roman" w:hAnsi="Times New Roman" w:cs="Times New Roman"/>
          <w:bCs/>
          <w:sz w:val="26"/>
          <w:lang w:val="es-PE"/>
        </w:rPr>
        <w:t>.</w:t>
      </w:r>
    </w:p>
    <w:p w:rsidR="00BA7E9C" w:rsidRPr="00BA7E9C" w:rsidRDefault="00BA7E9C" w:rsidP="00BA7E9C">
      <w:pPr>
        <w:rPr>
          <w:rFonts w:ascii="Times New Roman" w:eastAsia="Times New Roman" w:hAnsi="Times New Roman" w:cs="Times New Roman"/>
          <w:b/>
          <w:bCs/>
          <w:sz w:val="26"/>
          <w:lang w:val="es-PE"/>
        </w:rPr>
      </w:pPr>
      <w:r w:rsidRPr="00BA7E9C">
        <w:rPr>
          <w:rFonts w:ascii="Times New Roman" w:eastAsia="Times New Roman" w:hAnsi="Times New Roman" w:cs="Times New Roman"/>
          <w:b/>
          <w:bCs/>
          <w:sz w:val="26"/>
          <w:lang w:val="es-PE"/>
        </w:rPr>
        <w:t xml:space="preserve">Por Qué un Proceso Centrado en </w:t>
      </w:r>
      <w:proofErr w:type="spellStart"/>
      <w:r w:rsidRPr="00BA7E9C">
        <w:rPr>
          <w:rFonts w:ascii="Times New Roman" w:eastAsia="Times New Roman" w:hAnsi="Times New Roman" w:cs="Times New Roman"/>
          <w:b/>
          <w:bCs/>
          <w:sz w:val="26"/>
          <w:lang w:val="es-PE"/>
        </w:rPr>
        <w:t>Prompts</w:t>
      </w:r>
      <w:proofErr w:type="spellEnd"/>
    </w:p>
    <w:p w:rsidR="00BA7E9C" w:rsidRPr="00BA7E9C" w:rsidRDefault="00BA7E9C" w:rsidP="00BA7E9C">
      <w:pPr>
        <w:rPr>
          <w:rFonts w:ascii="Times New Roman" w:eastAsia="Times New Roman" w:hAnsi="Times New Roman" w:cs="Times New Roman"/>
          <w:bCs/>
          <w:sz w:val="26"/>
          <w:lang w:val="es-PE"/>
        </w:rPr>
      </w:pPr>
      <w:r w:rsidRPr="00BA7E9C">
        <w:rPr>
          <w:rFonts w:ascii="Times New Roman" w:eastAsia="Times New Roman" w:hAnsi="Times New Roman" w:cs="Times New Roman"/>
          <w:bCs/>
          <w:sz w:val="26"/>
          <w:lang w:val="es-PE"/>
        </w:rPr>
        <w:t xml:space="preserve">Frente a ese problema, varios trabajos proponen pasar del ensayo y error a un proceso estructurado donde el </w:t>
      </w:r>
      <w:proofErr w:type="spellStart"/>
      <w:r w:rsidRPr="00BA7E9C">
        <w:rPr>
          <w:rFonts w:ascii="Times New Roman" w:eastAsia="Times New Roman" w:hAnsi="Times New Roman" w:cs="Times New Roman"/>
          <w:bCs/>
          <w:sz w:val="26"/>
          <w:lang w:val="es-PE"/>
        </w:rPr>
        <w:t>prompt</w:t>
      </w:r>
      <w:proofErr w:type="spellEnd"/>
      <w:r w:rsidRPr="00BA7E9C">
        <w:rPr>
          <w:rFonts w:ascii="Times New Roman" w:eastAsia="Times New Roman" w:hAnsi="Times New Roman" w:cs="Times New Roman"/>
          <w:bCs/>
          <w:sz w:val="26"/>
          <w:lang w:val="es-PE"/>
        </w:rPr>
        <w:t xml:space="preserve"> se trata como un artefacto de ingeniería que debe definirse, revisarse, probarse, depurarse y evolucionarse </w:t>
      </w:r>
      <w:r w:rsidR="00A47DDC">
        <w:rPr>
          <w:rFonts w:ascii="Times New Roman" w:eastAsia="Times New Roman" w:hAnsi="Times New Roman" w:cs="Times New Roman"/>
          <w:bCs/>
          <w:sz w:val="26"/>
          <w:lang w:val="es-PE"/>
        </w:rPr>
        <w:fldChar w:fldCharType="begin"/>
      </w:r>
      <w:r w:rsidR="00A47DDC">
        <w:rPr>
          <w:rFonts w:ascii="Times New Roman" w:eastAsia="Times New Roman" w:hAnsi="Times New Roman" w:cs="Times New Roman"/>
          <w:bCs/>
          <w:sz w:val="26"/>
          <w:lang w:val="es-PE"/>
        </w:rPr>
        <w:instrText xml:space="preserve"> ADDIN ZOTERO_ITEM CSL_CITATION {"citationID":"BslKu8EH","properties":{"unsorted":false,"formattedCitation":"[1], [9]","plainCitation":"[1], [9]","noteIndex":0},"citationItems":[{"id":179,"uris":["http://zotero.org/users/local/pcqM5yZa/items/TW4HQQXQ"],"itemData":{"id":179,"type":"article","abstract":"The integration of Large Language Models (LLMs) into software engineering has revolutionized code generation, enabling unprecedented productivity through promptware and autonomous AI agents. However, this transformation introduces significant risks, including insecure code generation, hallucinated outputs, irreversible actions, and a lack of transparency and accountability. Incidents like the Replit database deletion underscore the urgent need for robust safety and governance mechanisms. This paper comprehensively analyzes the inherent challenges of LLM-assisted code generation, such as vulnerability inheritance, overtrust, misinterpretation, and the absence of standardized validation and rollback protocols. To address these, we propose the SAFE-AI Framework, a holistic approach emphasizing Safety, Auditability, Feedback, and Explainability. The framework integrates guardrails, sandboxing, runtime verification, risk-aware logging, human-in-the-loop systems, and explainable AI techniques to mitigate risks while fostering trust and compliance. We introduce a novel taxonomy of AI behaviors categorizing suggestive, generative, autonomous, and destructive actions to guide risk assessment and oversight. Additionally, we identify open problems, including the lack of standardized benchmarks for code specific hallucinations and autonomy levels, and propose future research directions for hybrid verification, semantic guardrails, and proactive governance tools. Through detailed comparisons of autonomy control, prompt engineering, explainability, and governance frameworks, this paper provides a roadmap for responsible AI integration in software engineering, aligning with emerging regulations like the EU AI Act and Canada's AIDA to ensure safe, transparent, and accountable AI-driven development.","DOI":"10.48550/ARXIV.2508.11824","license":"Creative Commons Attribution 4.0 International","note":"version: 1","publisher":"arXiv","source":"DOI.org (Datacite)","title":"Rethinking Autonomy: Preventing Failures in AI-Driven Software Engineering","title-short":"Rethinking Autonomy","URL":"https://arxiv.org/abs/2508.11824","author":[{"family":"Navneet","given":"Satyam Kumar"},{"family":"Chandra","given":"Joydeep"}],"accessed":{"date-parts":[["2026",9,13]]},"issued":{"date-parts":[["2025"]]}}},{"id":193,"uris":["http://zotero.org/users/local/pcqM5yZa/items/PH8G5XDS"],"itemData":{"id":193,"type":"paper-conference","container-title":"2025 6th International Conference on Communications, Information, Electronic and Energy Systems (CIEES)","DOI":"10.1109/CIEES66347.2025.11300239","event-title":"2025 6th International Conference on Communications, Information, Electronic and Energy Systems (CIEES)","ISBN":"979-8-3315-0119-8","license":"https://doi.org/10.15223/policy-029","page":"1-5","publisher":"IEEE","publisher-place":"Ruse, Bulgaria","source":"DOI.org (Crossref)","title":"The Prompt–Refactor–Verify (PRV) Cycle: A Human-Centered Framework for AI-Assisted Programming","title-short":"The Prompt–Refactor–Verify (PRV) Cycle","URL":"https://ieeexplore.ieee.org/document/11300239/","author":[{"family":"Yanev","given":"Nikolay"},{"family":"Getova","given":"Iglika"},{"family":"Mihaylova","given":"Elizabet"},{"family":"Kostadinova","given":"Iva"},{"family":"Bankovska","given":"Milena"},{"family":"Dimitrov","given":"Georgi"}],"accessed":{"date-parts":[["2026",9,13]]},"issued":{"date-parts":[["2025",11,26]]}}}],"schema":"https://github.com/citation-style-language/schema/raw/master/csl-citation.json"} </w:instrText>
      </w:r>
      <w:r w:rsidR="00A47DDC">
        <w:rPr>
          <w:rFonts w:ascii="Times New Roman" w:eastAsia="Times New Roman" w:hAnsi="Times New Roman" w:cs="Times New Roman"/>
          <w:bCs/>
          <w:sz w:val="26"/>
          <w:lang w:val="es-PE"/>
        </w:rPr>
        <w:fldChar w:fldCharType="separate"/>
      </w:r>
      <w:r w:rsidR="00A47DDC" w:rsidRPr="00A47DDC">
        <w:rPr>
          <w:rFonts w:ascii="Times New Roman" w:hAnsi="Times New Roman" w:cs="Times New Roman"/>
          <w:sz w:val="26"/>
        </w:rPr>
        <w:t>[1], [9]</w:t>
      </w:r>
      <w:r w:rsidR="00A47DDC">
        <w:rPr>
          <w:rFonts w:ascii="Times New Roman" w:eastAsia="Times New Roman" w:hAnsi="Times New Roman" w:cs="Times New Roman"/>
          <w:bCs/>
          <w:sz w:val="26"/>
          <w:lang w:val="es-PE"/>
        </w:rPr>
        <w:fldChar w:fldCharType="end"/>
      </w:r>
      <w:r w:rsidRPr="00BA7E9C">
        <w:rPr>
          <w:rFonts w:ascii="Times New Roman" w:eastAsia="Times New Roman" w:hAnsi="Times New Roman" w:cs="Times New Roman"/>
          <w:bCs/>
          <w:sz w:val="26"/>
          <w:lang w:val="es-PE"/>
        </w:rPr>
        <w:t xml:space="preserve">. Este enfoque mejora la auditabilidad porque permite versionar </w:t>
      </w:r>
      <w:proofErr w:type="spellStart"/>
      <w:r w:rsidRPr="00BA7E9C">
        <w:rPr>
          <w:rFonts w:ascii="Times New Roman" w:eastAsia="Times New Roman" w:hAnsi="Times New Roman" w:cs="Times New Roman"/>
          <w:bCs/>
          <w:sz w:val="26"/>
          <w:lang w:val="es-PE"/>
        </w:rPr>
        <w:t>prompts</w:t>
      </w:r>
      <w:proofErr w:type="spellEnd"/>
      <w:r w:rsidRPr="00BA7E9C">
        <w:rPr>
          <w:rFonts w:ascii="Times New Roman" w:eastAsia="Times New Roman" w:hAnsi="Times New Roman" w:cs="Times New Roman"/>
          <w:bCs/>
          <w:sz w:val="26"/>
          <w:lang w:val="es-PE"/>
        </w:rPr>
        <w:t xml:space="preserve">, modelos, parámetros y configuraciones, registrar cambios y reproducir comportamientos concretos para depuración, análisis o </w:t>
      </w:r>
      <w:proofErr w:type="spellStart"/>
      <w:r w:rsidRPr="00BA7E9C">
        <w:rPr>
          <w:rFonts w:ascii="Times New Roman" w:eastAsia="Times New Roman" w:hAnsi="Times New Roman" w:cs="Times New Roman"/>
          <w:bCs/>
          <w:sz w:val="26"/>
          <w:lang w:val="es-PE"/>
        </w:rPr>
        <w:t>rollback</w:t>
      </w:r>
      <w:proofErr w:type="spellEnd"/>
      <w:r w:rsidRPr="00BA7E9C">
        <w:rPr>
          <w:rFonts w:ascii="Times New Roman" w:eastAsia="Times New Roman" w:hAnsi="Times New Roman" w:cs="Times New Roman"/>
          <w:bCs/>
          <w:sz w:val="26"/>
          <w:lang w:val="es-PE"/>
        </w:rPr>
        <w:t> </w:t>
      </w:r>
      <w:r w:rsidR="00A47DDC">
        <w:rPr>
          <w:rFonts w:ascii="Times New Roman" w:eastAsia="Times New Roman" w:hAnsi="Times New Roman" w:cs="Times New Roman"/>
          <w:bCs/>
          <w:sz w:val="26"/>
          <w:lang w:val="es-PE"/>
        </w:rPr>
        <w:fldChar w:fldCharType="begin"/>
      </w:r>
      <w:r w:rsidR="00A47DDC">
        <w:rPr>
          <w:rFonts w:ascii="Times New Roman" w:eastAsia="Times New Roman" w:hAnsi="Times New Roman" w:cs="Times New Roman"/>
          <w:bCs/>
          <w:sz w:val="26"/>
          <w:lang w:val="es-PE"/>
        </w:rPr>
        <w:instrText xml:space="preserve"> ADDIN ZOTERO_ITEM CSL_CITATION {"citationID":"qYx9pOMi","properties":{"unsorted":false,"formattedCitation":"[1], [6], [10]","plainCitation":"[1], [6], [10]","noteIndex":0},"citationItems":[{"id":179,"uris":["http://zotero.org/users/local/pcqM5yZa/items/TW4HQQXQ"],"itemData":{"id":179,"type":"article","abstract":"The integration of Large Language Models (LLMs) into software engineering has revolutionized code generation, enabling unprecedented productivity through promptware and autonomous AI agents. However, this transformation introduces significant risks, including insecure code generation, hallucinated outputs, irreversible actions, and a lack of transparency and accountability. Incidents like the Replit database deletion underscore the urgent need for robust safety and governance mechanisms. This paper comprehensively analyzes the inherent challenges of LLM-assisted code generation, such as vulnerability inheritance, overtrust, misinterpretation, and the absence of standardized validation and rollback protocols. To address these, we propose the SAFE-AI Framework, a holistic approach emphasizing Safety, Auditability, Feedback, and Explainability. The framework integrates guardrails, sandboxing, runtime verification, risk-aware logging, human-in-the-loop systems, and explainable AI techniques to mitigate risks while fostering trust and compliance. We introduce a novel taxonomy of AI behaviors categorizing suggestive, generative, autonomous, and destructive actions to guide risk assessment and oversight. Additionally, we identify open problems, including the lack of standardized benchmarks for code specific hallucinations and autonomy levels, and propose future research directions for hybrid verification, semantic guardrails, and proactive governance tools. Through detailed comparisons of autonomy control, prompt engineering, explainability, and governance frameworks, this paper provides a roadmap for responsible AI integration in software engineering, aligning with emerging regulations like the EU AI Act and Canada's AIDA to ensure safe, transparent, and accountable AI-driven development.","DOI":"10.48550/ARXIV.2508.11824","license":"Creative Commons Attribution 4.0 International","note":"version: 1","publisher":"arXiv","source":"DOI.org (Datacite)","title":"Rethinking Autonomy: Preventing Failures in AI-Driven Software Engineering","title-short":"Rethinking Autonomy","URL":"https://arxiv.org/abs/2508.11824","author":[{"family":"Navneet","given":"Satyam Kumar"},{"family":"Chandra","given":"Joydeep"}],"accessed":{"date-parts":[["2026",9,13]]},"issued":{"date-parts":[["2025"]]}}},{"id":188,"uris":["http://zotero.org/users/local/pcqM5yZa/items/CHFJZW73"],"itemData":{"id":188,"type":"article-journal","abstract":"Abstract\n            Software engineering involves more than coding. It encompasses planning, development, communication, and process management. Scrum, the most widely adopted agile methodology, helps teams deliver value iteratively, yet practitioners often struggle with challenges such as maintaining requirement clarity, reducing cognitive load, and managing communication overhead. As artificial intelligence (AI) becomes increasingly integrated into the software engineering lifecycle, its potential to improve productivity, quality, and decision-making is gaining significant attention. Moreover, Scrum offers a structured yet flexible framework, but it remains unclear which AI features can most effectively support its practices in real-world settings. Therefore, this study addresses that gap by identifying and prioritizing key Scrum AI Support Features (SAISFs) based on industry needs. A two-phase research approach was used. First, a focus group with five software engineering industry experts identified 18 relevant SAISFs. Second, a survey using the Kano methodology was conducted with 344 experienced Scrum practitioners to evaluate and prioritize these features. The results were analyzed across three Scrum team size groups: small ( &lt; = 6), medium (7–10), and large (11+), and four functional SAISF groups: Requirements Support (R), Development Support (D), Communication Support (C), and Scrum Process Support (S). The research also provides prioritization of SAISFs according to Scrum roles. Our findings offer actionable insights for designing AI-enhanced tools tailored to Scrum teams, highlighting the importance of considering team size and Scrum roles when prioritizing AI features. This study contributes to the agile software engineering literature by offering a practitioner-informed foundation for integrating AI into Scrum-based project environments. Future Scrum tools may become adaptive and context-aware, automatically tailoring workflows, predicting bottlenecks, and optimizing team communication and performance.","container-title":"Empirical Software Engineering","DOI":"10.1007/s10664-026-10876-6","ISSN":"1382-3256, 1573-7616","issue":"5","journalAbbreviation":"Empir Software Eng","language":"en","page":"138","source":"DOI.org (Crossref)","title":"Key AI features to support scrum software engineering: practitioners’ perspective","title-short":"Key AI features to support scrum software engineering","volume":"31","author":[{"family":"Fujs","given":"Damjan"},{"family":"Kochovski","given":"Petar"},{"family":"Stankovski","given":"Vlado"},{"family":"Vavpotič","given":"Damjan"}],"issued":{"date-parts":[["2026",9]]}}},{"id":197,"uris":["http://zotero.org/users/local/pcqM5yZa/items/SXY8KEUN"],"itemData":{"id":197,"type":"article-journal","abstract":"In software development, the raw requirements proposed by users are frequently incomplete, which impedes the complete implementation of software functionalities. With the emergence of large language models, the exploration of generating software through user requirements has attracted attention. Recent methods with the top-down waterfall model employ a questioning approach for requirement completion, attempting to explore further user requirements. However, users, constrained by their domain knowledge, result in a lack of effective acceptance criteria during the requirement completion, failing to fully capture the implicit needs of the user. Moreover, the cumulative errors of the waterfall model can lead to discrepancies between the generated code and user requirements. The Agile methodologies reduce cumulative errors of the waterfall model through lightweight iteration and collaboration with users, but the challenge lies in ensuring semantic consistency between user requirements and the code generated by the agent. To address these challenges, we propose AgileGen, an agile-based generative software development through human-AI teamwork. Unlike existing questioning agents, AgileGen adopts a novel collaborative approach that breaks free from the constraints of domain knowledge by initiating the end-user perspective to complete the acceptance criteria. By introducing the Gherkin language, AgileGen attempts for the first time to use testable requirement descriptions as a bridge for semantic consistency between requirements and code, aiming to ensure that software products meet actual user requirements by defining user scenarios that include acceptance criteria. Additionally, we innovate in the human-AI teamwork model, allowing users to participate in decision-making processes they do well and significantly enhancing the completeness of software functionality. To ensure semantic consistency between requirements and generated code, we derive consistency factors from Gherkin to drive the subsequent software code generation. Finally, to improve the reliability of user scenarios, we also introduce a memory pool mechanism, collecting user decision-making scenarios and recommending them to new users with similar requirements. AgileGen, as a user-friendly interactive system, significantly outperformed existing best methods by 16.4% and garnered higher user satisfaction.","container-title":"ACM Transactions on Software Engineering and Methodology","DOI":"10.1145/3702987","ISSN":"1049-331X, 1557-7392","issue":"6","journalAbbreviation":"ACM Trans. Softw. Eng. Methodol.","language":"en","page":"1-46","source":"DOI.org (Crossref)","title":"Empowering Agile-Based Generative Software Development through Human-AI Teamwork","volume":"34","author":[{"family":"Zhang","given":"Sai"},{"family":"Xing","given":"Zhenchang"},{"family":"Guo","given":"Ronghui"},{"family":"Xu","given":"Fangzhou"},{"family":"Chen","given":"Lei"},{"family":"Zhang","given":"Zhaoyuan"},{"family":"Zhang","given":"Xiaowang"},{"family":"Feng","given":"Zhiyong"},{"family":"Zhuang","given":"Zhiqiang"}],"issued":{"date-parts":[["2025",7,31]]}}}],"schema":"https://github.com/citation-style-language/schema/raw/master/csl-citation.json"} </w:instrText>
      </w:r>
      <w:r w:rsidR="00A47DDC">
        <w:rPr>
          <w:rFonts w:ascii="Times New Roman" w:eastAsia="Times New Roman" w:hAnsi="Times New Roman" w:cs="Times New Roman"/>
          <w:bCs/>
          <w:sz w:val="26"/>
          <w:lang w:val="es-PE"/>
        </w:rPr>
        <w:fldChar w:fldCharType="separate"/>
      </w:r>
      <w:r w:rsidR="00A47DDC" w:rsidRPr="00A47DDC">
        <w:rPr>
          <w:rFonts w:ascii="Times New Roman" w:hAnsi="Times New Roman" w:cs="Times New Roman"/>
          <w:sz w:val="26"/>
        </w:rPr>
        <w:t>[1], [6], [10]</w:t>
      </w:r>
      <w:r w:rsidR="00A47DDC">
        <w:rPr>
          <w:rFonts w:ascii="Times New Roman" w:eastAsia="Times New Roman" w:hAnsi="Times New Roman" w:cs="Times New Roman"/>
          <w:bCs/>
          <w:sz w:val="26"/>
          <w:lang w:val="es-PE"/>
        </w:rPr>
        <w:fldChar w:fldCharType="end"/>
      </w:r>
      <w:r w:rsidRPr="00BA7E9C">
        <w:rPr>
          <w:rFonts w:ascii="Times New Roman" w:eastAsia="Times New Roman" w:hAnsi="Times New Roman" w:cs="Times New Roman"/>
          <w:bCs/>
          <w:sz w:val="26"/>
          <w:lang w:val="es-PE"/>
        </w:rPr>
        <w:t>.</w:t>
      </w:r>
    </w:p>
    <w:p w:rsidR="00BA7E9C" w:rsidRPr="00BA7E9C" w:rsidRDefault="00BA7E9C" w:rsidP="00BA7E9C">
      <w:pPr>
        <w:rPr>
          <w:rFonts w:ascii="Times New Roman" w:eastAsia="Times New Roman" w:hAnsi="Times New Roman" w:cs="Times New Roman"/>
          <w:bCs/>
          <w:sz w:val="26"/>
          <w:lang w:val="es-PE"/>
        </w:rPr>
      </w:pPr>
      <w:r w:rsidRPr="00BA7E9C">
        <w:rPr>
          <w:rFonts w:ascii="Times New Roman" w:eastAsia="Times New Roman" w:hAnsi="Times New Roman" w:cs="Times New Roman"/>
          <w:bCs/>
          <w:sz w:val="26"/>
          <w:lang w:val="es-PE"/>
        </w:rPr>
        <w:t>La revisión humana sigue siendo necesaria incluso cuando intervienen agentes especializados, porque el código generado puede no alinearse con el backlog, los requisitos o los criterios de aceptación si no se valida explícitamente </w:t>
      </w:r>
      <w:r w:rsidR="00A47DDC">
        <w:rPr>
          <w:rFonts w:ascii="Times New Roman" w:eastAsia="Times New Roman" w:hAnsi="Times New Roman" w:cs="Times New Roman"/>
          <w:bCs/>
          <w:sz w:val="26"/>
          <w:lang w:val="es-PE"/>
        </w:rPr>
        <w:fldChar w:fldCharType="begin"/>
      </w:r>
      <w:r w:rsidR="00A47DDC">
        <w:rPr>
          <w:rFonts w:ascii="Times New Roman" w:eastAsia="Times New Roman" w:hAnsi="Times New Roman" w:cs="Times New Roman"/>
          <w:bCs/>
          <w:sz w:val="26"/>
          <w:lang w:val="es-PE"/>
        </w:rPr>
        <w:instrText xml:space="preserve"> ADDIN ZOTERO_ITEM CSL_CITATION {"citationID":"2jWq5Yd1","properties":{"unsorted":false,"formattedCitation":"[6], [10], [11]","plainCitation":"[6], [10], [11]","noteIndex":0},"citationItems":[{"id":188,"uris":["http://zotero.org/users/local/pcqM5yZa/items/CHFJZW73"],"itemData":{"id":188,"type":"article-journal","abstract":"Abstract\n            Software engineering involves more than coding. It encompasses planning, development, communication, and process management. Scrum, the most widely adopted agile methodology, helps teams deliver value iteratively, yet practitioners often struggle with challenges such as maintaining requirement clarity, reducing cognitive load, and managing communication overhead. As artificial intelligence (AI) becomes increasingly integrated into the software engineering lifecycle, its potential to improve productivity, quality, and decision-making is gaining significant attention. Moreover, Scrum offers a structured yet flexible framework, but it remains unclear which AI features can most effectively support its practices in real-world settings. Therefore, this study addresses that gap by identifying and prioritizing key Scrum AI Support Features (SAISFs) based on industry needs. A two-phase research approach was used. First, a focus group with five software engineering industry experts identified 18 relevant SAISFs. Second, a survey using the Kano methodology was conducted with 344 experienced Scrum practitioners to evaluate and prioritize these features. The results were analyzed across three Scrum team size groups: small ( &lt; = 6), medium (7–10), and large (11+), and four functional SAISF groups: Requirements Support (R), Development Support (D), Communication Support (C), and Scrum Process Support (S). The research also provides prioritization of SAISFs according to Scrum roles. Our findings offer actionable insights for designing AI-enhanced tools tailored to Scrum teams, highlighting the importance of considering team size and Scrum roles when prioritizing AI features. This study contributes to the agile software engineering literature by offering a practitioner-informed foundation for integrating AI into Scrum-based project environments. Future Scrum tools may become adaptive and context-aware, automatically tailoring workflows, predicting bottlenecks, and optimizing team communication and performance.","container-title":"Empirical Software Engineering","DOI":"10.1007/s10664-026-10876-6","ISSN":"1382-3256, 1573-7616","issue":"5","journalAbbreviation":"Empir Software Eng","language":"en","page":"138","source":"DOI.org (Crossref)","title":"Key AI features to support scrum software engineering: practitioners’ perspective","title-short":"Key AI features to support scrum software engineering","volume":"31","author":[{"family":"Fujs","given":"Damjan"},{"family":"Kochovski","given":"Petar"},{"family":"Stankovski","given":"Vlado"},{"family":"Vavpotič","given":"Damjan"}],"issued":{"date-parts":[["2026",9]]}}},{"id":197,"uris":["http://zotero.org/users/local/pcqM5yZa/items/SXY8KEUN"],"itemData":{"id":197,"type":"article-journal","abstract":"In software development, the raw requirements proposed by users are frequently incomplete, which impedes the complete implementation of software functionalities. With the emergence of large language models, the exploration of generating software through user requirements has attracted attention. Recent methods with the top-down waterfall model employ a questioning approach for requirement completion, attempting to explore further user requirements. However, users, constrained by their domain knowledge, result in a lack of effective acceptance criteria during the requirement completion, failing to fully capture the implicit needs of the user. Moreover, the cumulative errors of the waterfall model can lead to discrepancies between the generated code and user requirements. The Agile methodologies reduce cumulative errors of the waterfall model through lightweight iteration and collaboration with users, but the challenge lies in ensuring semantic consistency between user requirements and the code generated by the agent. To address these challenges, we propose AgileGen, an agile-based generative software development through human-AI teamwork. Unlike existing questioning agents, AgileGen adopts a novel collaborative approach that breaks free from the constraints of domain knowledge by initiating the end-user perspective to complete the acceptance criteria. By introducing the Gherkin language, AgileGen attempts for the first time to use testable requirement descriptions as a bridge for semantic consistency between requirements and code, aiming to ensure that software products meet actual user requirements by defining user scenarios that include acceptance criteria. Additionally, we innovate in the human-AI teamwork model, allowing users to participate in decision-making processes they do well and significantly enhancing the completeness of software functionality. To ensure semantic consistency between requirements and generated code, we derive consistency factors from Gherkin to drive the subsequent software code generation. Finally, to improve the reliability of user scenarios, we also introduce a memory pool mechanism, collecting user decision-making scenarios and recommending them to new users with similar requirements. AgileGen, as a user-friendly interactive system, significantly outperformed existing best methods by 16.4% and garnered higher user satisfaction.","container-title":"ACM Transactions on Software Engineering and Methodology","DOI":"10.1145/3702987","ISSN":"1049-331X, 1557-7392","issue":"6","journalAbbreviation":"ACM Trans. Softw. Eng. Methodol.","language":"en","page":"1-46","source":"DOI.org (Crossref)","title":"Empowering Agile-Based Generative Software Development through Human-AI Teamwork","volume":"34","author":[{"family":"Zhang","given":"Sai"},{"family":"Xing","given":"Zhenchang"},{"family":"Guo","given":"Ronghui"},{"family":"Xu","given":"Fangzhou"},{"family":"Chen","given":"Lei"},{"family":"Zhang","given":"Zhaoyuan"},{"family":"Zhang","given":"Xiaowang"},{"family":"Feng","given":"Zhiyong"},{"family":"Zhuang","given":"Zhiqiang"}],"issued":{"date-parts":[["2025",7,31]]}}},{"id":196,"uris":["http://zotero.org/users/local/pcqM5yZa/items/A2NKVDBQ"],"itemData":{"id":196,"type":"paper-conference","container-title":"2025 IEEE/ACM Second International Conference on AI Foundation Models and Software Engineering (Forge)","DOI":"10.1109/Forge66646.2025.00026","event-title":"2025 IEEE/ACM Second International Conference on AI Foundation Models and Software Engineering (Forge)","ISBN":"979-8-3315-0211-9","license":"https://doi.org/10.15223/policy-029","page":"156-167","publisher":"IEEE","publisher-place":"Ottawa, ON, Canada","source":"DOI.org (Crossref)","title":"AgileCoder: Dynamic Collaborative Agents for Software Development based on Agile Methodology","title-short":"AgileCoder","URL":"https://ieeexplore.ieee.org/document/11052788/","author":[{"family":"Nguyen","given":"Minh Huynh"},{"family":"Phan Chau","given":"Thang"},{"family":"Nguyen","given":"Phong X."},{"family":"Bui","given":"Nghi D. Q."}],"accessed":{"date-parts":[["2026",9,13]]},"issued":{"date-parts":[["2025",4,27]]}}}],"schema":"https://github.com/citation-style-language/schema/raw/master/csl-citation.json"} </w:instrText>
      </w:r>
      <w:r w:rsidR="00A47DDC">
        <w:rPr>
          <w:rFonts w:ascii="Times New Roman" w:eastAsia="Times New Roman" w:hAnsi="Times New Roman" w:cs="Times New Roman"/>
          <w:bCs/>
          <w:sz w:val="26"/>
          <w:lang w:val="es-PE"/>
        </w:rPr>
        <w:fldChar w:fldCharType="separate"/>
      </w:r>
      <w:r w:rsidR="00A47DDC" w:rsidRPr="00A47DDC">
        <w:rPr>
          <w:rFonts w:ascii="Times New Roman" w:hAnsi="Times New Roman" w:cs="Times New Roman"/>
          <w:sz w:val="26"/>
        </w:rPr>
        <w:t>[6], [10], [11]</w:t>
      </w:r>
      <w:r w:rsidR="00A47DDC">
        <w:rPr>
          <w:rFonts w:ascii="Times New Roman" w:eastAsia="Times New Roman" w:hAnsi="Times New Roman" w:cs="Times New Roman"/>
          <w:bCs/>
          <w:sz w:val="26"/>
          <w:lang w:val="es-PE"/>
        </w:rPr>
        <w:fldChar w:fldCharType="end"/>
      </w:r>
      <w:r w:rsidRPr="00BA7E9C">
        <w:rPr>
          <w:rFonts w:ascii="Times New Roman" w:eastAsia="Times New Roman" w:hAnsi="Times New Roman" w:cs="Times New Roman"/>
          <w:bCs/>
          <w:sz w:val="26"/>
          <w:lang w:val="es-PE"/>
        </w:rPr>
        <w:t>. Por eso aparecen marcos que incorporan ciclos de </w:t>
      </w:r>
      <w:proofErr w:type="spellStart"/>
      <w:r w:rsidRPr="00BA7E9C">
        <w:rPr>
          <w:rFonts w:ascii="Times New Roman" w:eastAsia="Times New Roman" w:hAnsi="Times New Roman" w:cs="Times New Roman"/>
          <w:bCs/>
          <w:sz w:val="26"/>
          <w:lang w:val="es-PE"/>
        </w:rPr>
        <w:t>prompt</w:t>
      </w:r>
      <w:proofErr w:type="spellEnd"/>
      <w:r w:rsidRPr="00BA7E9C">
        <w:rPr>
          <w:rFonts w:ascii="Times New Roman" w:eastAsia="Times New Roman" w:hAnsi="Times New Roman" w:cs="Times New Roman"/>
          <w:bCs/>
          <w:sz w:val="26"/>
          <w:lang w:val="es-PE"/>
        </w:rPr>
        <w:t>–</w:t>
      </w:r>
      <w:proofErr w:type="spellStart"/>
      <w:r w:rsidRPr="00BA7E9C">
        <w:rPr>
          <w:rFonts w:ascii="Times New Roman" w:eastAsia="Times New Roman" w:hAnsi="Times New Roman" w:cs="Times New Roman"/>
          <w:bCs/>
          <w:sz w:val="26"/>
          <w:lang w:val="es-PE"/>
        </w:rPr>
        <w:t>refactor</w:t>
      </w:r>
      <w:proofErr w:type="spellEnd"/>
      <w:r w:rsidRPr="00BA7E9C">
        <w:rPr>
          <w:rFonts w:ascii="Times New Roman" w:eastAsia="Times New Roman" w:hAnsi="Times New Roman" w:cs="Times New Roman"/>
          <w:bCs/>
          <w:sz w:val="26"/>
          <w:lang w:val="es-PE"/>
        </w:rPr>
        <w:t>–</w:t>
      </w:r>
      <w:proofErr w:type="spellStart"/>
      <w:r w:rsidRPr="00BA7E9C">
        <w:rPr>
          <w:rFonts w:ascii="Times New Roman" w:eastAsia="Times New Roman" w:hAnsi="Times New Roman" w:cs="Times New Roman"/>
          <w:bCs/>
          <w:sz w:val="26"/>
          <w:lang w:val="es-PE"/>
        </w:rPr>
        <w:t>verify</w:t>
      </w:r>
      <w:proofErr w:type="spellEnd"/>
      <w:r w:rsidRPr="00BA7E9C">
        <w:rPr>
          <w:rFonts w:ascii="Times New Roman" w:eastAsia="Times New Roman" w:hAnsi="Times New Roman" w:cs="Times New Roman"/>
          <w:bCs/>
          <w:sz w:val="26"/>
          <w:lang w:val="es-PE"/>
        </w:rPr>
        <w:t xml:space="preserve">, validación contra historias de usuario, criterios de aceptación en </w:t>
      </w:r>
      <w:proofErr w:type="spellStart"/>
      <w:r w:rsidRPr="00BA7E9C">
        <w:rPr>
          <w:rFonts w:ascii="Times New Roman" w:eastAsia="Times New Roman" w:hAnsi="Times New Roman" w:cs="Times New Roman"/>
          <w:bCs/>
          <w:sz w:val="26"/>
          <w:lang w:val="es-PE"/>
        </w:rPr>
        <w:t>Gherkin</w:t>
      </w:r>
      <w:proofErr w:type="spellEnd"/>
      <w:r w:rsidRPr="00BA7E9C">
        <w:rPr>
          <w:rFonts w:ascii="Times New Roman" w:eastAsia="Times New Roman" w:hAnsi="Times New Roman" w:cs="Times New Roman"/>
          <w:bCs/>
          <w:sz w:val="26"/>
          <w:lang w:val="es-PE"/>
        </w:rPr>
        <w:t>, retroalimentación continua y puntos de decisión humana para contener errores y mantener consistencia semántica entre requerimientos y código </w:t>
      </w:r>
      <w:r w:rsidR="00A47DDC">
        <w:rPr>
          <w:rFonts w:ascii="Times New Roman" w:eastAsia="Times New Roman" w:hAnsi="Times New Roman" w:cs="Times New Roman"/>
          <w:bCs/>
          <w:sz w:val="26"/>
          <w:lang w:val="es-PE"/>
        </w:rPr>
        <w:fldChar w:fldCharType="begin"/>
      </w:r>
      <w:r w:rsidR="00A47DDC">
        <w:rPr>
          <w:rFonts w:ascii="Times New Roman" w:eastAsia="Times New Roman" w:hAnsi="Times New Roman" w:cs="Times New Roman"/>
          <w:bCs/>
          <w:sz w:val="26"/>
          <w:lang w:val="es-PE"/>
        </w:rPr>
        <w:instrText xml:space="preserve"> ADDIN ZOTERO_ITEM CSL_CITATION {"citationID":"uSB2dqnp","properties":{"unsorted":false,"formattedCitation":"[6], [9], [10]","plainCitation":"[6], [9], [10]","noteIndex":0},"citationItems":[{"id":188,"uris":["http://zotero.org/users/local/pcqM5yZa/items/CHFJZW73"],"itemData":{"id":188,"type":"article-journal","abstract":"Abstract\n            Software engineering involves more than coding. It encompasses planning, development, communication, and process management. Scrum, the most widely adopted agile methodology, helps teams deliver value iteratively, yet practitioners often struggle with challenges such as maintaining requirement clarity, reducing cognitive load, and managing communication overhead. As artificial intelligence (AI) becomes increasingly integrated into the software engineering lifecycle, its potential to improve productivity, quality, and decision-making is gaining significant attention. Moreover, Scrum offers a structured yet flexible framework, but it remains unclear which AI features can most effectively support its practices in real-world settings. Therefore, this study addresses that gap by identifying and prioritizing key Scrum AI Support Features (SAISFs) based on industry needs. A two-phase research approach was used. First, a focus group with five software engineering industry experts identified 18 relevant SAISFs. Second, a survey using the Kano methodology was conducted with 344 experienced Scrum practitioners to evaluate and prioritize these features. The results were analyzed across three Scrum team size groups: small ( &lt; = 6), medium (7–10), and large (11+), and four functional SAISF groups: Requirements Support (R), Development Support (D), Communication Support (C), and Scrum Process Support (S). The research also provides prioritization of SAISFs according to Scrum roles. Our findings offer actionable insights for designing AI-enhanced tools tailored to Scrum teams, highlighting the importance of considering team size and Scrum roles when prioritizing AI features. This study contributes to the agile software engineering literature by offering a practitioner-informed foundation for integrating AI into Scrum-based project environments. Future Scrum tools may become adaptive and context-aware, automatically tailoring workflows, predicting bottlenecks, and optimizing team communication and performance.","container-title":"Empirical Software Engineering","DOI":"10.1007/s10664-026-10876-6","ISSN":"1382-3256, 1573-7616","issue":"5","journalAbbreviation":"Empir Software Eng","language":"en","page":"138","source":"DOI.org (Crossref)","title":"Key AI features to support scrum software engineering: practitioners’ perspective","title-short":"Key AI features to support scrum software engineering","volume":"31","author":[{"family":"Fujs","given":"Damjan"},{"family":"Kochovski","given":"Petar"},{"family":"Stankovski","given":"Vlado"},{"family":"Vavpotič","given":"Damjan"}],"issued":{"date-parts":[["2026",9]]}}},{"id":193,"uris":["http://zotero.org/users/local/pcqM5yZa/items/PH8G5XDS"],"itemData":{"id":193,"type":"paper-conference","container-title":"2025 6th International Conference on Communications, Information, Electronic and Energy Systems (CIEES)","DOI":"10.1109/CIEES66347.2025.11300239","event-title":"2025 6th International Conference on Communications, Information, Electronic and Energy Systems (CIEES)","ISBN":"979-8-3315-0119-8","license":"https://doi.org/10.15223/policy-029","page":"1-5","publisher":"IEEE","publisher-place":"Ruse, Bulgaria","source":"DOI.org (Crossref)","title":"The Prompt–Refactor–Verify (PRV) Cycle: A Human-Centered Framework for AI-Assisted Programming","title-short":"The Prompt–Refactor–Verify (PRV) Cycle","URL":"https://ieeexplore.ieee.org/document/11300239/","author":[{"family":"Yanev","given":"Nikolay"},{"family":"Getova","given":"Iglika"},{"family":"Mihaylova","given":"Elizabet"},{"family":"Kostadinova","given":"Iva"},{"family":"Bankovska","given":"Milena"},{"family":"Dimitrov","given":"Georgi"}],"accessed":{"date-parts":[["2026",9,13]]},"issued":{"date-parts":[["2025",11,26]]}}},{"id":197,"uris":["http://zotero.org/users/local/pcqM5yZa/items/SXY8KEUN"],"itemData":{"id":197,"type":"article-journal","abstract":"In software development, the raw requirements proposed by users are frequently incomplete, which impedes the complete implementation of software functionalities. With the emergence of large language models, the exploration of generating software through user requirements has attracted attention. Recent methods with the top-down waterfall model employ a questioning approach for requirement completion, attempting to explore further user requirements. However, users, constrained by their domain knowledge, result in a lack of effective acceptance criteria during the requirement completion, failing to fully capture the implicit needs of the user. Moreover, the cumulative errors of the waterfall model can lead to discrepancies between the generated code and user requirements. The Agile methodologies reduce cumulative errors of the waterfall model through lightweight iteration and collaboration with users, but the challenge lies in ensuring semantic consistency between user requirements and the code generated by the agent. To address these challenges, we propose AgileGen, an agile-based generative software development through human-AI teamwork. Unlike existing questioning agents, AgileGen adopts a novel collaborative approach that breaks free from the constraints of domain knowledge by initiating the end-user perspective to complete the acceptance criteria. By introducing the Gherkin language, AgileGen attempts for the first time to use testable requirement descriptions as a bridge for semantic consistency between requirements and code, aiming to ensure that software products meet actual user requirements by defining user scenarios that include acceptance criteria. Additionally, we innovate in the human-AI teamwork model, allowing users to participate in decision-making processes they do well and significantly enhancing the completeness of software functionality. To ensure semantic consistency between requirements and generated code, we derive consistency factors from Gherkin to drive the subsequent software code generation. Finally, to improve the reliability of user scenarios, we also introduce a memory pool mechanism, collecting user decision-making scenarios and recommending them to new users with similar requirements. AgileGen, as a user-friendly interactive system, significantly outperformed existing best methods by 16.4% and garnered higher user satisfaction.","container-title":"ACM Transactions on Software Engineering and Methodology","DOI":"10.1145/3702987","ISSN":"1049-331X, 1557-7392","issue":"6","journalAbbreviation":"ACM Trans. Softw. Eng. Methodol.","language":"en","page":"1-46","source":"DOI.org (Crossref)","title":"Empowering Agile-Based Generative Software Development through Human-AI Teamwork","volume":"34","author":[{"family":"Zhang","given":"Sai"},{"family":"Xing","given":"Zhenchang"},{"family":"Guo","given":"Ronghui"},{"family":"Xu","given":"Fangzhou"},{"family":"Chen","given":"Lei"},{"family":"Zhang","given":"Zhaoyuan"},{"family":"Zhang","given":"Xiaowang"},{"family":"Feng","given":"Zhiyong"},{"family":"Zhuang","given":"Zhiqiang"}],"issued":{"date-parts":[["2025",7,31]]}}}],"schema":"https://github.com/citation-style-language/schema/raw/master/csl-citation.json"} </w:instrText>
      </w:r>
      <w:r w:rsidR="00A47DDC">
        <w:rPr>
          <w:rFonts w:ascii="Times New Roman" w:eastAsia="Times New Roman" w:hAnsi="Times New Roman" w:cs="Times New Roman"/>
          <w:bCs/>
          <w:sz w:val="26"/>
          <w:lang w:val="es-PE"/>
        </w:rPr>
        <w:fldChar w:fldCharType="separate"/>
      </w:r>
      <w:r w:rsidR="00A47DDC" w:rsidRPr="00A47DDC">
        <w:rPr>
          <w:rFonts w:ascii="Times New Roman" w:hAnsi="Times New Roman" w:cs="Times New Roman"/>
          <w:sz w:val="26"/>
        </w:rPr>
        <w:t>[6], [9], [10]</w:t>
      </w:r>
      <w:r w:rsidR="00A47DDC">
        <w:rPr>
          <w:rFonts w:ascii="Times New Roman" w:eastAsia="Times New Roman" w:hAnsi="Times New Roman" w:cs="Times New Roman"/>
          <w:bCs/>
          <w:sz w:val="26"/>
          <w:lang w:val="es-PE"/>
        </w:rPr>
        <w:fldChar w:fldCharType="end"/>
      </w:r>
      <w:r w:rsidRPr="00BA7E9C">
        <w:rPr>
          <w:rFonts w:ascii="Times New Roman" w:eastAsia="Times New Roman" w:hAnsi="Times New Roman" w:cs="Times New Roman"/>
          <w:bCs/>
          <w:sz w:val="26"/>
          <w:lang w:val="es-PE"/>
        </w:rPr>
        <w:t>.</w:t>
      </w:r>
    </w:p>
    <w:p w:rsidR="00BA7E9C" w:rsidRPr="00BA7E9C" w:rsidRDefault="00BA7E9C" w:rsidP="00BA7E9C">
      <w:pPr>
        <w:rPr>
          <w:rFonts w:ascii="Times New Roman" w:eastAsia="Times New Roman" w:hAnsi="Times New Roman" w:cs="Times New Roman"/>
          <w:b/>
          <w:bCs/>
          <w:sz w:val="26"/>
          <w:lang w:val="es-PE"/>
        </w:rPr>
      </w:pPr>
      <w:r w:rsidRPr="00BA7E9C">
        <w:rPr>
          <w:rFonts w:ascii="Times New Roman" w:eastAsia="Times New Roman" w:hAnsi="Times New Roman" w:cs="Times New Roman"/>
          <w:b/>
          <w:bCs/>
          <w:sz w:val="26"/>
          <w:lang w:val="es-PE"/>
        </w:rPr>
        <w:t>Ajuste Frente a Scrum</w:t>
      </w:r>
    </w:p>
    <w:tbl>
      <w:tblPr>
        <w:tblW w:w="0" w:type="auto"/>
        <w:tblBorders>
          <w:top w:val="single" w:sz="2" w:space="0" w:color="auto"/>
          <w:left w:val="single" w:sz="2" w:space="0" w:color="auto"/>
          <w:bottom w:val="single" w:sz="6" w:space="0" w:color="auto"/>
          <w:right w:val="single" w:sz="2" w:space="0" w:color="auto"/>
        </w:tblBorders>
        <w:tblCellMar>
          <w:left w:w="0" w:type="dxa"/>
          <w:right w:w="0" w:type="dxa"/>
        </w:tblCellMar>
        <w:tblLook w:val="04A0" w:firstRow="1" w:lastRow="0" w:firstColumn="1" w:lastColumn="0" w:noHBand="0" w:noVBand="1"/>
      </w:tblPr>
      <w:tblGrid>
        <w:gridCol w:w="2098"/>
        <w:gridCol w:w="3784"/>
        <w:gridCol w:w="3449"/>
      </w:tblGrid>
      <w:tr w:rsidR="00BA7E9C" w:rsidRPr="00BA7E9C" w:rsidTr="00BA7E9C">
        <w:trPr>
          <w:tblHeader/>
        </w:trPr>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rsidR="00BA7E9C" w:rsidRPr="00BA7E9C" w:rsidRDefault="00BA7E9C" w:rsidP="00BA7E9C">
            <w:pPr>
              <w:rPr>
                <w:rFonts w:ascii="Times New Roman" w:eastAsia="Times New Roman" w:hAnsi="Times New Roman" w:cs="Times New Roman"/>
                <w:b/>
                <w:bCs/>
                <w:sz w:val="26"/>
                <w:lang w:val="es-PE"/>
              </w:rPr>
            </w:pPr>
            <w:r w:rsidRPr="00BA7E9C">
              <w:rPr>
                <w:rFonts w:ascii="Times New Roman" w:eastAsia="Times New Roman" w:hAnsi="Times New Roman" w:cs="Times New Roman"/>
                <w:bCs/>
                <w:color w:val="1A1A1A"/>
                <w:sz w:val="16"/>
                <w:lang w:val="es-PE"/>
              </w:rPr>
              <w:t>Aspecto</w:t>
            </w:r>
          </w:p>
        </w:tc>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rsidR="00BA7E9C" w:rsidRPr="00BA7E9C" w:rsidRDefault="00BA7E9C" w:rsidP="00BA7E9C">
            <w:pPr>
              <w:rPr>
                <w:rFonts w:ascii="Times New Roman" w:eastAsia="Times New Roman" w:hAnsi="Times New Roman" w:cs="Times New Roman"/>
                <w:b/>
                <w:bCs/>
                <w:sz w:val="26"/>
                <w:lang w:val="es-PE"/>
              </w:rPr>
            </w:pPr>
            <w:r w:rsidRPr="00BA7E9C">
              <w:rPr>
                <w:rFonts w:ascii="Times New Roman" w:eastAsia="Times New Roman" w:hAnsi="Times New Roman" w:cs="Times New Roman"/>
                <w:bCs/>
                <w:color w:val="1A1A1A"/>
                <w:sz w:val="16"/>
                <w:lang w:val="es-PE"/>
              </w:rPr>
              <w:t>Scrum clásico</w:t>
            </w:r>
          </w:p>
        </w:tc>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rsidR="00BA7E9C" w:rsidRPr="00BA7E9C" w:rsidRDefault="00BA7E9C" w:rsidP="00BA7E9C">
            <w:pPr>
              <w:rPr>
                <w:rFonts w:ascii="Times New Roman" w:eastAsia="Times New Roman" w:hAnsi="Times New Roman" w:cs="Times New Roman"/>
                <w:b/>
                <w:bCs/>
                <w:sz w:val="26"/>
                <w:lang w:val="es-PE"/>
              </w:rPr>
            </w:pPr>
            <w:r w:rsidRPr="00BA7E9C">
              <w:rPr>
                <w:rFonts w:ascii="Times New Roman" w:eastAsia="Times New Roman" w:hAnsi="Times New Roman" w:cs="Times New Roman"/>
                <w:bCs/>
                <w:color w:val="1A1A1A"/>
                <w:sz w:val="16"/>
                <w:lang w:val="es-PE"/>
              </w:rPr>
              <w:t>Este caso (</w:t>
            </w:r>
            <w:proofErr w:type="spellStart"/>
            <w:r w:rsidRPr="00BA7E9C">
              <w:rPr>
                <w:rFonts w:ascii="Times New Roman" w:eastAsia="Times New Roman" w:hAnsi="Times New Roman" w:cs="Times New Roman"/>
                <w:bCs/>
                <w:color w:val="1A1A1A"/>
                <w:sz w:val="16"/>
                <w:lang w:val="es-PE"/>
              </w:rPr>
              <w:t>Prompt-Centered</w:t>
            </w:r>
            <w:proofErr w:type="spellEnd"/>
            <w:r w:rsidRPr="00BA7E9C">
              <w:rPr>
                <w:rFonts w:ascii="Times New Roman" w:eastAsia="Times New Roman" w:hAnsi="Times New Roman" w:cs="Times New Roman"/>
                <w:bCs/>
                <w:color w:val="1A1A1A"/>
                <w:sz w:val="16"/>
                <w:lang w:val="es-PE"/>
              </w:rPr>
              <w:t>)</w:t>
            </w:r>
          </w:p>
        </w:tc>
      </w:tr>
      <w:tr w:rsidR="003D610D">
        <w:tc>
          <w:tcPr>
            <w:tcW w:w="2098" w:type="dxa"/>
          </w:tcPr>
          <w:p w:rsidR="003D610D" w:rsidRDefault="003E19C5">
            <w:r>
              <w:rPr>
                <w:rFonts w:ascii="Times New Roman" w:eastAsia="Times New Roman" w:hAnsi="Times New Roman"/>
                <w:color w:val="1A1A1A"/>
                <w:sz w:val="16"/>
              </w:rPr>
              <w:t>Unidad de trabajo</w:t>
            </w:r>
          </w:p>
        </w:tc>
        <w:tc>
          <w:tcPr>
            <w:tcW w:w="3784" w:type="dxa"/>
          </w:tcPr>
          <w:p w:rsidR="003D610D" w:rsidRDefault="003E19C5">
            <w:r>
              <w:rPr>
                <w:rFonts w:ascii="Times New Roman" w:eastAsia="Times New Roman" w:hAnsi="Times New Roman"/>
                <w:color w:val="1A1A1A"/>
                <w:sz w:val="16"/>
              </w:rPr>
              <w:t>Sprints de 1 a 4 semanas</w:t>
            </w:r>
          </w:p>
        </w:tc>
        <w:tc>
          <w:tcPr>
            <w:tcW w:w="3449" w:type="dxa"/>
          </w:tcPr>
          <w:p w:rsidR="003D610D" w:rsidRDefault="003E19C5">
            <w:r>
              <w:rPr>
                <w:rFonts w:ascii="Times New Roman" w:eastAsia="Times New Roman" w:hAnsi="Times New Roman"/>
                <w:color w:val="1A1A1A"/>
                <w:sz w:val="16"/>
              </w:rPr>
              <w:t>Incrementos 0.1.0–0.9.1, sin caja fija de dos semanas</w:t>
            </w:r>
          </w:p>
        </w:tc>
      </w:tr>
      <w:tr w:rsidR="003D610D">
        <w:tc>
          <w:tcPr>
            <w:tcW w:w="2098" w:type="dxa"/>
          </w:tcPr>
          <w:p w:rsidR="003D610D" w:rsidRDefault="003E19C5">
            <w:r>
              <w:rPr>
                <w:rFonts w:ascii="Times New Roman" w:eastAsia="Times New Roman" w:hAnsi="Times New Roman"/>
                <w:color w:val="1A1A1A"/>
                <w:sz w:val="16"/>
              </w:rPr>
              <w:t>Coordinación</w:t>
            </w:r>
          </w:p>
        </w:tc>
        <w:tc>
          <w:tcPr>
            <w:tcW w:w="3784" w:type="dxa"/>
          </w:tcPr>
          <w:p w:rsidR="003D610D" w:rsidRDefault="003E19C5">
            <w:r>
              <w:rPr>
                <w:rFonts w:ascii="Times New Roman" w:eastAsia="Times New Roman" w:hAnsi="Times New Roman"/>
                <w:color w:val="1A1A1A"/>
                <w:sz w:val="16"/>
              </w:rPr>
              <w:t>Equipo multifuncional y ceremonias</w:t>
            </w:r>
          </w:p>
        </w:tc>
        <w:tc>
          <w:tcPr>
            <w:tcW w:w="3449" w:type="dxa"/>
          </w:tcPr>
          <w:p w:rsidR="003D610D" w:rsidRDefault="003E19C5">
            <w:r>
              <w:rPr>
                <w:rFonts w:ascii="Times New Roman" w:eastAsia="Times New Roman" w:hAnsi="Times New Roman"/>
                <w:color w:val="1A1A1A"/>
                <w:sz w:val="16"/>
              </w:rPr>
              <w:t>Un desarrollador aprueba o rechaza la salida del agente</w:t>
            </w:r>
          </w:p>
        </w:tc>
      </w:tr>
      <w:tr w:rsidR="003D610D">
        <w:tc>
          <w:tcPr>
            <w:tcW w:w="2098" w:type="dxa"/>
          </w:tcPr>
          <w:p w:rsidR="003D610D" w:rsidRDefault="003E19C5">
            <w:r>
              <w:rPr>
                <w:rFonts w:ascii="Times New Roman" w:eastAsia="Times New Roman" w:hAnsi="Times New Roman"/>
                <w:color w:val="1A1A1A"/>
                <w:sz w:val="16"/>
              </w:rPr>
              <w:t>Traza principal</w:t>
            </w:r>
          </w:p>
        </w:tc>
        <w:tc>
          <w:tcPr>
            <w:tcW w:w="3784" w:type="dxa"/>
          </w:tcPr>
          <w:p w:rsidR="003D610D" w:rsidRDefault="003E19C5">
            <w:r>
              <w:rPr>
                <w:rFonts w:ascii="Times New Roman" w:eastAsia="Times New Roman" w:hAnsi="Times New Roman"/>
                <w:color w:val="1A1A1A"/>
                <w:sz w:val="16"/>
              </w:rPr>
              <w:t>Backlog de sprint</w:t>
            </w:r>
          </w:p>
        </w:tc>
        <w:tc>
          <w:tcPr>
            <w:tcW w:w="3449" w:type="dxa"/>
          </w:tcPr>
          <w:p w:rsidR="003D610D" w:rsidRDefault="003E19C5">
            <w:r>
              <w:rPr>
                <w:rFonts w:ascii="Times New Roman" w:eastAsia="Times New Roman" w:hAnsi="Times New Roman"/>
                <w:color w:val="1A1A1A"/>
                <w:sz w:val="16"/>
              </w:rPr>
              <w:t>Prompt → artefacto → métrica → decisión</w:t>
            </w:r>
          </w:p>
        </w:tc>
      </w:tr>
      <w:tr w:rsidR="003D610D">
        <w:tc>
          <w:tcPr>
            <w:tcW w:w="2098" w:type="dxa"/>
          </w:tcPr>
          <w:p w:rsidR="003D610D" w:rsidRDefault="003E19C5">
            <w:r>
              <w:rPr>
                <w:rFonts w:ascii="Times New Roman" w:eastAsia="Times New Roman" w:hAnsi="Times New Roman"/>
                <w:color w:val="1A1A1A"/>
                <w:sz w:val="16"/>
              </w:rPr>
              <w:t>Historias de usuario</w:t>
            </w:r>
          </w:p>
        </w:tc>
        <w:tc>
          <w:tcPr>
            <w:tcW w:w="3784" w:type="dxa"/>
          </w:tcPr>
          <w:p w:rsidR="003D610D" w:rsidRDefault="003E19C5">
            <w:r>
              <w:rPr>
                <w:rFonts w:ascii="Times New Roman" w:eastAsia="Times New Roman" w:hAnsi="Times New Roman"/>
                <w:color w:val="1A1A1A"/>
                <w:sz w:val="16"/>
              </w:rPr>
              <w:t>Ítems estimables en un sprint</w:t>
            </w:r>
          </w:p>
        </w:tc>
        <w:tc>
          <w:tcPr>
            <w:tcW w:w="3449" w:type="dxa"/>
          </w:tcPr>
          <w:p w:rsidR="003D610D" w:rsidRDefault="003E19C5">
            <w:r>
              <w:rPr>
                <w:rFonts w:ascii="Times New Roman" w:eastAsia="Times New Roman" w:hAnsi="Times New Roman"/>
                <w:color w:val="1A1A1A"/>
                <w:sz w:val="16"/>
              </w:rPr>
              <w:t>Técnica de requisitos; cierre con DoD y D2</w:t>
            </w:r>
          </w:p>
        </w:tc>
      </w:tr>
      <w:tr w:rsidR="003D610D">
        <w:tc>
          <w:tcPr>
            <w:tcW w:w="2098" w:type="dxa"/>
          </w:tcPr>
          <w:p w:rsidR="003D610D" w:rsidRDefault="003E19C5">
            <w:r>
              <w:rPr>
                <w:rFonts w:ascii="Times New Roman" w:eastAsia="Times New Roman" w:hAnsi="Times New Roman"/>
                <w:color w:val="1A1A1A"/>
                <w:sz w:val="16"/>
              </w:rPr>
              <w:t>Riesgo dominante</w:t>
            </w:r>
          </w:p>
        </w:tc>
        <w:tc>
          <w:tcPr>
            <w:tcW w:w="3784" w:type="dxa"/>
          </w:tcPr>
          <w:p w:rsidR="003D610D" w:rsidRDefault="003E19C5">
            <w:r>
              <w:rPr>
                <w:rFonts w:ascii="Times New Roman" w:eastAsia="Times New Roman" w:hAnsi="Times New Roman"/>
                <w:color w:val="1A1A1A"/>
                <w:sz w:val="16"/>
              </w:rPr>
              <w:t>Comunicación y tamaño de equipo</w:t>
            </w:r>
          </w:p>
        </w:tc>
        <w:tc>
          <w:tcPr>
            <w:tcW w:w="3449" w:type="dxa"/>
          </w:tcPr>
          <w:p w:rsidR="003D610D" w:rsidRDefault="003E19C5">
            <w:r>
              <w:rPr>
                <w:rFonts w:ascii="Times New Roman" w:eastAsia="Times New Roman" w:hAnsi="Times New Roman"/>
                <w:color w:val="1A1A1A"/>
                <w:sz w:val="16"/>
              </w:rPr>
              <w:t>Auditabilidad, seguridad y calidad del prompt</w:t>
            </w:r>
          </w:p>
        </w:tc>
      </w:tr>
    </w:tbl>
    <w:p w:rsidR="00BA7E9C" w:rsidRPr="00BA7E9C" w:rsidRDefault="00BA7E9C" w:rsidP="00BA7E9C">
      <w:pPr>
        <w:spacing w:after="160" w:line="360" w:lineRule="auto"/>
        <w:ind w:firstLine="425"/>
        <w:jc w:val="both"/>
        <w:rPr>
          <w:rFonts w:ascii="Times New Roman" w:eastAsia="Times New Roman" w:hAnsi="Times New Roman" w:cs="Times New Roman"/>
          <w:bCs/>
          <w:sz w:val="26"/>
          <w:lang w:val="es-PE"/>
        </w:rPr>
      </w:pPr>
      <w:r w:rsidRPr="00BA7E9C">
        <w:rPr>
          <w:rFonts w:ascii="Times New Roman" w:eastAsia="Times New Roman" w:hAnsi="Times New Roman" w:cs="Times New Roman"/>
          <w:bCs/>
          <w:color w:val="1A1A1A"/>
          <w:sz w:val="24"/>
          <w:lang w:val="es-PE"/>
        </w:rPr>
        <w:t>La comparación operativa se resume en la Tabla 2.</w:t>
      </w:r>
    </w:p>
    <w:p w:rsidR="00BA7E9C" w:rsidRPr="00BA7E9C" w:rsidRDefault="00BA7E9C" w:rsidP="00BA7E9C">
      <w:pPr>
        <w:rPr>
          <w:rFonts w:ascii="Times New Roman" w:eastAsia="Times New Roman" w:hAnsi="Times New Roman" w:cs="Times New Roman"/>
          <w:bCs/>
          <w:sz w:val="26"/>
          <w:lang w:val="es-PE"/>
        </w:rPr>
      </w:pPr>
      <w:r w:rsidRPr="00BA7E9C">
        <w:rPr>
          <w:rFonts w:ascii="Times New Roman" w:eastAsia="Times New Roman" w:hAnsi="Times New Roman" w:cs="Times New Roman"/>
          <w:bCs/>
          <w:sz w:val="26"/>
          <w:lang w:val="es-PE"/>
        </w:rPr>
        <w:lastRenderedPageBreak/>
        <w:t>Scrum fue diseñado para equipos multifuncionales que trabajan de manera intensamente colaborativa y cuyo desempeño depende de liderazgo compartido, retroalimentación entre pares, modelos mentales compartidos y confianza mutua </w:t>
      </w:r>
      <w:r w:rsidR="00A47DDC">
        <w:rPr>
          <w:rFonts w:ascii="Times New Roman" w:eastAsia="Times New Roman" w:hAnsi="Times New Roman" w:cs="Times New Roman"/>
          <w:bCs/>
          <w:sz w:val="26"/>
          <w:lang w:val="es-PE"/>
        </w:rPr>
        <w:fldChar w:fldCharType="begin"/>
      </w:r>
      <w:r w:rsidR="00A47DDC">
        <w:rPr>
          <w:rFonts w:ascii="Times New Roman" w:eastAsia="Times New Roman" w:hAnsi="Times New Roman" w:cs="Times New Roman"/>
          <w:bCs/>
          <w:sz w:val="26"/>
          <w:lang w:val="es-PE"/>
        </w:rPr>
        <w:instrText xml:space="preserve"> ADDIN ZOTERO_ITEM CSL_CITATION {"citationID":"fRAdx508","properties":{"unsorted":false,"formattedCitation":"[5]","plainCitation":"[5]","noteIndex":0},"citationItems":[{"id":186,"uris":["http://zotero.org/users/local/pcqM5yZa/items/9SMEZX5P"],"itemData":{"id":186,"type":"article-journal","abstract":"Abstract\n            Teamwork is crucial in software development, particularly in agile development teams which are cross-functional and where team members work intensively together to develop a cohesive software solution. Effective teamwork is not easy; prior studies indicate challenges with communication, learning, prioritization, and leadership. Nevertheless, there is much advice available for teams, from agile methods, practitioner literature, and general studies on teamwork to a growing body of empirical studies on teamwork in the specific context of agile software development. This article presents the agile teamwork effectiveness model (ATEM) for colocated agile development teams. The model is based on evidence from focus groups, case studies, and multi-vocal literature and is a revision of a general team effectiveness model. Our model of agile teamwork effectiveness is composed of shared leadership, team orientation, redundancy, adaptability, and peer feedback. Coordinating mechanisms are needed to facilitate these components. The coordinating mechanisms are shared mental models, communication, and mutual trust. We critically examine the model and discuss extensions for very small, multi-team, distributed, and safety-critical development contexts. The model is intended for researchers, team members, coaches, and leaders in the agile community.","container-title":"Empirical Software Engineering","DOI":"10.1007/s10664-021-10115-0","ISSN":"1382-3256, 1573-7616","issue":"2","journalAbbreviation":"Empir Software Eng","language":"en","page":"56","source":"DOI.org (Crossref)","title":"A teamwork effectiveness model for agile software development","volume":"27","author":[{"family":"Strode","given":"Diane"},{"family":"Dingsøyr","given":"Torgeir"},{"family":"Lindsjorn","given":"Yngve"}],"issued":{"date-parts":[["2022",3]]}}}],"schema":"https://github.com/citation-style-language/schema/raw/master/csl-citation.json"} </w:instrText>
      </w:r>
      <w:r w:rsidR="00A47DDC">
        <w:rPr>
          <w:rFonts w:ascii="Times New Roman" w:eastAsia="Times New Roman" w:hAnsi="Times New Roman" w:cs="Times New Roman"/>
          <w:bCs/>
          <w:sz w:val="26"/>
          <w:lang w:val="es-PE"/>
        </w:rPr>
        <w:fldChar w:fldCharType="separate"/>
      </w:r>
      <w:r w:rsidR="00A47DDC" w:rsidRPr="00A47DDC">
        <w:rPr>
          <w:rFonts w:ascii="Times New Roman" w:hAnsi="Times New Roman" w:cs="Times New Roman"/>
          <w:sz w:val="26"/>
        </w:rPr>
        <w:t>[5]</w:t>
      </w:r>
      <w:r w:rsidR="00A47DDC">
        <w:rPr>
          <w:rFonts w:ascii="Times New Roman" w:eastAsia="Times New Roman" w:hAnsi="Times New Roman" w:cs="Times New Roman"/>
          <w:bCs/>
          <w:sz w:val="26"/>
          <w:lang w:val="es-PE"/>
        </w:rPr>
        <w:fldChar w:fldCharType="end"/>
      </w:r>
      <w:r w:rsidRPr="00BA7E9C">
        <w:rPr>
          <w:rFonts w:ascii="Times New Roman" w:eastAsia="Times New Roman" w:hAnsi="Times New Roman" w:cs="Times New Roman"/>
          <w:bCs/>
          <w:sz w:val="26"/>
          <w:lang w:val="es-PE"/>
        </w:rPr>
        <w:t>. Esa lógica encaja menos con un caso donde no existe un equipo Scrum completo, sino un desarrollador individual que delega partes del trabajo a agentes y asume sobre todo funciones de supervisión, dirección y aprobación </w:t>
      </w:r>
      <w:r w:rsidR="00A47DDC">
        <w:rPr>
          <w:rFonts w:ascii="Times New Roman" w:eastAsia="Times New Roman" w:hAnsi="Times New Roman" w:cs="Times New Roman"/>
          <w:bCs/>
          <w:sz w:val="26"/>
          <w:lang w:val="es-PE"/>
        </w:rPr>
        <w:fldChar w:fldCharType="begin"/>
      </w:r>
      <w:r w:rsidR="00A47DDC">
        <w:rPr>
          <w:rFonts w:ascii="Times New Roman" w:eastAsia="Times New Roman" w:hAnsi="Times New Roman" w:cs="Times New Roman"/>
          <w:bCs/>
          <w:sz w:val="26"/>
          <w:lang w:val="es-PE"/>
        </w:rPr>
        <w:instrText xml:space="preserve"> ADDIN ZOTERO_ITEM CSL_CITATION {"citationID":"d8rKez9R","properties":{"unsorted":false,"formattedCitation":"[2], [3], [12]","plainCitation":"[2], [3], [12]","noteIndex":0},"citationItems":[{"id":180,"uris":["http://zotero.org/users/local/pcqM5yZa/items/KUIENEZU"],"itemData":{"id":180,"type":"article","abstract":"The emergence of Agentic AI is fundamentally transforming how software is designed, developed, and maintained. Traditional software development methodologies such as Agile, Kanban, ShapeUp, etc, were originally designed for human-centric teams and are increasingly inadequate in environments where autonomous AI agents contribute to planning, coding, testing, and continuous learning. To address this methodological gap, we present \"Agentsway\" a novel software development framework designed for ecosystems where AI agents operate as first-class collaborators. Agentsway introduces a structured lifecycle centered on human orchestration, and privacy-preserving collaboration among specialized AI agents. The framework defines distinct roles for planning, prompting, coding, testing, and fine-tuning agents, each contributing to iterative improvement and adaptive learning throughout the development process. By integrating fine-tuned LLMs that leverage outputs and feedback from different agents throughout the development cycle as part of a retrospective learning process, Agentsway enhances domain-specific reasoning, and explainable decision-making across the entire software development lifecycle. Responsible AI principles are further embedded across the agents through the coordinated use of multiple fine-tuned LLMs and advanced reasoning models, ensuring balanced, transparent, and accountable decision-making. This work advances software engineering by formalizing agent-centric collaboration, integrating privacy-by-design principles, and defining measurable metrics for productivity and trust. Agentsway represents a foundational step toward the next generation of AI-native, self-improving software development methodologies. To the best of our knowledge, this is the first research effort to introduce a dedicated methodology explicitly designed for AI agent-based software engineering teams.","DOI":"10.48550/ARXIV.2510.23664","license":"Creative Commons Attribution 4.0 International","note":"version: 1","publisher":"arXiv","source":"DOI.org (Datacite)","title":"Agentsway -- Software Development Methodology for AI Agents-based Teams","URL":"https://arxiv.org/abs/2510.23664","author":[{"family":"Bandara","given":"Eranga"},{"family":"Gore","given":"Ross"},{"family":"Liang","given":"Xueping"},{"family":"Rajapakse","given":"Sachini"},{"family":"Kularathne","given":"Isurunima"},{"family":"Karunarathna","given":"Pramoda"},{"family":"Foytik","given":"Peter"},{"family":"Shetty","given":"Sachin"},{"family":"Mukkamala","given":"Ravi"},{"family":"Rahman","given":"Abdul"},{"family":"Hass","given":"Amin"},{"family":"Keong","given":"Ng Wee"},{"family":"De Zoysa","given":"Kasun"},{"family":"Withanage","given":"Aruna"},{"family":"Loganathan","given":"Nilaan"}],"accessed":{"date-parts":[["2026",9,13]]},"issued":{"date-parts":[["2025"]]}}},{"id":181,"uris":["http://zotero.org/users/local/pcqM5yZa/items/HVJ2H2XC"],"itemData":{"id":181,"type":"article","abstract":"The arrival of large language models (LLMs) capable of multi-step reasoning, tool use, and long-horizon planning has produced a qualitative shift in software engineering. Where earlier code-completion tools such as GitHub Copilot operated at the granularity of a line or function, modern agentic systems -- Claude Code, OpenAI Codex CLI, Google Jules, Devin, OpenHands, SWE-agent, MetaGPT, ChatDev, and DeepMind's AlphaEvolve -- operate at the granularity of a repository, a feature, or an algorithm. We synthesize work from Anthropic, OpenAI, Google DeepMind, Microsoft Research, Princeton, Stanford, and the broader academic community to characterize this transition. We propose a six-layer reference architecture for agentic software engineering systems, contrast a traditional Software Development Lifecycle (SDLC) with an emerging Agentic SDLC (A-SDLC), and consolidate empirical evidence on performance (a rise from 1.96% to 78.4% on SWE-bench Verified between October 2023 and April 2026), productivity (13.6%-55.8% time savings across controlled studies), and labor-market impact (49% of jobs sampled by Anthropic in 2026 saw AI used for at least a quarter of their tasks). We argue that the central object of inquiry has shifted from code generation to delegated execution under human supervision, and we identify five open problems -- evaluation, governance, technical debt, skill redistribution, and the economics of attention -- that will determine whether the agentic transition is net-positive for the discipline.","DOI":"10.48550/ARXIV.2604.26275","license":"Creative Commons Attribution 4.0 International","note":"version: 1","publisher":"arXiv","source":"DOI.org (Datacite)","title":"Agentic AI in the Software Development Lifecycle: Architecture, Empirical Evidence, and the Reshaping of Software Engineering","title-short":"Agentic AI in the Software Development Lifecycle","URL":"https://arxiv.org/abs/2604.26275","author":[{"family":"Bhati","given":"Happy"}],"accessed":{"date-parts":[["2026",9,13]]},"issued":{"date-parts":[["2026"]]}}},{"id":202,"uris":["http://zotero.org/users/local/pcqM5yZa/items/8LNNZUYM"],"itemData":{"id":202,"type":"article-journal","container-title":"IEEE Access","DOI":"10.1109/ACCESS.2026.3652325","ISSN":"2169-3536","journalAbbreviation":"IEEE Access","license":"https://creativecommons.org/licenses/by/4.0/legalcode","page":"7443-7465","source":"DOI.org (Crossref)","title":"Methods and Techniques of Agentic Software Engineering: A Systematic Literature Review","title-short":"Methods and Techniques of Agentic Software Engineering","volume":"14","author":[{"family":"Otoum","given":"Nesreen"},{"family":"Elkhalili","given":"Nuha"}],"issued":{"date-parts":[["2026"]]}}}],"schema":"https://github.com/citation-style-language/schema/raw/master/csl-citation.json"} </w:instrText>
      </w:r>
      <w:r w:rsidR="00A47DDC">
        <w:rPr>
          <w:rFonts w:ascii="Times New Roman" w:eastAsia="Times New Roman" w:hAnsi="Times New Roman" w:cs="Times New Roman"/>
          <w:bCs/>
          <w:sz w:val="26"/>
          <w:lang w:val="es-PE"/>
        </w:rPr>
        <w:fldChar w:fldCharType="separate"/>
      </w:r>
      <w:r w:rsidR="00A47DDC" w:rsidRPr="00A47DDC">
        <w:rPr>
          <w:rFonts w:ascii="Times New Roman" w:hAnsi="Times New Roman" w:cs="Times New Roman"/>
          <w:sz w:val="26"/>
        </w:rPr>
        <w:t>[2], [3], [12]</w:t>
      </w:r>
      <w:r w:rsidR="00A47DDC">
        <w:rPr>
          <w:rFonts w:ascii="Times New Roman" w:eastAsia="Times New Roman" w:hAnsi="Times New Roman" w:cs="Times New Roman"/>
          <w:bCs/>
          <w:sz w:val="26"/>
          <w:lang w:val="es-PE"/>
        </w:rPr>
        <w:fldChar w:fldCharType="end"/>
      </w:r>
      <w:r w:rsidRPr="00BA7E9C">
        <w:rPr>
          <w:rFonts w:ascii="Times New Roman" w:eastAsia="Times New Roman" w:hAnsi="Times New Roman" w:cs="Times New Roman"/>
          <w:bCs/>
          <w:sz w:val="26"/>
          <w:lang w:val="es-PE"/>
        </w:rPr>
        <w:t>.</w:t>
      </w:r>
    </w:p>
    <w:p w:rsidR="00BA7E9C" w:rsidRPr="00BA7E9C" w:rsidRDefault="00BA7E9C" w:rsidP="00BA7E9C">
      <w:pPr>
        <w:rPr>
          <w:rFonts w:ascii="Times New Roman" w:eastAsia="Times New Roman" w:hAnsi="Times New Roman" w:cs="Times New Roman"/>
          <w:bCs/>
          <w:sz w:val="26"/>
          <w:lang w:val="es-PE"/>
        </w:rPr>
      </w:pPr>
      <w:r w:rsidRPr="00BA7E9C">
        <w:rPr>
          <w:rFonts w:ascii="Times New Roman" w:eastAsia="Times New Roman" w:hAnsi="Times New Roman" w:cs="Times New Roman"/>
          <w:bCs/>
          <w:sz w:val="26"/>
          <w:lang w:val="es-PE"/>
        </w:rPr>
        <w:t>La propia literatura ágil muestra que Scrum introduce necesidades de comunicación, trazabilidad y soporte distintas según el tamaño del equipo, y que al crecer la coordinación también crecen los costos de gestión y el riesgo de fricción organizacional </w:t>
      </w:r>
      <w:r w:rsidR="00A47DDC">
        <w:rPr>
          <w:rFonts w:ascii="Times New Roman" w:eastAsia="Times New Roman" w:hAnsi="Times New Roman" w:cs="Times New Roman"/>
          <w:bCs/>
          <w:sz w:val="26"/>
          <w:lang w:val="es-PE"/>
        </w:rPr>
        <w:fldChar w:fldCharType="begin"/>
      </w:r>
      <w:r w:rsidR="00A47DDC">
        <w:rPr>
          <w:rFonts w:ascii="Times New Roman" w:eastAsia="Times New Roman" w:hAnsi="Times New Roman" w:cs="Times New Roman"/>
          <w:bCs/>
          <w:sz w:val="26"/>
          <w:lang w:val="es-PE"/>
        </w:rPr>
        <w:instrText xml:space="preserve"> ADDIN ZOTERO_ITEM CSL_CITATION {"citationID":"AfsJsF2F","properties":{"unsorted":false,"formattedCitation":"[6]","plainCitation":"[6]","noteIndex":0},"citationItems":[{"id":188,"uris":["http://zotero.org/users/local/pcqM5yZa/items/CHFJZW73"],"itemData":{"id":188,"type":"article-journal","abstract":"Abstract\n            Software engineering involves more than coding. It encompasses planning, development, communication, and process management. Scrum, the most widely adopted agile methodology, helps teams deliver value iteratively, yet practitioners often struggle with challenges such as maintaining requirement clarity, reducing cognitive load, and managing communication overhead. As artificial intelligence (AI) becomes increasingly integrated into the software engineering lifecycle, its potential to improve productivity, quality, and decision-making is gaining significant attention. Moreover, Scrum offers a structured yet flexible framework, but it remains unclear which AI features can most effectively support its practices in real-world settings. Therefore, this study addresses that gap by identifying and prioritizing key Scrum AI Support Features (SAISFs) based on industry needs. A two-phase research approach was used. First, a focus group with five software engineering industry experts identified 18 relevant SAISFs. Second, a survey using the Kano methodology was conducted with 344 experienced Scrum practitioners to evaluate and prioritize these features. The results were analyzed across three Scrum team size groups: small ( &lt; = 6), medium (7–10), and large (11+), and four functional SAISF groups: Requirements Support (R), Development Support (D), Communication Support (C), and Scrum Process Support (S). The research also provides prioritization of SAISFs according to Scrum roles. Our findings offer actionable insights for designing AI-enhanced tools tailored to Scrum teams, highlighting the importance of considering team size and Scrum roles when prioritizing AI features. This study contributes to the agile software engineering literature by offering a practitioner-informed foundation for integrating AI into Scrum-based project environments. Future Scrum tools may become adaptive and context-aware, automatically tailoring workflows, predicting bottlenecks, and optimizing team communication and performance.","container-title":"Empirical Software Engineering","DOI":"10.1007/s10664-026-10876-6","ISSN":"1382-3256, 1573-7616","issue":"5","journalAbbreviation":"Empir Software Eng","language":"en","page":"138","source":"DOI.org (Crossref)","title":"Key AI features to support scrum software engineering: practitioners’ perspective","title-short":"Key AI features to support scrum software engineering","volume":"31","author":[{"family":"Fujs","given":"Damjan"},{"family":"Kochovski","given":"Petar"},{"family":"Stankovski","given":"Vlado"},{"family":"Vavpotič","given":"Damjan"}],"issued":{"date-parts":[["2026",9]]}}}],"schema":"https://github.com/citation-style-language/schema/raw/master/csl-citation.json"} </w:instrText>
      </w:r>
      <w:r w:rsidR="00A47DDC">
        <w:rPr>
          <w:rFonts w:ascii="Times New Roman" w:eastAsia="Times New Roman" w:hAnsi="Times New Roman" w:cs="Times New Roman"/>
          <w:bCs/>
          <w:sz w:val="26"/>
          <w:lang w:val="es-PE"/>
        </w:rPr>
        <w:fldChar w:fldCharType="separate"/>
      </w:r>
      <w:r w:rsidR="00A47DDC" w:rsidRPr="00A47DDC">
        <w:rPr>
          <w:rFonts w:ascii="Times New Roman" w:hAnsi="Times New Roman" w:cs="Times New Roman"/>
          <w:sz w:val="26"/>
        </w:rPr>
        <w:t>[6]</w:t>
      </w:r>
      <w:r w:rsidR="00A47DDC">
        <w:rPr>
          <w:rFonts w:ascii="Times New Roman" w:eastAsia="Times New Roman" w:hAnsi="Times New Roman" w:cs="Times New Roman"/>
          <w:bCs/>
          <w:sz w:val="26"/>
          <w:lang w:val="es-PE"/>
        </w:rPr>
        <w:fldChar w:fldCharType="end"/>
      </w:r>
      <w:r w:rsidRPr="00BA7E9C">
        <w:rPr>
          <w:rFonts w:ascii="Times New Roman" w:eastAsia="Times New Roman" w:hAnsi="Times New Roman" w:cs="Times New Roman"/>
          <w:bCs/>
          <w:sz w:val="26"/>
          <w:lang w:val="es-PE"/>
        </w:rPr>
        <w:t xml:space="preserve">. En cambio, los marcos </w:t>
      </w:r>
      <w:proofErr w:type="spellStart"/>
      <w:r w:rsidRPr="00BA7E9C">
        <w:rPr>
          <w:rFonts w:ascii="Times New Roman" w:eastAsia="Times New Roman" w:hAnsi="Times New Roman" w:cs="Times New Roman"/>
          <w:bCs/>
          <w:sz w:val="26"/>
          <w:lang w:val="es-PE"/>
        </w:rPr>
        <w:t>agentic</w:t>
      </w:r>
      <w:proofErr w:type="spellEnd"/>
      <w:r w:rsidRPr="00BA7E9C">
        <w:rPr>
          <w:rFonts w:ascii="Times New Roman" w:eastAsia="Times New Roman" w:hAnsi="Times New Roman" w:cs="Times New Roman"/>
          <w:bCs/>
          <w:sz w:val="26"/>
          <w:lang w:val="es-PE"/>
        </w:rPr>
        <w:t xml:space="preserve"> recientes plantean explícitamente un ciclo con agentes de planificación, </w:t>
      </w:r>
      <w:proofErr w:type="spellStart"/>
      <w:r w:rsidRPr="00BA7E9C">
        <w:rPr>
          <w:rFonts w:ascii="Times New Roman" w:eastAsia="Times New Roman" w:hAnsi="Times New Roman" w:cs="Times New Roman"/>
          <w:bCs/>
          <w:sz w:val="26"/>
          <w:lang w:val="es-PE"/>
        </w:rPr>
        <w:t>prompting</w:t>
      </w:r>
      <w:proofErr w:type="spellEnd"/>
      <w:r w:rsidRPr="00BA7E9C">
        <w:rPr>
          <w:rFonts w:ascii="Times New Roman" w:eastAsia="Times New Roman" w:hAnsi="Times New Roman" w:cs="Times New Roman"/>
          <w:bCs/>
          <w:sz w:val="26"/>
          <w:lang w:val="es-PE"/>
        </w:rPr>
        <w:t>, codificación y prueba, coordinados por un humano, lo que resulta más coherente con un esquema de un desarrollador + agentes que con ceremonias Scrum pensadas para varios roles humanos diferenciados </w:t>
      </w:r>
      <w:r w:rsidR="00A47DDC">
        <w:rPr>
          <w:rFonts w:ascii="Times New Roman" w:eastAsia="Times New Roman" w:hAnsi="Times New Roman" w:cs="Times New Roman"/>
          <w:bCs/>
          <w:sz w:val="26"/>
          <w:lang w:val="es-PE"/>
        </w:rPr>
        <w:fldChar w:fldCharType="begin"/>
      </w:r>
      <w:r w:rsidR="00A47DDC">
        <w:rPr>
          <w:rFonts w:ascii="Times New Roman" w:eastAsia="Times New Roman" w:hAnsi="Times New Roman" w:cs="Times New Roman"/>
          <w:bCs/>
          <w:sz w:val="26"/>
          <w:lang w:val="es-PE"/>
        </w:rPr>
        <w:instrText xml:space="preserve"> ADDIN ZOTERO_ITEM CSL_CITATION {"citationID":"KwOT2EVs","properties":{"unsorted":false,"formattedCitation":"[2], [11]","plainCitation":"[2], [11]","noteIndex":0},"citationItems":[{"id":180,"uris":["http://zotero.org/users/local/pcqM5yZa/items/KUIENEZU"],"itemData":{"id":180,"type":"article","abstract":"The emergence of Agentic AI is fundamentally transforming how software is designed, developed, and maintained. Traditional software development methodologies such as Agile, Kanban, ShapeUp, etc, were originally designed for human-centric teams and are increasingly inadequate in environments where autonomous AI agents contribute to planning, coding, testing, and continuous learning. To address this methodological gap, we present \"Agentsway\" a novel software development framework designed for ecosystems where AI agents operate as first-class collaborators. Agentsway introduces a structured lifecycle centered on human orchestration, and privacy-preserving collaboration among specialized AI agents. The framework defines distinct roles for planning, prompting, coding, testing, and fine-tuning agents, each contributing to iterative improvement and adaptive learning throughout the development process. By integrating fine-tuned LLMs that leverage outputs and feedback from different agents throughout the development cycle as part of a retrospective learning process, Agentsway enhances domain-specific reasoning, and explainable decision-making across the entire software development lifecycle. Responsible AI principles are further embedded across the agents through the coordinated use of multiple fine-tuned LLMs and advanced reasoning models, ensuring balanced, transparent, and accountable decision-making. This work advances software engineering by formalizing agent-centric collaboration, integrating privacy-by-design principles, and defining measurable metrics for productivity and trust. Agentsway represents a foundational step toward the next generation of AI-native, self-improving software development methodologies. To the best of our knowledge, this is the first research effort to introduce a dedicated methodology explicitly designed for AI agent-based software engineering teams.","DOI":"10.48550/ARXIV.2510.23664","license":"Creative Commons Attribution 4.0 International","note":"version: 1","publisher":"arXiv","source":"DOI.org (Datacite)","title":"Agentsway -- Software Development Methodology for AI Agents-based Teams","URL":"https://arxiv.org/abs/2510.23664","author":[{"family":"Bandara","given":"Eranga"},{"family":"Gore","given":"Ross"},{"family":"Liang","given":"Xueping"},{"family":"Rajapakse","given":"Sachini"},{"family":"Kularathne","given":"Isurunima"},{"family":"Karunarathna","given":"Pramoda"},{"family":"Foytik","given":"Peter"},{"family":"Shetty","given":"Sachin"},{"family":"Mukkamala","given":"Ravi"},{"family":"Rahman","given":"Abdul"},{"family":"Hass","given":"Amin"},{"family":"Keong","given":"Ng Wee"},{"family":"De Zoysa","given":"Kasun"},{"family":"Withanage","given":"Aruna"},{"family":"Loganathan","given":"Nilaan"}],"accessed":{"date-parts":[["2026",9,13]]},"issued":{"date-parts":[["2025"]]}}},{"id":196,"uris":["http://zotero.org/users/local/pcqM5yZa/items/A2NKVDBQ"],"itemData":{"id":196,"type":"paper-conference","container-title":"2025 IEEE/ACM Second International Conference on AI Foundation Models and Software Engineering (Forge)","DOI":"10.1109/Forge66646.2025.00026","event-title":"2025 IEEE/ACM Second International Conference on AI Foundation Models and Software Engineering (Forge)","ISBN":"979-8-3315-0211-9","license":"https://doi.org/10.15223/policy-029","page":"156-167","publisher":"IEEE","publisher-place":"Ottawa, ON, Canada","source":"DOI.org (Crossref)","title":"AgileCoder: Dynamic Collaborative Agents for Software Development based on Agile Methodology","title-short":"AgileCoder","URL":"https://ieeexplore.ieee.org/document/11052788/","author":[{"family":"Nguyen","given":"Minh Huynh"},{"family":"Phan Chau","given":"Thang"},{"family":"Nguyen","given":"Phong X."},{"family":"Bui","given":"Nghi D. Q."}],"accessed":{"date-parts":[["2026",9,13]]},"issued":{"date-parts":[["2025",4,27]]}}}],"schema":"https://github.com/citation-style-language/schema/raw/master/csl-citation.json"} </w:instrText>
      </w:r>
      <w:r w:rsidR="00A47DDC">
        <w:rPr>
          <w:rFonts w:ascii="Times New Roman" w:eastAsia="Times New Roman" w:hAnsi="Times New Roman" w:cs="Times New Roman"/>
          <w:bCs/>
          <w:sz w:val="26"/>
          <w:lang w:val="es-PE"/>
        </w:rPr>
        <w:fldChar w:fldCharType="separate"/>
      </w:r>
      <w:r w:rsidR="00A47DDC" w:rsidRPr="00A47DDC">
        <w:rPr>
          <w:rFonts w:ascii="Times New Roman" w:hAnsi="Times New Roman" w:cs="Times New Roman"/>
          <w:sz w:val="26"/>
        </w:rPr>
        <w:t>[2], [11]</w:t>
      </w:r>
      <w:r w:rsidR="00A47DDC">
        <w:rPr>
          <w:rFonts w:ascii="Times New Roman" w:eastAsia="Times New Roman" w:hAnsi="Times New Roman" w:cs="Times New Roman"/>
          <w:bCs/>
          <w:sz w:val="26"/>
          <w:lang w:val="es-PE"/>
        </w:rPr>
        <w:fldChar w:fldCharType="end"/>
      </w:r>
      <w:r w:rsidRPr="00BA7E9C">
        <w:rPr>
          <w:rFonts w:ascii="Times New Roman" w:eastAsia="Times New Roman" w:hAnsi="Times New Roman" w:cs="Times New Roman"/>
          <w:bCs/>
          <w:sz w:val="26"/>
          <w:lang w:val="es-PE"/>
        </w:rPr>
        <w:t>.</w:t>
      </w:r>
    </w:p>
    <w:p w:rsidR="00BA7E9C" w:rsidRPr="00BA7E9C" w:rsidRDefault="00BA7E9C" w:rsidP="00BA7E9C">
      <w:pPr>
        <w:rPr>
          <w:rFonts w:ascii="Times New Roman" w:eastAsia="Times New Roman" w:hAnsi="Times New Roman" w:cs="Times New Roman"/>
          <w:b/>
          <w:bCs/>
          <w:sz w:val="26"/>
          <w:lang w:val="es-PE"/>
        </w:rPr>
      </w:pPr>
      <w:r w:rsidRPr="00BA7E9C">
        <w:rPr>
          <w:rFonts w:ascii="Times New Roman" w:eastAsia="Times New Roman" w:hAnsi="Times New Roman" w:cs="Times New Roman"/>
          <w:b/>
          <w:bCs/>
          <w:sz w:val="26"/>
          <w:lang w:val="es-PE"/>
        </w:rPr>
        <w:t>Sobre la Duración de los Ciclos</w:t>
      </w:r>
    </w:p>
    <w:p w:rsidR="00BA7E9C" w:rsidRPr="00BA7E9C" w:rsidRDefault="00BA7E9C" w:rsidP="00BA7E9C">
      <w:pPr>
        <w:rPr>
          <w:rFonts w:ascii="Times New Roman" w:eastAsia="Times New Roman" w:hAnsi="Times New Roman" w:cs="Times New Roman"/>
          <w:bCs/>
          <w:sz w:val="26"/>
          <w:lang w:val="es-PE"/>
        </w:rPr>
      </w:pPr>
      <w:r w:rsidRPr="00BA7E9C">
        <w:rPr>
          <w:rFonts w:ascii="Times New Roman" w:eastAsia="Times New Roman" w:hAnsi="Times New Roman" w:cs="Times New Roman"/>
          <w:bCs/>
          <w:sz w:val="26"/>
          <w:lang w:val="es-PE"/>
        </w:rPr>
        <w:t xml:space="preserve">La evidencia clásica sobre Agile mantiene que el trabajo se organiza en </w:t>
      </w:r>
      <w:proofErr w:type="spellStart"/>
      <w:r w:rsidRPr="00BA7E9C">
        <w:rPr>
          <w:rFonts w:ascii="Times New Roman" w:eastAsia="Times New Roman" w:hAnsi="Times New Roman" w:cs="Times New Roman"/>
          <w:bCs/>
          <w:sz w:val="26"/>
          <w:lang w:val="es-PE"/>
        </w:rPr>
        <w:t>sprints</w:t>
      </w:r>
      <w:proofErr w:type="spellEnd"/>
      <w:r w:rsidRPr="00BA7E9C">
        <w:rPr>
          <w:rFonts w:ascii="Times New Roman" w:eastAsia="Times New Roman" w:hAnsi="Times New Roman" w:cs="Times New Roman"/>
          <w:bCs/>
          <w:sz w:val="26"/>
          <w:lang w:val="es-PE"/>
        </w:rPr>
        <w:t xml:space="preserve"> iterativos y que en Scrum suelen durar entre 1 y 4 semanas, aunque no existe una duración universalmente óptima </w:t>
      </w:r>
      <w:r w:rsidR="00A47DDC">
        <w:rPr>
          <w:rFonts w:ascii="Times New Roman" w:eastAsia="Times New Roman" w:hAnsi="Times New Roman" w:cs="Times New Roman"/>
          <w:bCs/>
          <w:sz w:val="26"/>
          <w:lang w:val="es-PE"/>
        </w:rPr>
        <w:fldChar w:fldCharType="begin"/>
      </w:r>
      <w:r w:rsidR="00A47DDC">
        <w:rPr>
          <w:rFonts w:ascii="Times New Roman" w:eastAsia="Times New Roman" w:hAnsi="Times New Roman" w:cs="Times New Roman"/>
          <w:bCs/>
          <w:sz w:val="26"/>
          <w:lang w:val="es-PE"/>
        </w:rPr>
        <w:instrText xml:space="preserve"> ADDIN ZOTERO_ITEM CSL_CITATION {"citationID":"T031JziD","properties":{"unsorted":false,"formattedCitation":"[13], [14], [15]","plainCitation":"[13], [14], [15]","noteIndex":0},"citationItems":[{"id":205,"uris":["http://zotero.org/users/local/pcqM5yZa/items/EXDKZY64"],"itemData":{"id":205,"type":"article-journal","container-title":"Computers, Materials &amp; Continua","DOI":"10.32604/cmc.2021.017461","ISSN":"1546-2226","issue":"3","language":"en","page":"3693-3712","source":"DOI.org (Crossref)","title":"Optimal Sprint Length Determination for Agile-Based Software Development","volume":"68","author":[{"family":"Anand","given":"Adarsh"},{"family":"Kaur","given":"Jasmine"},{"family":"Singh","given":"Ompal"},{"family":"H. Alhazmi","given":"Omar"}],"issued":{"date-parts":[["2021"]]}}},{"id":204,"uris":["http://zotero.org/users/local/pcqM5yZa/items/J83BA6EE"],"itemData":{"id":204,"type":"paper-conference","container-title":"Proceedings of the 24th International Conference on Enterprise Information Systems","DOI":"10.5220/0011037700003179","event-title":"24th International Conference on Enterprise Information Systems","ISBN":"978-989-758-569-2","page":"98-105","publisher":"SCITEPRESS - Science and Technology Publications","publisher-place":"Online Streaming, --- Select a Country ---","source":"DOI.org (Crossref)","title":"Is There an Optimal Sprint Length on Agile Software Development Projects?:","title-short":"Is There an Optimal Sprint Length on Agile Software Development Projects?","URL":"https://www.scitepress.org/DigitalLibrary/Link.aspx?doi=10.5220/0011037700003179","author":[{"family":"Nascimento","given":"Nicolas"},{"family":"Santos","given":"Alan"},{"family":"Sales","given":"Afonso"},{"family":"Chanin","given":"Rafael"}],"accessed":{"date-parts":[["2026",9,13]]},"issued":{"date-parts":[["2022"]]}}},{"id":207,"uris":["http://zotero.org/users/local/pcqM5yZa/items/XDZLFFSW"],"itemData":{"id":207,"type":"article-journal","abstract":"Agile methodologies have become a dominant approach in contemporary software development due to their emphasis on adaptability, iterative delivery, and rapid feedback. However, variations in how agile practices are implemented, particularly in terms of planning frequency and sprint duration, often lead to significantly different project outcomes. This study investigates the strategic effectiveness of agile approaches by examining sprint duration as a critical design parameter rather than a procedural convention. This study employs a comparative case study methodology involving four software development projects with identical functional requirements and comparable scope. Each project adopted a different planning horizon daily, weekly, and bi-weekly while maintaining a consistent team structure, estimation techniques, and development context. This design enables isolation of the effects of planning frequency and development cycle duration on workflow continuity, team productivity, and resource utilization. The findings indicate that excessively short planning cycles, such as daily planning, may increase operational fragility and disrupt project flow, particularly in small teams with centralized decision-making. In contrast, weekly and bi-weekly planning approaches demonstrate greater resilience, more consistent utilization of working time, and improved continuity of development. Notably, the two-week sprint structure achieves a balanced trade-off between adaptability and stability, supporting the concept of an optimal “golden mean” sprint duration discussed in the agile literature. The study contributes empirical evidence to ongoing discussions on agile implementation effectiveness and offers practical guidance for tailoring sprint duration to project dynamics and organizational constraints.","container-title":"Applied Sciences","DOI":"10.3390/app16083772","ISSN":"2076-3417","issue":"8","journalAbbreviation":"Applied Sciences","language":"en","page":"3772","source":"DOI.org (Crossref)","title":"Strategic Effectiveness of Agile Approaches: An Inter-Method Comparative Study","title-short":"Strategic Effectiveness of Agile Approaches","volume":"16","author":[{"family":"Menekse Dalveren","given":"Gonca Gokce"},{"family":"Kizgin","given":"Ismet"},{"family":"Derawi","given":"Mohammad"}],"issued":{"date-parts":[["2026",4,12]]}}}],"schema":"https://github.com/citation-style-language/schema/raw/master/csl-citation.json"} </w:instrText>
      </w:r>
      <w:r w:rsidR="00A47DDC">
        <w:rPr>
          <w:rFonts w:ascii="Times New Roman" w:eastAsia="Times New Roman" w:hAnsi="Times New Roman" w:cs="Times New Roman"/>
          <w:bCs/>
          <w:sz w:val="26"/>
          <w:lang w:val="es-PE"/>
        </w:rPr>
        <w:fldChar w:fldCharType="separate"/>
      </w:r>
      <w:r w:rsidR="00A47DDC" w:rsidRPr="00A47DDC">
        <w:rPr>
          <w:rFonts w:ascii="Times New Roman" w:hAnsi="Times New Roman" w:cs="Times New Roman"/>
          <w:sz w:val="26"/>
        </w:rPr>
        <w:t>[13], [14], [15]</w:t>
      </w:r>
      <w:r w:rsidR="00A47DDC">
        <w:rPr>
          <w:rFonts w:ascii="Times New Roman" w:eastAsia="Times New Roman" w:hAnsi="Times New Roman" w:cs="Times New Roman"/>
          <w:bCs/>
          <w:sz w:val="26"/>
          <w:lang w:val="es-PE"/>
        </w:rPr>
        <w:fldChar w:fldCharType="end"/>
      </w:r>
      <w:r w:rsidRPr="00BA7E9C">
        <w:rPr>
          <w:rFonts w:ascii="Times New Roman" w:eastAsia="Times New Roman" w:hAnsi="Times New Roman" w:cs="Times New Roman"/>
          <w:bCs/>
          <w:sz w:val="26"/>
          <w:lang w:val="es-PE"/>
        </w:rPr>
        <w:t>. Estudios comparativos muestran que la duración del sprint afecta impedimentos, continuidad del flujo, productividad y evaluación del proyecto, y algunos modelos incluso hallan que la duración óptima puede ser más corta que la inicialmente planificada </w:t>
      </w:r>
      <w:r w:rsidR="00A47DDC">
        <w:rPr>
          <w:rFonts w:ascii="Times New Roman" w:eastAsia="Times New Roman" w:hAnsi="Times New Roman" w:cs="Times New Roman"/>
          <w:bCs/>
          <w:sz w:val="26"/>
          <w:lang w:val="es-PE"/>
        </w:rPr>
        <w:fldChar w:fldCharType="begin"/>
      </w:r>
      <w:r w:rsidR="00A47DDC">
        <w:rPr>
          <w:rFonts w:ascii="Times New Roman" w:eastAsia="Times New Roman" w:hAnsi="Times New Roman" w:cs="Times New Roman"/>
          <w:bCs/>
          <w:sz w:val="26"/>
          <w:lang w:val="es-PE"/>
        </w:rPr>
        <w:instrText xml:space="preserve"> ADDIN ZOTERO_ITEM CSL_CITATION {"citationID":"zp2Lpdy8","properties":{"unsorted":false,"formattedCitation":"[13], [14]","plainCitation":"[13], [14]","noteIndex":0},"citationItems":[{"id":205,"uris":["http://zotero.org/users/local/pcqM5yZa/items/EXDKZY64"],"itemData":{"id":205,"type":"article-journal","container-title":"Computers, Materials &amp; Continua","DOI":"10.32604/cmc.2021.017461","ISSN":"1546-2226","issue":"3","language":"en","page":"3693-3712","source":"DOI.org (Crossref)","title":"Optimal Sprint Length Determination for Agile-Based Software Development","volume":"68","author":[{"family":"Anand","given":"Adarsh"},{"family":"Kaur","given":"Jasmine"},{"family":"Singh","given":"Ompal"},{"family":"H. Alhazmi","given":"Omar"}],"issued":{"date-parts":[["2021"]]}}},{"id":204,"uris":["http://zotero.org/users/local/pcqM5yZa/items/J83BA6EE"],"itemData":{"id":204,"type":"paper-conference","container-title":"Proceedings of the 24th International Conference on Enterprise Information Systems","DOI":"10.5220/0011037700003179","event-title":"24th International Conference on Enterprise Information Systems","ISBN":"978-989-758-569-2","page":"98-105","publisher":"SCITEPRESS - Science and Technology Publications","publisher-place":"Online Streaming, --- Select a Country ---","source":"DOI.org (Crossref)","title":"Is There an Optimal Sprint Length on Agile Software Development Projects?:","title-short":"Is There an Optimal Sprint Length on Agile Software Development Projects?","URL":"https://www.scitepress.org/DigitalLibrary/Link.aspx?doi=10.5220/0011037700003179","author":[{"family":"Nascimento","given":"Nicolas"},{"family":"Santos","given":"Alan"},{"family":"Sales","given":"Afonso"},{"family":"Chanin","given":"Rafael"}],"accessed":{"date-parts":[["2026",9,13]]},"issued":{"date-parts":[["2022"]]}}}],"schema":"https://github.com/citation-style-language/schema/raw/master/csl-citation.json"} </w:instrText>
      </w:r>
      <w:r w:rsidR="00A47DDC">
        <w:rPr>
          <w:rFonts w:ascii="Times New Roman" w:eastAsia="Times New Roman" w:hAnsi="Times New Roman" w:cs="Times New Roman"/>
          <w:bCs/>
          <w:sz w:val="26"/>
          <w:lang w:val="es-PE"/>
        </w:rPr>
        <w:fldChar w:fldCharType="separate"/>
      </w:r>
      <w:r w:rsidR="00A47DDC" w:rsidRPr="00A47DDC">
        <w:rPr>
          <w:rFonts w:ascii="Times New Roman" w:hAnsi="Times New Roman" w:cs="Times New Roman"/>
          <w:sz w:val="26"/>
        </w:rPr>
        <w:t>[13], [14]</w:t>
      </w:r>
      <w:r w:rsidR="00A47DDC">
        <w:rPr>
          <w:rFonts w:ascii="Times New Roman" w:eastAsia="Times New Roman" w:hAnsi="Times New Roman" w:cs="Times New Roman"/>
          <w:bCs/>
          <w:sz w:val="26"/>
          <w:lang w:val="es-PE"/>
        </w:rPr>
        <w:fldChar w:fldCharType="end"/>
      </w:r>
      <w:r w:rsidRPr="00BA7E9C">
        <w:rPr>
          <w:rFonts w:ascii="Times New Roman" w:eastAsia="Times New Roman" w:hAnsi="Times New Roman" w:cs="Times New Roman"/>
          <w:bCs/>
          <w:sz w:val="26"/>
          <w:lang w:val="es-PE"/>
        </w:rPr>
        <w:t>.</w:t>
      </w:r>
    </w:p>
    <w:p w:rsidR="00BA7E9C" w:rsidRPr="00BA7E9C" w:rsidRDefault="00BA7E9C" w:rsidP="00BA7E9C">
      <w:pPr>
        <w:rPr>
          <w:rFonts w:ascii="Times New Roman" w:eastAsia="Times New Roman" w:hAnsi="Times New Roman" w:cs="Times New Roman"/>
          <w:bCs/>
          <w:sz w:val="26"/>
          <w:lang w:val="es-PE"/>
        </w:rPr>
      </w:pPr>
      <w:r w:rsidRPr="00BA7E9C">
        <w:rPr>
          <w:rFonts w:ascii="Times New Roman" w:eastAsia="Times New Roman" w:hAnsi="Times New Roman" w:cs="Times New Roman"/>
          <w:bCs/>
          <w:sz w:val="26"/>
          <w:lang w:val="es-PE"/>
        </w:rPr>
        <w:t xml:space="preserve">Sin embargo, en desarrollo </w:t>
      </w:r>
      <w:proofErr w:type="spellStart"/>
      <w:r w:rsidRPr="00BA7E9C">
        <w:rPr>
          <w:rFonts w:ascii="Times New Roman" w:eastAsia="Times New Roman" w:hAnsi="Times New Roman" w:cs="Times New Roman"/>
          <w:bCs/>
          <w:sz w:val="26"/>
          <w:lang w:val="es-PE"/>
        </w:rPr>
        <w:t>agentic</w:t>
      </w:r>
      <w:proofErr w:type="spellEnd"/>
      <w:r w:rsidRPr="00BA7E9C">
        <w:rPr>
          <w:rFonts w:ascii="Times New Roman" w:eastAsia="Times New Roman" w:hAnsi="Times New Roman" w:cs="Times New Roman"/>
          <w:bCs/>
          <w:sz w:val="26"/>
          <w:lang w:val="es-PE"/>
        </w:rPr>
        <w:t xml:space="preserve"> el cambio no es solo ajustar un sprint, sino reducir la unidad de trabajo a tareas pequeñas que un agente puede completar en minutos u horas, con revisión humana en los bordes del proceso </w:t>
      </w:r>
      <w:r w:rsidR="00A47DDC">
        <w:rPr>
          <w:rFonts w:ascii="Times New Roman" w:eastAsia="Times New Roman" w:hAnsi="Times New Roman" w:cs="Times New Roman"/>
          <w:bCs/>
          <w:sz w:val="26"/>
          <w:lang w:val="es-PE"/>
        </w:rPr>
        <w:fldChar w:fldCharType="begin"/>
      </w:r>
      <w:r w:rsidR="00A47DDC">
        <w:rPr>
          <w:rFonts w:ascii="Times New Roman" w:eastAsia="Times New Roman" w:hAnsi="Times New Roman" w:cs="Times New Roman"/>
          <w:bCs/>
          <w:sz w:val="26"/>
          <w:lang w:val="es-PE"/>
        </w:rPr>
        <w:instrText xml:space="preserve"> ADDIN ZOTERO_ITEM CSL_CITATION {"citationID":"btT0Vz5F","properties":{"unsorted":false,"formattedCitation":"[3], [4]","plainCitation":"[3], [4]","noteIndex":0},"citationItems":[{"id":181,"uris":["http://zotero.org/users/local/pcqM5yZa/items/HVJ2H2XC"],"itemData":{"id":181,"type":"article","abstract":"The arrival of large language models (LLMs) capable of multi-step reasoning, tool use, and long-horizon planning has produced a qualitative shift in software engineering. Where earlier code-completion tools such as GitHub Copilot operated at the granularity of a line or function, modern agentic systems -- Claude Code, OpenAI Codex CLI, Google Jules, Devin, OpenHands, SWE-agent, MetaGPT, ChatDev, and DeepMind's AlphaEvolve -- operate at the granularity of a repository, a feature, or an algorithm. We synthesize work from Anthropic, OpenAI, Google DeepMind, Microsoft Research, Princeton, Stanford, and the broader academic community to characterize this transition. We propose a six-layer reference architecture for agentic software engineering systems, contrast a traditional Software Development Lifecycle (SDLC) with an emerging Agentic SDLC (A-SDLC), and consolidate empirical evidence on performance (a rise from 1.96% to 78.4% on SWE-bench Verified between October 2023 and April 2026), productivity (13.6%-55.8% time savings across controlled studies), and labor-market impact (49% of jobs sampled by Anthropic in 2026 saw AI used for at least a quarter of their tasks). We argue that the central object of inquiry has shifted from code generation to delegated execution under human supervision, and we identify five open problems -- evaluation, governance, technical debt, skill redistribution, and the economics of attention -- that will determine whether the agentic transition is net-positive for the discipline.","DOI":"10.48550/ARXIV.2604.26275","license":"Creative Commons Attribution 4.0 International","note":"version: 1","publisher":"arXiv","source":"DOI.org (Datacite)","title":"Agentic AI in the Software Development Lifecycle: Architecture, Empirical Evidence, and the Reshaping of Software Engineering","title-short":"Agentic AI in the Software Development Lifecycle","URL":"https://arxiv.org/abs/2604.26275","author":[{"family":"Bhati","given":"Happy"}],"accessed":{"date-parts":[["2026",9,13]]},"issued":{"date-parts":[["2026"]]}}},{"id":183,"uris":["http://zotero.org/users/local/pcqM5yZa/items/5HHF6GDK"],"itemData":{"id":183,"type":"paper-conference","container-title":"2025 7th International Conference on Innovative Data Communication Technologies and Application (ICIDCA)","DOI":"10.1109/ICIDCA66325.2025.11280486","event-title":"2025 7th International Conference on Innovative Data Communication Technologies and Application (ICIDCA)","ISBN":"979-8-3315-1414-3","license":"https://doi.org/10.15223/policy-029","page":"1199-1208","publisher":"IEEE","publisher-place":"Coimbatore, India","source":"DOI.org (Crossref)","title":"Generative AI in Agile Software Development: A Comprehensive Survey","title-short":"Generative AI in Agile Software Development","URL":"https://ieeexplore.ieee.org/document/11280486/","author":[{"family":"Malladi","given":"Nagarjun V."},{"family":"K","given":"Sudheer Reddy"}],"accessed":{"date-parts":[["2026",9,13]]},"issued":{"date-parts":[["2025",10,6]]}}}],"schema":"https://github.com/citation-style-language/schema/raw/master/csl-citation.json"} </w:instrText>
      </w:r>
      <w:r w:rsidR="00A47DDC">
        <w:rPr>
          <w:rFonts w:ascii="Times New Roman" w:eastAsia="Times New Roman" w:hAnsi="Times New Roman" w:cs="Times New Roman"/>
          <w:bCs/>
          <w:sz w:val="26"/>
          <w:lang w:val="es-PE"/>
        </w:rPr>
        <w:fldChar w:fldCharType="separate"/>
      </w:r>
      <w:r w:rsidR="00A47DDC" w:rsidRPr="00A47DDC">
        <w:rPr>
          <w:rFonts w:ascii="Times New Roman" w:hAnsi="Times New Roman" w:cs="Times New Roman"/>
          <w:sz w:val="26"/>
        </w:rPr>
        <w:t>[3], [4]</w:t>
      </w:r>
      <w:r w:rsidR="00A47DDC">
        <w:rPr>
          <w:rFonts w:ascii="Times New Roman" w:eastAsia="Times New Roman" w:hAnsi="Times New Roman" w:cs="Times New Roman"/>
          <w:bCs/>
          <w:sz w:val="26"/>
          <w:lang w:val="es-PE"/>
        </w:rPr>
        <w:fldChar w:fldCharType="end"/>
      </w:r>
      <w:r w:rsidRPr="00BA7E9C">
        <w:rPr>
          <w:rFonts w:ascii="Times New Roman" w:eastAsia="Times New Roman" w:hAnsi="Times New Roman" w:cs="Times New Roman"/>
          <w:bCs/>
          <w:sz w:val="26"/>
          <w:lang w:val="es-PE"/>
        </w:rPr>
        <w:t>. Aun así, la evidencia no apoya acortar indefinidamente los ciclos, porque planificaciones excesivamente breves como las diarias pueden volver frágil el flujo de trabajo, especialmente en equipos pequeños con decisiones centralizadas </w:t>
      </w:r>
      <w:r w:rsidR="00A47DDC">
        <w:rPr>
          <w:rFonts w:ascii="Times New Roman" w:eastAsia="Times New Roman" w:hAnsi="Times New Roman" w:cs="Times New Roman"/>
          <w:bCs/>
          <w:sz w:val="26"/>
          <w:lang w:val="es-PE"/>
        </w:rPr>
        <w:fldChar w:fldCharType="begin"/>
      </w:r>
      <w:r w:rsidR="00A47DDC">
        <w:rPr>
          <w:rFonts w:ascii="Times New Roman" w:eastAsia="Times New Roman" w:hAnsi="Times New Roman" w:cs="Times New Roman"/>
          <w:bCs/>
          <w:sz w:val="26"/>
          <w:lang w:val="es-PE"/>
        </w:rPr>
        <w:instrText xml:space="preserve"> ADDIN ZOTERO_ITEM CSL_CITATION {"citationID":"Oo3LrmS3","properties":{"unsorted":false,"formattedCitation":"[15]","plainCitation":"[15]","noteIndex":0},"citationItems":[{"id":207,"uris":["http://zotero.org/users/local/pcqM5yZa/items/XDZLFFSW"],"itemData":{"id":207,"type":"article-journal","abstract":"Agile methodologies have become a dominant approach in contemporary software development due to their emphasis on adaptability, iterative delivery, and rapid feedback. However, variations in how agile practices are implemented, particularly in terms of planning frequency and sprint duration, often lead to significantly different project outcomes. This study investigates the strategic effectiveness of agile approaches by examining sprint duration as a critical design parameter rather than a procedural convention. This study employs a comparative case study methodology involving four software development projects with identical functional requirements and comparable scope. Each project adopted a different planning horizon daily, weekly, and bi-weekly while maintaining a consistent team structure, estimation techniques, and development context. This design enables isolation of the effects of planning frequency and development cycle duration on workflow continuity, team productivity, and resource utilization. The findings indicate that excessively short planning cycles, such as daily planning, may increase operational fragility and disrupt project flow, particularly in small teams with centralized decision-making. In contrast, weekly and bi-weekly planning approaches demonstrate greater resilience, more consistent utilization of working time, and improved continuity of development. Notably, the two-week sprint structure achieves a balanced trade-off between adaptability and stability, supporting the concept of an optimal “golden mean” sprint duration discussed in the agile literature. The study contributes empirical evidence to ongoing discussions on agile implementation effectiveness and offers practical guidance for tailoring sprint duration to project dynamics and organizational constraints.","container-title":"Applied Sciences","DOI":"10.3390/app16083772","ISSN":"2076-3417","issue":"8","journalAbbreviation":"Applied Sciences","language":"en","page":"3772","source":"DOI.org (Crossref)","title":"Strategic Effectiveness of Agile Approaches: An Inter-Method Comparative Study","title-short":"Strategic Effectiveness of Agile Approaches","volume":"16","author":[{"family":"Menekse Dalveren","given":"Gonca Gokce"},{"family":"Kizgin","given":"Ismet"},{"family":"Derawi","given":"Mohammad"}],"issued":{"date-parts":[["2026",4,12]]}}}],"schema":"https://github.com/citation-style-language/schema/raw/master/csl-citation.json"} </w:instrText>
      </w:r>
      <w:r w:rsidR="00A47DDC">
        <w:rPr>
          <w:rFonts w:ascii="Times New Roman" w:eastAsia="Times New Roman" w:hAnsi="Times New Roman" w:cs="Times New Roman"/>
          <w:bCs/>
          <w:sz w:val="26"/>
          <w:lang w:val="es-PE"/>
        </w:rPr>
        <w:fldChar w:fldCharType="separate"/>
      </w:r>
      <w:r w:rsidR="00A47DDC" w:rsidRPr="00A47DDC">
        <w:rPr>
          <w:rFonts w:ascii="Times New Roman" w:hAnsi="Times New Roman" w:cs="Times New Roman"/>
          <w:sz w:val="26"/>
        </w:rPr>
        <w:t>[15]</w:t>
      </w:r>
      <w:r w:rsidR="00A47DDC">
        <w:rPr>
          <w:rFonts w:ascii="Times New Roman" w:eastAsia="Times New Roman" w:hAnsi="Times New Roman" w:cs="Times New Roman"/>
          <w:bCs/>
          <w:sz w:val="26"/>
          <w:lang w:val="es-PE"/>
        </w:rPr>
        <w:fldChar w:fldCharType="end"/>
      </w:r>
      <w:r w:rsidRPr="00BA7E9C">
        <w:rPr>
          <w:rFonts w:ascii="Times New Roman" w:eastAsia="Times New Roman" w:hAnsi="Times New Roman" w:cs="Times New Roman"/>
          <w:bCs/>
          <w:sz w:val="26"/>
          <w:lang w:val="es-PE"/>
        </w:rPr>
        <w:t>.</w:t>
      </w:r>
    </w:p>
    <w:p w:rsidR="00BA7E9C" w:rsidRPr="00BA7E9C" w:rsidRDefault="00BA7E9C" w:rsidP="00BA7E9C">
      <w:pPr>
        <w:rPr>
          <w:rFonts w:ascii="Times New Roman" w:eastAsia="Times New Roman" w:hAnsi="Times New Roman" w:cs="Times New Roman"/>
          <w:bCs/>
          <w:sz w:val="26"/>
          <w:lang w:val="es-PE"/>
        </w:rPr>
      </w:pPr>
      <w:r w:rsidRPr="00BA7E9C">
        <w:rPr>
          <w:rFonts w:ascii="Times New Roman" w:eastAsia="Times New Roman" w:hAnsi="Times New Roman" w:cs="Times New Roman"/>
          <w:bCs/>
          <w:sz w:val="26"/>
          <w:lang w:val="es-PE"/>
        </w:rPr>
        <w:t>En síntesis, un </w:t>
      </w:r>
      <w:proofErr w:type="spellStart"/>
      <w:r w:rsidRPr="00BA7E9C">
        <w:rPr>
          <w:rFonts w:ascii="Times New Roman" w:eastAsia="Times New Roman" w:hAnsi="Times New Roman" w:cs="Times New Roman"/>
          <w:bCs/>
          <w:sz w:val="26"/>
          <w:lang w:val="es-PE"/>
        </w:rPr>
        <w:t>Prompt-Centered</w:t>
      </w:r>
      <w:proofErr w:type="spellEnd"/>
      <w:r w:rsidRPr="00BA7E9C">
        <w:rPr>
          <w:rFonts w:ascii="Times New Roman" w:eastAsia="Times New Roman" w:hAnsi="Times New Roman" w:cs="Times New Roman"/>
          <w:bCs/>
          <w:sz w:val="26"/>
          <w:lang w:val="es-PE"/>
        </w:rPr>
        <w:t xml:space="preserve"> SDLC se justifica metodológicamente porque ofrece más control que el </w:t>
      </w:r>
      <w:proofErr w:type="spellStart"/>
      <w:r w:rsidRPr="00BA7E9C">
        <w:rPr>
          <w:rFonts w:ascii="Times New Roman" w:eastAsia="Times New Roman" w:hAnsi="Times New Roman" w:cs="Times New Roman"/>
          <w:bCs/>
          <w:sz w:val="26"/>
          <w:lang w:val="es-PE"/>
        </w:rPr>
        <w:t>vibe</w:t>
      </w:r>
      <w:proofErr w:type="spellEnd"/>
      <w:r w:rsidRPr="00BA7E9C">
        <w:rPr>
          <w:rFonts w:ascii="Times New Roman" w:eastAsia="Times New Roman" w:hAnsi="Times New Roman" w:cs="Times New Roman"/>
          <w:bCs/>
          <w:sz w:val="26"/>
          <w:lang w:val="es-PE"/>
        </w:rPr>
        <w:t xml:space="preserve"> </w:t>
      </w:r>
      <w:proofErr w:type="spellStart"/>
      <w:r w:rsidRPr="00BA7E9C">
        <w:rPr>
          <w:rFonts w:ascii="Times New Roman" w:eastAsia="Times New Roman" w:hAnsi="Times New Roman" w:cs="Times New Roman"/>
          <w:bCs/>
          <w:sz w:val="26"/>
          <w:lang w:val="es-PE"/>
        </w:rPr>
        <w:t>coding</w:t>
      </w:r>
      <w:proofErr w:type="spellEnd"/>
      <w:r w:rsidRPr="00BA7E9C">
        <w:rPr>
          <w:rFonts w:ascii="Times New Roman" w:eastAsia="Times New Roman" w:hAnsi="Times New Roman" w:cs="Times New Roman"/>
          <w:bCs/>
          <w:sz w:val="26"/>
          <w:lang w:val="es-PE"/>
        </w:rPr>
        <w:t>, más auditabilidad que la improvisación conversacional, mejor ajuste organizacional que Scrum para un caso de un solo desarrollador con agentes, y una estructura más compatible con ciclos de trabajo que ya no necesariamente duran semanas, sino días, horas o incluso menos </w:t>
      </w:r>
      <w:r w:rsidR="00A47DDC">
        <w:rPr>
          <w:rFonts w:ascii="Times New Roman" w:eastAsia="Times New Roman" w:hAnsi="Times New Roman" w:cs="Times New Roman"/>
          <w:bCs/>
          <w:sz w:val="26"/>
          <w:lang w:val="es-PE"/>
        </w:rPr>
        <w:fldChar w:fldCharType="begin"/>
      </w:r>
      <w:r w:rsidR="00A47DDC">
        <w:rPr>
          <w:rFonts w:ascii="Times New Roman" w:eastAsia="Times New Roman" w:hAnsi="Times New Roman" w:cs="Times New Roman"/>
          <w:bCs/>
          <w:sz w:val="26"/>
          <w:lang w:val="es-PE"/>
        </w:rPr>
        <w:instrText xml:space="preserve"> ADDIN ZOTERO_ITEM CSL_CITATION {"citationID":"Vo00W0hw","properties":{"unsorted":false,"formattedCitation":"[2], [3], [4], [16]","plainCitation":"[2], [3], [4], [16]","noteIndex":0},"citationItems":[{"id":180,"uris":["http://zotero.org/users/local/pcqM5yZa/items/KUIENEZU"],"itemData":{"id":180,"type":"article","abstract":"The emergence of Agentic AI is fundamentally transforming how software is designed, developed, and maintained. Traditional software development methodologies such as Agile, Kanban, ShapeUp, etc, were originally designed for human-centric teams and are increasingly inadequate in environments where autonomous AI agents contribute to planning, coding, testing, and continuous learning. To address this methodological gap, we present \"Agentsway\" a novel software development framework designed for ecosystems where AI agents operate as first-class collaborators. Agentsway introduces a structured lifecycle centered on human orchestration, and privacy-preserving collaboration among specialized AI agents. The framework defines distinct roles for planning, prompting, coding, testing, and fine-tuning agents, each contributing to iterative improvement and adaptive learning throughout the development process. By integrating fine-tuned LLMs that leverage outputs and feedback from different agents throughout the development cycle as part of a retrospective learning process, Agentsway enhances domain-specific reasoning, and explainable decision-making across the entire software development lifecycle. Responsible AI principles are further embedded across the agents through the coordinated use of multiple fine-tuned LLMs and advanced reasoning models, ensuring balanced, transparent, and accountable decision-making. This work advances software engineering by formalizing agent-centric collaboration, integrating privacy-by-design principles, and defining measurable metrics for productivity and trust. Agentsway represents a foundational step toward the next generation of AI-native, self-improving software development methodologies. To the best of our knowledge, this is the first research effort to introduce a dedicated methodology explicitly designed for AI agent-based software engineering teams.","DOI":"10.48550/ARXIV.2510.23664","license":"Creative Commons Attribution 4.0 International","note":"version: 1","publisher":"arXiv","source":"DOI.org (Datacite)","title":"Agentsway -- Software Development Methodology for AI Agents-based Teams","URL":"https://arxiv.org/abs/2510.23664","author":[{"family":"Bandara","given":"Eranga"},{"family":"Gore","given":"Ross"},{"family":"Liang","given":"Xueping"},{"family":"Rajapakse","given":"Sachini"},{"family":"Kularathne","given":"Isurunima"},{"family":"Karunarathna","given":"Pramoda"},{"family":"Foytik","given":"Peter"},{"family":"Shetty","given":"Sachin"},{"family":"Mukkamala","given":"Ravi"},{"family":"Rahman","given":"Abdul"},{"family":"Hass","given":"Amin"},{"family":"Keong","given":"Ng Wee"},{"family":"De Zoysa","given":"Kasun"},{"family":"Withanage","given":"Aruna"},{"family":"Loganathan","given":"Nilaan"}],"accessed":{"date-parts":[["2026",9,13]]},"issued":{"date-parts":[["2025"]]}}},{"id":181,"uris":["http://zotero.org/users/local/pcqM5yZa/items/HVJ2H2XC"],"itemData":{"id":181,"type":"article","abstract":"The arrival of large language models (LLMs) capable of multi-step reasoning, tool use, and long-horizon planning has produced a qualitative shift in software engineering. Where earlier code-completion tools such as GitHub Copilot operated at the granularity of a line or function, modern agentic systems -- Claude Code, OpenAI Codex CLI, Google Jules, Devin, OpenHands, SWE-agent, MetaGPT, ChatDev, and DeepMind's AlphaEvolve -- operate at the granularity of a repository, a feature, or an algorithm. We synthesize work from Anthropic, OpenAI, Google DeepMind, Microsoft Research, Princeton, Stanford, and the broader academic community to characterize this transition. We propose a six-layer reference architecture for agentic software engineering systems, contrast a traditional Software Development Lifecycle (SDLC) with an emerging Agentic SDLC (A-SDLC), and consolidate empirical evidence on performance (a rise from 1.96% to 78.4% on SWE-bench Verified between October 2023 and April 2026), productivity (13.6%-55.8% time savings across controlled studies), and labor-market impact (49% of jobs sampled by Anthropic in 2026 saw AI used for at least a quarter of their tasks). We argue that the central object of inquiry has shifted from code generation to delegated execution under human supervision, and we identify five open problems -- evaluation, governance, technical debt, skill redistribution, and the economics of attention -- that will determine whether the agentic transition is net-positive for the discipline.","DOI":"10.48550/ARXIV.2604.26275","license":"Creative Commons Attribution 4.0 International","note":"version: 1","publisher":"arXiv","source":"DOI.org (Datacite)","title":"Agentic AI in the Software Development Lifecycle: Architecture, Empirical Evidence, and the Reshaping of Software Engineering","title-short":"Agentic AI in the Software Development Lifecycle","URL":"https://arxiv.org/abs/2604.26275","author":[{"family":"Bhati","given":"Happy"}],"accessed":{"date-parts":[["2026",9,13]]},"issued":{"date-parts":[["2026"]]}}},{"id":183,"uris":["http://zotero.org/users/local/pcqM5yZa/items/5HHF6GDK"],"itemData":{"id":183,"type":"paper-conference","container-title":"2025 7th International Conference on Innovative Data Communication Technologies and Application (ICIDCA)","DOI":"10.1109/ICIDCA66325.2025.11280486","event-title":"2025 7th International Conference on Innovative Data Communication Technologies and Application (ICIDCA)","ISBN":"979-8-3315-1414-3","license":"https://doi.org/10.15223/policy-029","page":"1199-1208","publisher":"IEEE","publisher-place":"Coimbatore, India","source":"DOI.org (Crossref)","title":"Generative AI in Agile Software Development: A Comprehensive Survey","title-short":"Generative AI in Agile Software Development","URL":"https://ieeexplore.ieee.org/document/11280486/","author":[{"family":"Malladi","given":"Nagarjun V."},{"family":"K","given":"Sudheer Reddy"}],"accessed":{"date-parts":[["2026",9,13]]},"issued":{"date-parts":[["2025",10,6]]}}},{"id":191,"uris":["http://zotero.org/users/local/pcqM5yZa/items/NVEV6UH7"],"itemData":{"id":191,"type":"article-journal","abstract":"Vibe coding a new way of programming driven by LLMs (Large Language Model).it helps developers to write code from natural language. Coders can use prompts to AI for there code generation. Ai assistant generate software directly threw the text. Now they are able to make tasks and understand the user requirements. This process make our development fast and easy for the developers. but vibe coding has some drawbacks sometime it leads security concerns code authenticity, code quality and dependency on ai tools.\n\nIn this paper present a systematic analysis of the risk and limitations related to vibe coding. A structured literature review of recent studies is conducted to identify recurring issues such as prompt injection attacks, hallucinated code generation, weak testing and long-term maintainability concerns. the study divide these challenges into subparts like technical, security, and human-centric dimensions. the findings highlight the absence of standardization framework and secure development. AI coding environment needs more security and a fully developed framework for high performance coding. this research combines existing knowledge and give new suggestions for future studies to make vibe coding systems more reliable and safer for real world.","container-title":"RECENT TRENDS IN PROGRAMMING LANGUAGES","DOI":"10.37591/RTPL.v13i01.242299","ISSN":"24551821","journalAbbreviation":"RTPL","source":"DOI.org (Crossref)","title":"Challenges, Risks, and Limitations of Vibe Coding in AI- Assisted Software Development","URL":"https://journals.stmjournals.com/article/article=2026/view=242299/","author":[{"family":"Saxena","given":"Shilpi"},{"family":"Saini","given":"Neeraj Kumar"},{"family":"Dhingra","given":"Manas"}],"accessed":{"date-parts":[["2026",9,13]]},"issued":{"date-parts":[["2026"]]}}}],"schema":"https://github.com/citation-style-language/schema/raw/master/csl-citation.json"} </w:instrText>
      </w:r>
      <w:r w:rsidR="00A47DDC">
        <w:rPr>
          <w:rFonts w:ascii="Times New Roman" w:eastAsia="Times New Roman" w:hAnsi="Times New Roman" w:cs="Times New Roman"/>
          <w:bCs/>
          <w:sz w:val="26"/>
          <w:lang w:val="es-PE"/>
        </w:rPr>
        <w:fldChar w:fldCharType="separate"/>
      </w:r>
      <w:r w:rsidR="00A47DDC" w:rsidRPr="00A47DDC">
        <w:rPr>
          <w:rFonts w:ascii="Times New Roman" w:hAnsi="Times New Roman" w:cs="Times New Roman"/>
          <w:sz w:val="26"/>
        </w:rPr>
        <w:t>[2], [3], [4], [16]</w:t>
      </w:r>
      <w:r w:rsidR="00A47DDC">
        <w:rPr>
          <w:rFonts w:ascii="Times New Roman" w:eastAsia="Times New Roman" w:hAnsi="Times New Roman" w:cs="Times New Roman"/>
          <w:bCs/>
          <w:sz w:val="26"/>
          <w:lang w:val="es-PE"/>
        </w:rPr>
        <w:fldChar w:fldCharType="end"/>
      </w:r>
      <w:r w:rsidRPr="00BA7E9C">
        <w:rPr>
          <w:rFonts w:ascii="Times New Roman" w:eastAsia="Times New Roman" w:hAnsi="Times New Roman" w:cs="Times New Roman"/>
          <w:bCs/>
          <w:sz w:val="26"/>
          <w:lang w:val="es-PE"/>
        </w:rPr>
        <w:t>. </w:t>
      </w:r>
    </w:p>
    <w:p w:rsidR="00E24534" w:rsidRDefault="00E24534"/>
    <w:p w:rsidR="00E24534" w:rsidRDefault="00E24534"/>
    <w:p w:rsidR="00E24534" w:rsidRDefault="003F5A0B">
      <w:pPr>
        <w:spacing w:before="80" w:after="240" w:line="240" w:lineRule="auto"/>
        <w:jc w:val="center"/>
      </w:pPr>
      <w:r>
        <w:rPr>
          <w:rFonts w:ascii="Times New Roman" w:eastAsia="Times New Roman" w:hAnsi="Times New Roman" w:cs="Times New Roman"/>
          <w:i/>
          <w:iCs/>
          <w:color w:val="4A5568"/>
          <w:sz w:val="20"/>
        </w:rPr>
        <w:t>Tabla 2. Scrum frente a Prompt-Centered SDLC en este caso.</w:t>
      </w:r>
    </w:p>
    <w:p w:rsidR="00E24534" w:rsidRDefault="003F5A0B">
      <w:pPr>
        <w:spacing w:before="240" w:after="120"/>
      </w:pPr>
      <w:r>
        <w:rPr>
          <w:rFonts w:ascii="Times New Roman" w:eastAsia="Times New Roman" w:hAnsi="Times New Roman" w:cs="Times New Roman"/>
          <w:b/>
          <w:bCs/>
          <w:color w:val="1A5F7A"/>
          <w:sz w:val="26"/>
        </w:rPr>
        <w:lastRenderedPageBreak/>
        <w:t>2.2 Posicionamiento frente a estándares</w:t>
      </w:r>
    </w:p>
    <w:p w:rsidR="003D610D" w:rsidRDefault="003E19C5">
      <w:pPr>
        <w:spacing w:after="160" w:line="360" w:lineRule="auto"/>
        <w:ind w:firstLine="425"/>
        <w:jc w:val="both"/>
      </w:pPr>
      <w:r>
        <w:rPr>
          <w:rFonts w:ascii="Times New Roman" w:eastAsia="Times New Roman" w:hAnsi="Times New Roman"/>
          <w:color w:val="1A1A1A"/>
          <w:sz w:val="24"/>
        </w:rPr>
        <w:t>El anclaje normativo de esta intervención se organiza en tres capas: calidad del proceso (ISO 9001), calidad del producto de software (ISO/IEC 25000, familia SQuaRE) y procesos de prueba (ISO/IEC/IEEE 29119-2).</w:t>
      </w:r>
    </w:p>
    <w:p w:rsidR="00E24534" w:rsidRDefault="003F5A0B">
      <w:pPr>
        <w:spacing w:before="160" w:after="80"/>
      </w:pPr>
      <w:r>
        <w:rPr>
          <w:rFonts w:ascii="Times New Roman" w:eastAsia="Times New Roman" w:hAnsi="Times New Roman" w:cs="Times New Roman"/>
          <w:b/>
          <w:bCs/>
          <w:color w:val="1F3A5F"/>
          <w:sz w:val="24"/>
        </w:rPr>
        <w:t>2.2.1 ISO 9001</w:t>
      </w:r>
    </w:p>
    <w:p w:rsidR="003D610D" w:rsidRDefault="003E19C5">
      <w:pPr>
        <w:spacing w:after="160" w:line="360" w:lineRule="auto"/>
        <w:ind w:firstLine="425"/>
        <w:jc w:val="both"/>
      </w:pPr>
      <w:r>
        <w:rPr>
          <w:rFonts w:ascii="Times New Roman" w:eastAsia="Times New Roman" w:hAnsi="Times New Roman"/>
          <w:color w:val="1A1A1A"/>
          <w:sz w:val="24"/>
        </w:rPr>
        <w:t>ISO 9001 establece requisitos para un sistema de gestión de la calidad basado en procesos, información documentada, verificación y mejora continua (ciclo planificar–hacer–verificar–actuar). En esta intervención no se certifica a la municipalidad ni al software bajo ISO 9001; la norma se usa como ancla de que un desarrollo asistido por inteligencia artificial debe dejar evidencia controlada, y no chats sueltos ni código integrado a ciegas.</w:t>
      </w:r>
    </w:p>
    <w:p w:rsidR="003D610D" w:rsidRDefault="003E19C5">
      <w:pPr>
        <w:spacing w:after="160" w:line="360" w:lineRule="auto"/>
        <w:ind w:firstLine="425"/>
        <w:jc w:val="both"/>
      </w:pPr>
      <w:r>
        <w:rPr>
          <w:rFonts w:ascii="Times New Roman" w:eastAsia="Times New Roman" w:hAnsi="Times New Roman"/>
          <w:color w:val="1A1A1A"/>
          <w:sz w:val="24"/>
        </w:rPr>
        <w:t>Esa exigencia se opera en el Prompt-Centered SDLC de la siguiente manera. El prompt versionado (dimensión D1) cumple la función de información documentada de lo pedido al modelo. La revisión humana antes de integrar equivale a la verificación. El ciclo D2 (medición, diagnóstico, refinamiento y decisión) cumple la función de tratar la no conformidad y de registrar la acción correctiva. El Definition of Done de la Tabla 7 es el criterio de aceptación de cada incremento. El ciclo de vida R/D/I/T/M ya cubre las fases de construcción; por ello no se adopta ISO/IEC/IEEE 12207 como norma rectora del caso.</w:t>
      </w:r>
    </w:p>
    <w:p w:rsidR="00E24534" w:rsidRDefault="00E24534"/>
    <w:p w:rsidR="00E24534" w:rsidRDefault="003F5A0B">
      <w:pPr>
        <w:spacing w:before="160" w:after="80"/>
      </w:pPr>
      <w:r>
        <w:rPr>
          <w:rFonts w:ascii="Times New Roman" w:eastAsia="Times New Roman" w:hAnsi="Times New Roman" w:cs="Times New Roman"/>
          <w:b/>
          <w:bCs/>
          <w:color w:val="1F3A5F"/>
          <w:sz w:val="24"/>
        </w:rPr>
        <w:t>2.2.2 ISO/IEC 25000</w:t>
      </w:r>
    </w:p>
    <w:p w:rsidR="003D610D" w:rsidRDefault="003E19C5">
      <w:pPr>
        <w:spacing w:after="160" w:line="360" w:lineRule="auto"/>
        <w:ind w:firstLine="425"/>
        <w:jc w:val="both"/>
      </w:pPr>
      <w:r>
        <w:rPr>
          <w:rFonts w:ascii="Times New Roman" w:eastAsia="Times New Roman" w:hAnsi="Times New Roman"/>
          <w:color w:val="1A1A1A"/>
          <w:sz w:val="24"/>
        </w:rPr>
        <w:t>La familia ISO/IEC 25000, conocida como SQuaRE (Systems and software Quality Requirements and Evaluation), es el marco internacional para especificar, medir y evaluar la calidad del producto de software. En este caso no se aplica el modelo completo de características SQuaRE. Se retienen tres características de calidad del producto, que se operan como requisitos no funcionales (R-005) y como criterios del Definition of Done (Tabla 7): adecuación funcional, mantenibilidad y eficiencia en el desempeño.</w:t>
      </w:r>
    </w:p>
    <w:p w:rsidR="003D610D" w:rsidRDefault="003E19C5">
      <w:pPr>
        <w:spacing w:after="160" w:line="360" w:lineRule="auto"/>
        <w:ind w:firstLine="425"/>
        <w:jc w:val="both"/>
      </w:pPr>
      <w:r>
        <w:rPr>
          <w:rFonts w:ascii="Times New Roman" w:eastAsia="Times New Roman" w:hAnsi="Times New Roman"/>
          <w:color w:val="1A1A1A"/>
          <w:sz w:val="24"/>
        </w:rPr>
        <w:t xml:space="preserve">La adecuación funcional exige que el software cubra las funciones acordadas de forma correcta y completa. Se evidencia en la ficha de proyecto, en las 56 historias de usuario, en el cierre de ambigüedades y en las pruebas que verifican los criterios de aceptación. La mantenibilidad exige que el software pueda analizarse, modificarse y restaurarse de forma controlada. Se evidencia en el modelo de datos, en los ADR-001 y ADR-002, en la regla de un prompt de implementación por incremento y en el plan de retorno (M-004). La </w:t>
      </w:r>
      <w:r>
        <w:rPr>
          <w:rFonts w:ascii="Times New Roman" w:eastAsia="Times New Roman" w:hAnsi="Times New Roman"/>
          <w:color w:val="1A1A1A"/>
          <w:sz w:val="24"/>
        </w:rPr>
        <w:lastRenderedPageBreak/>
        <w:t>eficiencia en el desempeño exige un uso razonable de recursos en el entorno real: el sistema opera sobre PHP en hosting compartido, el componente de aprendizaje automático se degrada si el servicio no responde (ADR-002) y los reportes y el inventario deben permanecer utilizables sin un servidor dedicado.</w:t>
      </w:r>
    </w:p>
    <w:p w:rsidR="003D610D" w:rsidRDefault="003E19C5">
      <w:pPr>
        <w:spacing w:after="160" w:line="360" w:lineRule="auto"/>
        <w:ind w:firstLine="425"/>
        <w:jc w:val="both"/>
      </w:pPr>
      <w:r>
        <w:rPr>
          <w:rFonts w:ascii="Times New Roman" w:eastAsia="Times New Roman" w:hAnsi="Times New Roman"/>
          <w:color w:val="1A1A1A"/>
          <w:sz w:val="24"/>
        </w:rPr>
        <w:t>No se pretende una evaluación SQuaRE de certificación. La seguridad, la usabilidad, la compatibilidad y la portabilidad no se puntúan aquí como características autónomas del producto: la seguridad se trata como requisito no funcional y como guardrail de gobernanza (apartado 4.1). El mapeo de las tres características retenidas sobre las fases del ciclo se presenta en la Tabla 3.</w:t>
      </w:r>
    </w:p>
    <w:p w:rsidR="00E24534" w:rsidRDefault="00E24534"/>
    <w:p w:rsidR="00E24534" w:rsidRDefault="003F5A0B">
      <w:pPr>
        <w:spacing w:before="160" w:after="80"/>
      </w:pPr>
      <w:r>
        <w:rPr>
          <w:rFonts w:ascii="Times New Roman" w:eastAsia="Times New Roman" w:hAnsi="Times New Roman" w:cs="Times New Roman"/>
          <w:b/>
          <w:bCs/>
          <w:color w:val="1F3A5F"/>
          <w:sz w:val="24"/>
        </w:rPr>
        <w:t>2.2.3 ISO/IEC/IEEE 29119-2</w:t>
      </w:r>
      <w:r w:rsidR="00D4320B">
        <w:rPr>
          <w:rFonts w:ascii="Times New Roman" w:eastAsia="Times New Roman" w:hAnsi="Times New Roman" w:cs="Times New Roman"/>
          <w:b/>
          <w:bCs/>
          <w:color w:val="1F3A5F"/>
          <w:sz w:val="24"/>
        </w:rPr>
        <w:t xml:space="preserve"> </w:t>
      </w:r>
    </w:p>
    <w:p w:rsidR="003D610D" w:rsidRDefault="003E19C5">
      <w:pPr>
        <w:spacing w:after="160" w:line="360" w:lineRule="auto"/>
        <w:ind w:firstLine="425"/>
        <w:jc w:val="both"/>
      </w:pPr>
      <w:r>
        <w:rPr>
          <w:rFonts w:ascii="Times New Roman" w:eastAsia="Times New Roman" w:hAnsi="Times New Roman"/>
          <w:color w:val="1A1A1A"/>
          <w:sz w:val="24"/>
        </w:rPr>
        <w:t>ISO/IEC/IEEE 29119-2 describe los procesos de prueba de software: planificación, diseño e implementación de pruebas, entorno, ejecución e informe de incidentes. En Sigemad esa estructura se alinea con la familia T. T-001 es el plan funcional, elaborado y ejecutado bajo responsabilidad humana. T-002, T-003 y T-004 implementan y ejecutan pruebas en PHPUnit, Vitest y pytest. T-005 queda como plantilla de diagnóstico cuando un caso falla. El responsable interpreta los resultados; el modelo no cierra la fase de pruebas por sí solo.</w:t>
      </w:r>
    </w:p>
    <w:p w:rsidR="003D610D" w:rsidRDefault="003E19C5">
      <w:pPr>
        <w:spacing w:after="160" w:line="360" w:lineRule="auto"/>
        <w:ind w:firstLine="425"/>
        <w:jc w:val="both"/>
      </w:pPr>
      <w:r>
        <w:rPr>
          <w:rFonts w:ascii="Times New Roman" w:eastAsia="Times New Roman" w:hAnsi="Times New Roman"/>
          <w:color w:val="1A1A1A"/>
          <w:sz w:val="24"/>
        </w:rPr>
        <w:t>ISO/IEC 29110 se menciona solo como contexto de un equipo muy pequeño (very small entity), no como norma de diseño del ciclo. El anclaje de pruebas de este caso es 29119-2, no el perfil 29110.</w:t>
      </w:r>
    </w:p>
    <w:p w:rsidR="00460CDC" w:rsidRDefault="00460CDC"/>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ayout w:type="fixed"/>
        <w:tblLook w:val="07E0" w:firstRow="1" w:lastRow="1" w:firstColumn="1" w:lastColumn="1" w:noHBand="1" w:noVBand="1"/>
      </w:tblPr>
      <w:tblGrid>
        <w:gridCol w:w="1701"/>
        <w:gridCol w:w="1701"/>
        <w:gridCol w:w="2948"/>
        <w:gridCol w:w="2438"/>
      </w:tblGrid>
      <w:tr w:rsidR="00E24534">
        <w:trPr>
          <w:jc w:val="center"/>
        </w:trPr>
        <w:tc>
          <w:tcPr>
            <w:tcW w:w="1701"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Fase</w:t>
            </w:r>
          </w:p>
        </w:tc>
        <w:tc>
          <w:tcPr>
            <w:tcW w:w="1701"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Prompts</w:t>
            </w:r>
          </w:p>
        </w:tc>
        <w:tc>
          <w:tcPr>
            <w:tcW w:w="2948"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40" w:after="40" w:line="240" w:lineRule="auto"/>
              <w:jc w:val="center"/>
            </w:pPr>
            <w:r>
              <w:rPr>
                <w:rFonts w:ascii="Times New Roman" w:eastAsia="Times New Roman" w:hAnsi="Times New Roman" w:cs="Times New Roman"/>
                <w:b/>
                <w:bCs/>
                <w:color w:val="1A1A1A"/>
                <w:sz w:val="16"/>
              </w:rPr>
              <w:t>Característica ISO/IEC 25000 (producto)</w:t>
            </w:r>
          </w:p>
        </w:tc>
        <w:tc>
          <w:tcPr>
            <w:tcW w:w="2438"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Producto en Sigemad</w:t>
            </w:r>
          </w:p>
        </w:tc>
      </w:tr>
      <w:tr w:rsidR="00E24534">
        <w:trPr>
          <w:cantSplit/>
          <w:jc w:val="center"/>
        </w:trPr>
        <w:tc>
          <w:tcPr>
            <w:tcW w:w="170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Requisitos</w:t>
            </w:r>
          </w:p>
        </w:tc>
        <w:tc>
          <w:tcPr>
            <w:tcW w:w="170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R-001 … R-006</w:t>
            </w:r>
          </w:p>
        </w:tc>
        <w:tc>
          <w:tcPr>
            <w:tcW w:w="294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line="240" w:lineRule="auto"/>
            </w:pPr>
            <w:r>
              <w:rPr>
                <w:rFonts w:ascii="Times New Roman" w:eastAsia="Times New Roman" w:hAnsi="Times New Roman" w:cs="Times New Roman"/>
                <w:color w:val="1A1A1A"/>
                <w:sz w:val="16"/>
              </w:rPr>
              <w:t>Adecuación funcional</w:t>
            </w:r>
          </w:p>
        </w:tc>
        <w:tc>
          <w:tcPr>
            <w:tcW w:w="243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Ficha, 56 HU, personas, ambigüedades, RNF</w:t>
            </w:r>
          </w:p>
        </w:tc>
      </w:tr>
      <w:tr w:rsidR="00E24534">
        <w:trPr>
          <w:cantSplit/>
          <w:jc w:val="center"/>
        </w:trPr>
        <w:tc>
          <w:tcPr>
            <w:tcW w:w="170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Diseño</w:t>
            </w:r>
          </w:p>
        </w:tc>
        <w:tc>
          <w:tcPr>
            <w:tcW w:w="170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D-001 … D-007</w:t>
            </w:r>
          </w:p>
        </w:tc>
        <w:tc>
          <w:tcPr>
            <w:tcW w:w="294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line="240" w:lineRule="auto"/>
            </w:pPr>
            <w:r>
              <w:rPr>
                <w:rFonts w:ascii="Times New Roman" w:eastAsia="Times New Roman" w:hAnsi="Times New Roman" w:cs="Times New Roman"/>
                <w:color w:val="1A1A1A"/>
                <w:sz w:val="16"/>
              </w:rPr>
              <w:t>Mantenibilidad (modularidad, analizabilidad)</w:t>
            </w:r>
          </w:p>
        </w:tc>
        <w:tc>
          <w:tcPr>
            <w:tcW w:w="243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ER, ADR-001, ADR-002, contrato API</w:t>
            </w:r>
          </w:p>
        </w:tc>
      </w:tr>
      <w:tr w:rsidR="00E24534">
        <w:trPr>
          <w:cantSplit/>
          <w:jc w:val="center"/>
        </w:trPr>
        <w:tc>
          <w:tcPr>
            <w:tcW w:w="170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Implementación</w:t>
            </w:r>
          </w:p>
        </w:tc>
        <w:tc>
          <w:tcPr>
            <w:tcW w:w="170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I-001 … I-017</w:t>
            </w:r>
          </w:p>
        </w:tc>
        <w:tc>
          <w:tcPr>
            <w:tcW w:w="294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line="240" w:lineRule="auto"/>
            </w:pPr>
            <w:r>
              <w:rPr>
                <w:rFonts w:ascii="Times New Roman" w:eastAsia="Times New Roman" w:hAnsi="Times New Roman" w:cs="Times New Roman"/>
                <w:color w:val="1A1A1A"/>
                <w:sz w:val="16"/>
              </w:rPr>
              <w:t>Eficiencia en el desempeño</w:t>
            </w:r>
          </w:p>
        </w:tc>
        <w:tc>
          <w:tcPr>
            <w:tcW w:w="243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Incrementos 0.1.0–0.9.1</w:t>
            </w:r>
          </w:p>
        </w:tc>
      </w:tr>
      <w:tr w:rsidR="00E24534">
        <w:trPr>
          <w:cantSplit/>
          <w:jc w:val="center"/>
        </w:trPr>
        <w:tc>
          <w:tcPr>
            <w:tcW w:w="170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Pruebas</w:t>
            </w:r>
          </w:p>
        </w:tc>
        <w:tc>
          <w:tcPr>
            <w:tcW w:w="170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T-001 … T-014</w:t>
            </w:r>
          </w:p>
        </w:tc>
        <w:tc>
          <w:tcPr>
            <w:tcW w:w="294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line="240" w:lineRule="auto"/>
            </w:pPr>
            <w:r>
              <w:rPr>
                <w:rFonts w:ascii="Times New Roman" w:eastAsia="Times New Roman" w:hAnsi="Times New Roman" w:cs="Times New Roman"/>
                <w:color w:val="1A1A1A"/>
                <w:sz w:val="16"/>
              </w:rPr>
              <w:t>Adecuación funcional (corrección funcional)</w:t>
            </w:r>
          </w:p>
        </w:tc>
        <w:tc>
          <w:tcPr>
            <w:tcW w:w="243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Plan, PHPUnit, Vitest, pytest</w:t>
            </w:r>
          </w:p>
        </w:tc>
      </w:tr>
      <w:tr w:rsidR="00E24534">
        <w:trPr>
          <w:cantSplit/>
          <w:jc w:val="center"/>
        </w:trPr>
        <w:tc>
          <w:tcPr>
            <w:tcW w:w="170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Mantenimiento</w:t>
            </w:r>
          </w:p>
        </w:tc>
        <w:tc>
          <w:tcPr>
            <w:tcW w:w="170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M-001 … M-004</w:t>
            </w:r>
          </w:p>
        </w:tc>
        <w:tc>
          <w:tcPr>
            <w:tcW w:w="294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line="240" w:lineRule="auto"/>
            </w:pPr>
            <w:r>
              <w:rPr>
                <w:rFonts w:ascii="Times New Roman" w:eastAsia="Times New Roman" w:hAnsi="Times New Roman" w:cs="Times New Roman"/>
                <w:color w:val="1A1A1A"/>
                <w:sz w:val="16"/>
              </w:rPr>
              <w:t>Mantenibilidad (modificabilidad y restauración)</w:t>
            </w:r>
          </w:p>
        </w:tc>
        <w:tc>
          <w:tcPr>
            <w:tcW w:w="243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Puesta en producción, impacto, rollback</w:t>
            </w:r>
          </w:p>
        </w:tc>
      </w:tr>
    </w:tbl>
    <w:p w:rsidR="00E24534" w:rsidRDefault="003F5A0B">
      <w:pPr>
        <w:spacing w:before="80" w:after="240" w:line="240" w:lineRule="auto"/>
        <w:jc w:val="center"/>
      </w:pPr>
      <w:r>
        <w:rPr>
          <w:rFonts w:ascii="Times New Roman" w:eastAsia="Times New Roman" w:hAnsi="Times New Roman" w:cs="Times New Roman"/>
          <w:i/>
          <w:iCs/>
          <w:color w:val="1A1A1A"/>
        </w:rPr>
        <w:t>Tabla 3. Fases del Prompt-Centered SDLC y características de calidad ISO/IEC 25000.</w:t>
      </w:r>
    </w:p>
    <w:p w:rsidR="00E24534" w:rsidRDefault="003F5A0B">
      <w:pPr>
        <w:spacing w:before="240" w:after="120"/>
      </w:pPr>
      <w:r>
        <w:rPr>
          <w:rFonts w:ascii="Times New Roman" w:eastAsia="Times New Roman" w:hAnsi="Times New Roman" w:cs="Times New Roman"/>
          <w:b/>
          <w:bCs/>
          <w:color w:val="1A5F7A"/>
          <w:sz w:val="26"/>
        </w:rPr>
        <w:t>2.3 Posicionamiento frente a la literatura de IA en el SDLC</w:t>
      </w:r>
    </w:p>
    <w:p w:rsidR="003D610D" w:rsidRDefault="003E19C5">
      <w:pPr>
        <w:spacing w:after="160" w:line="360" w:lineRule="auto"/>
        <w:ind w:firstLine="425"/>
        <w:jc w:val="both"/>
      </w:pPr>
      <w:r>
        <w:rPr>
          <w:rFonts w:ascii="Times New Roman" w:eastAsia="Times New Roman" w:hAnsi="Times New Roman"/>
          <w:color w:val="1A1A1A"/>
          <w:sz w:val="24"/>
        </w:rPr>
        <w:lastRenderedPageBreak/>
        <w:t>El apartado 2.1 situó el problema (ambigüedad del pedido al modelo, código inseguro y desajuste de Scrum para un solo desarrollador con agente). Este apartado posiciona la intervención frente a cinco fuentes de la literatura de inteligencia artificial en el ciclo de vida del software. Se eligieron porque cubren, sin repetirse, las cinco pretensiones del Prompt-Centered SDLC: conservar fases estables, integrar IA con gobernanza, abandonar el sprint como unidad de planificación, tratar el prompt como artefacto de calidad y evaluar las salidas generadas antes de integrarlas. La Tabla 4 resume, para cada fuente, qué aporta, qué no cubre y qué brecha cierra este caso.</w:t>
      </w:r>
    </w:p>
    <w:p w:rsidR="003D610D" w:rsidRDefault="003E19C5">
      <w:pPr>
        <w:spacing w:before="120" w:after="120" w:line="360" w:lineRule="auto"/>
      </w:pPr>
      <w:r>
        <w:rPr>
          <w:rFonts w:ascii="Times New Roman" w:eastAsia="Times New Roman" w:hAnsi="Times New Roman"/>
          <w:b/>
          <w:color w:val="1A1A1A"/>
          <w:sz w:val="24"/>
        </w:rPr>
        <w:t>2.3.1 Yas, Alazzawi y Rahmatullah (2023): el esqueleto del SDLC</w:t>
      </w:r>
    </w:p>
    <w:p w:rsidR="003D610D" w:rsidRDefault="003E19C5">
      <w:pPr>
        <w:spacing w:after="160" w:line="360" w:lineRule="auto"/>
        <w:ind w:firstLine="425"/>
        <w:jc w:val="both"/>
      </w:pPr>
      <w:r>
        <w:rPr>
          <w:rFonts w:ascii="Times New Roman" w:eastAsia="Times New Roman" w:hAnsi="Times New Roman"/>
          <w:color w:val="1A1A1A"/>
          <w:sz w:val="24"/>
        </w:rPr>
        <w:t>Yas, Alazzawi y Rahmatullah [22] revisan metodologías del ciclo de vida y las agrupan en enfoques tradicionales (cascada, iterativo, espiral, V-Model) y ágiles (XP, Scrum, FDD, Kanban). El hallazgo que se retiene no es la superioridad de un modelo, sino dos hechos: no existe metodología universal, y todo desarrollo sigue fases reconocibles de análisis de requisitos, diseño, implementación, pruebas y mantenimiento. Scrum aparece como un modelo ágil más, no como el ciclo.</w:t>
      </w:r>
    </w:p>
    <w:p w:rsidR="003D610D" w:rsidRDefault="003E19C5">
      <w:pPr>
        <w:spacing w:after="160" w:line="360" w:lineRule="auto"/>
        <w:ind w:firstLine="425"/>
        <w:jc w:val="both"/>
      </w:pPr>
      <w:r>
        <w:rPr>
          <w:rFonts w:ascii="Times New Roman" w:eastAsia="Times New Roman" w:hAnsi="Times New Roman"/>
          <w:color w:val="1A1A1A"/>
          <w:sz w:val="24"/>
        </w:rPr>
        <w:t>El artículo no trata inteligencia artificial ni el prompt. Su valor para esta intervención es de ancla: Sigemad conserva R, D, I, T y M, y sitúa la IA dentro de cada fase, en lugar de sustituir el SDLC por un chat continuo o por un marco ágil pensado solo para equipos humanos.</w:t>
      </w:r>
    </w:p>
    <w:p w:rsidR="003D610D" w:rsidRDefault="003E19C5">
      <w:pPr>
        <w:spacing w:before="120" w:after="120" w:line="360" w:lineRule="auto"/>
      </w:pPr>
      <w:r>
        <w:rPr>
          <w:rFonts w:ascii="Times New Roman" w:eastAsia="Times New Roman" w:hAnsi="Times New Roman"/>
          <w:b/>
          <w:color w:val="1A1A1A"/>
          <w:sz w:val="24"/>
        </w:rPr>
        <w:t>2.3.2 Paladino y Pons (2025): la IA entra al ciclo, con barreras</w:t>
      </w:r>
    </w:p>
    <w:p w:rsidR="003D610D" w:rsidRDefault="003E19C5">
      <w:pPr>
        <w:spacing w:after="160" w:line="360" w:lineRule="auto"/>
        <w:ind w:firstLine="425"/>
        <w:jc w:val="both"/>
      </w:pPr>
      <w:r>
        <w:rPr>
          <w:rFonts w:ascii="Times New Roman" w:eastAsia="Times New Roman" w:hAnsi="Times New Roman"/>
          <w:color w:val="1A1A1A"/>
          <w:sz w:val="24"/>
        </w:rPr>
        <w:t>Paladino y Pons [23] revisan literatura de 2022 a 2025 sobre la integración de inteligencia artificial en el SDLC. Muestran que la IA ya se usa en planificación, requisitos, diseño, código, pruebas y mantenimiento, pero que la adopción no es homogénea: las fases más críticas son planificación, pruebas y despliegue. Las barreras son técnicas (calidad de datos, integración con sistemas heredados, código inseguro), organizacionales (capacitación, resistencia al cambio) y éticas (privacidad, transparencia y explicabilidad).</w:t>
      </w:r>
    </w:p>
    <w:p w:rsidR="003D610D" w:rsidRDefault="003E19C5">
      <w:pPr>
        <w:spacing w:after="160" w:line="360" w:lineRule="auto"/>
        <w:ind w:firstLine="425"/>
        <w:jc w:val="both"/>
      </w:pPr>
      <w:r>
        <w:rPr>
          <w:rFonts w:ascii="Times New Roman" w:eastAsia="Times New Roman" w:hAnsi="Times New Roman"/>
          <w:color w:val="1A1A1A"/>
          <w:sz w:val="24"/>
        </w:rPr>
        <w:t>El estudio aporta la premisa de que no basta con adoptar un asistente: hace falta estrategia. No convierte, sin embargo, el prompt en un registro versionado ni define un ciclo de evaluación con decisión escrita. Esa brecha se opera aquí con la política mínima de uso de IA (D4), el nivel N2 y la revisión humana antes de integrar.</w:t>
      </w:r>
    </w:p>
    <w:p w:rsidR="003D610D" w:rsidRDefault="003E19C5">
      <w:pPr>
        <w:spacing w:before="120" w:after="120" w:line="360" w:lineRule="auto"/>
      </w:pPr>
      <w:r>
        <w:rPr>
          <w:rFonts w:ascii="Times New Roman" w:eastAsia="Times New Roman" w:hAnsi="Times New Roman"/>
          <w:b/>
          <w:color w:val="1A1A1A"/>
          <w:sz w:val="24"/>
        </w:rPr>
        <w:lastRenderedPageBreak/>
        <w:t>2.3.3 Hymel: el sprint deja de calibrar el trabajo</w:t>
      </w:r>
    </w:p>
    <w:p w:rsidR="003D610D" w:rsidRDefault="003E19C5">
      <w:pPr>
        <w:spacing w:after="160" w:line="360" w:lineRule="auto"/>
        <w:ind w:firstLine="425"/>
        <w:jc w:val="both"/>
      </w:pPr>
      <w:r>
        <w:rPr>
          <w:rFonts w:ascii="Times New Roman" w:eastAsia="Times New Roman" w:hAnsi="Times New Roman"/>
          <w:color w:val="1A1A1A"/>
          <w:sz w:val="24"/>
        </w:rPr>
        <w:t>Hymel [24] propone un SDLC nativo de IA y el modelo V-Bounce, adaptación del modelo en V. El argumento central es que, cuando la generación de código se comprime, el sprint de dos semanas —caja de tiempo pensada para capacidad humana— deja de dimensionar el trabajo. El esfuerzo se desplaza a requisitos, arquitectura, diseño y validación continua. El humano pasa de implementador principal a validador. Cada fase se describe como entrada, generación por IA, revisión humana, refinamiento, aprobación y captura de conocimiento.</w:t>
      </w:r>
    </w:p>
    <w:p w:rsidR="003D610D" w:rsidRDefault="003E19C5">
      <w:pPr>
        <w:spacing w:after="160" w:line="360" w:lineRule="auto"/>
        <w:ind w:firstLine="425"/>
        <w:jc w:val="both"/>
      </w:pPr>
      <w:r>
        <w:rPr>
          <w:rFonts w:ascii="Times New Roman" w:eastAsia="Times New Roman" w:hAnsi="Times New Roman"/>
          <w:color w:val="1A1A1A"/>
          <w:sz w:val="24"/>
        </w:rPr>
        <w:t>Se cita como white paper de Crowdbotics, no como artículo arbitrado. Su aporte es teórico y coincide con la unidad de planificación de este caso: el incremento acotado, no el sprint. Lo que no ofrece es un instrumento auditable prompt–commit–archivo; esa traza se resuelve con D2, el registro de versiones y la matriz de doble entrada.</w:t>
      </w:r>
    </w:p>
    <w:p w:rsidR="003D610D" w:rsidRDefault="003E19C5">
      <w:pPr>
        <w:spacing w:before="120" w:after="120" w:line="360" w:lineRule="auto"/>
      </w:pPr>
      <w:r>
        <w:rPr>
          <w:rFonts w:ascii="Times New Roman" w:eastAsia="Times New Roman" w:hAnsi="Times New Roman"/>
          <w:b/>
          <w:color w:val="1A1A1A"/>
          <w:sz w:val="24"/>
        </w:rPr>
        <w:t>2.3.4 Wang et al.: la calidad del prompt condiciona la seguridad del código</w:t>
      </w:r>
    </w:p>
    <w:p w:rsidR="003D610D" w:rsidRDefault="003E19C5">
      <w:pPr>
        <w:spacing w:after="160" w:line="360" w:lineRule="auto"/>
        <w:ind w:firstLine="425"/>
        <w:jc w:val="both"/>
      </w:pPr>
      <w:r>
        <w:rPr>
          <w:rFonts w:ascii="Times New Roman" w:eastAsia="Times New Roman" w:hAnsi="Times New Roman"/>
          <w:color w:val="1A1A1A"/>
          <w:sz w:val="24"/>
        </w:rPr>
        <w:t>Wang et al. [7] muestran, con un banco de tareas en Python alineado a CWE, que un prompt benévolo pero pobre —poco claro, incompleto o lógicamente inconsistente— aumenta de forma marcada la probabilidad de código inseguro. Técnicas como cadena de pensamiento y autocorrección reducen ese riesgo. El hallazgo desplaza el problema de “el modelo es inseguro” hacia “el pedido al modelo es un control de calidad”.</w:t>
      </w:r>
    </w:p>
    <w:p w:rsidR="003D610D" w:rsidRDefault="003E19C5">
      <w:pPr>
        <w:spacing w:after="160" w:line="360" w:lineRule="auto"/>
        <w:ind w:firstLine="425"/>
        <w:jc w:val="both"/>
      </w:pPr>
      <w:r>
        <w:rPr>
          <w:rFonts w:ascii="Times New Roman" w:eastAsia="Times New Roman" w:hAnsi="Times New Roman"/>
          <w:color w:val="1A1A1A"/>
          <w:sz w:val="24"/>
        </w:rPr>
        <w:t>El experimento no está hecho en PHP ni en un dominio municipal; no se extrapola el porcentaje de defectos a Sigemad. Sí se retiene la relación calidad del prompt ↔ seguridad, que justifica la anatomía D1 (objetivo, restricciones y bloque «No hacer»), la prohibición de secretos en el prompt y la revisión humana del Definition of Done. El paper no versiona prompts ni los ata a un commit.</w:t>
      </w:r>
    </w:p>
    <w:p w:rsidR="003D610D" w:rsidRDefault="003E19C5">
      <w:pPr>
        <w:spacing w:before="120" w:after="120" w:line="360" w:lineRule="auto"/>
      </w:pPr>
      <w:r>
        <w:rPr>
          <w:rFonts w:ascii="Times New Roman" w:eastAsia="Times New Roman" w:hAnsi="Times New Roman"/>
          <w:b/>
          <w:color w:val="1A1A1A"/>
          <w:sz w:val="24"/>
        </w:rPr>
        <w:t>2.3.5 Esposito et al. (2026): GenAI en arquitectura y salidas sin evaluación rigurosa</w:t>
      </w:r>
    </w:p>
    <w:p w:rsidR="003D610D" w:rsidRDefault="003E19C5">
      <w:pPr>
        <w:spacing w:after="160" w:line="360" w:lineRule="auto"/>
        <w:ind w:firstLine="425"/>
        <w:jc w:val="both"/>
      </w:pPr>
      <w:r>
        <w:rPr>
          <w:rFonts w:ascii="Times New Roman" w:eastAsia="Times New Roman" w:hAnsi="Times New Roman"/>
          <w:color w:val="1A1A1A"/>
          <w:sz w:val="24"/>
        </w:rPr>
        <w:t>Esposito et al. [25] publican en Journal of Systems and Software una revisión multivocal sobre GenAI en arquitectura de software. Encuentran uso concentrado en las etapas iniciales del ciclo de arquitectura (de requisitos a arquitectura y de arquitectura a código), con GPT, few-shot y RAG, sobre todo en monolitos y microservicios. El hallazgo crítico para esta intervención es que las salidas casi nunca se someten a prueba rigurosa, y que persisten alucinaciones, huecos éticos y ausencia de marcos de evaluación.</w:t>
      </w:r>
    </w:p>
    <w:p w:rsidR="003D610D" w:rsidRDefault="003E19C5">
      <w:pPr>
        <w:spacing w:after="160" w:line="360" w:lineRule="auto"/>
        <w:ind w:firstLine="425"/>
        <w:jc w:val="both"/>
      </w:pPr>
      <w:r>
        <w:rPr>
          <w:rFonts w:ascii="Times New Roman" w:eastAsia="Times New Roman" w:hAnsi="Times New Roman"/>
          <w:color w:val="1A1A1A"/>
          <w:sz w:val="24"/>
        </w:rPr>
        <w:lastRenderedPageBreak/>
        <w:t>El artículo no cubre el ciclo completo ni un repositorio de prompts. Sí justifica que un ADR o un esquema generado por el agente no se aceptan por el hecho de haber sido generados: en Sigemad esa evaluación es D2 (métrica, diagnóstico, refinamiento y decisión Aprobado / Refinado / Rechazado / Dividir / Superado) y se aplica de forma explícita a los entregables de diseño (D-001 a D-006, ADR-001 y ADR-002).</w:t>
      </w:r>
    </w:p>
    <w:p w:rsidR="00E24534" w:rsidRDefault="00E24534"/>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ayout w:type="fixed"/>
        <w:tblLook w:val="07E0" w:firstRow="1" w:lastRow="1" w:firstColumn="1" w:lastColumn="1" w:noHBand="1" w:noVBand="1"/>
      </w:tblPr>
      <w:tblGrid>
        <w:gridCol w:w="2268"/>
        <w:gridCol w:w="2098"/>
        <w:gridCol w:w="2041"/>
        <w:gridCol w:w="2381"/>
      </w:tblGrid>
      <w:tr w:rsidR="00E24534">
        <w:trPr>
          <w:jc w:val="center"/>
        </w:trPr>
        <w:tc>
          <w:tcPr>
            <w:tcW w:w="2268"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Fuente</w:t>
            </w:r>
          </w:p>
        </w:tc>
        <w:tc>
          <w:tcPr>
            <w:tcW w:w="2098"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Qué aporta</w:t>
            </w:r>
          </w:p>
        </w:tc>
        <w:tc>
          <w:tcPr>
            <w:tcW w:w="2041"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Qué no cubre</w:t>
            </w:r>
          </w:p>
        </w:tc>
        <w:tc>
          <w:tcPr>
            <w:tcW w:w="2381"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Brecha que cierra esta propuesta</w:t>
            </w:r>
          </w:p>
        </w:tc>
      </w:tr>
      <w:tr w:rsidR="00E24534">
        <w:trPr>
          <w:cantSplit/>
          <w:jc w:val="center"/>
        </w:trPr>
        <w:tc>
          <w:tcPr>
            <w:tcW w:w="226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line="240" w:lineRule="auto"/>
            </w:pPr>
            <w:r>
              <w:rPr>
                <w:rFonts w:ascii="Times New Roman" w:eastAsia="Times New Roman" w:hAnsi="Times New Roman" w:cs="Times New Roman"/>
                <w:color w:val="1A1A1A"/>
                <w:sz w:val="16"/>
              </w:rPr>
              <w:t>Yas, Alazzawi y Rahmatullah (2023) [22]</w:t>
            </w:r>
          </w:p>
        </w:tc>
        <w:tc>
          <w:tcPr>
            <w:tcW w:w="209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line="240" w:lineRule="auto"/>
            </w:pPr>
            <w:r>
              <w:rPr>
                <w:rFonts w:ascii="Times New Roman" w:eastAsia="Times New Roman" w:hAnsi="Times New Roman" w:cs="Times New Roman"/>
                <w:color w:val="1A1A1A"/>
                <w:sz w:val="16"/>
              </w:rPr>
              <w:t>Fases estables del SDLC; Scrum es un modelo ágil más, no el ciclo</w:t>
            </w:r>
          </w:p>
        </w:tc>
        <w:tc>
          <w:tcPr>
            <w:tcW w:w="204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line="240" w:lineRule="auto"/>
            </w:pPr>
            <w:r>
              <w:rPr>
                <w:rFonts w:ascii="Times New Roman" w:eastAsia="Times New Roman" w:hAnsi="Times New Roman" w:cs="Times New Roman"/>
                <w:color w:val="1A1A1A"/>
                <w:sz w:val="16"/>
              </w:rPr>
              <w:t>IA y prompt como artefacto</w:t>
            </w:r>
          </w:p>
        </w:tc>
        <w:tc>
          <w:tcPr>
            <w:tcW w:w="238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line="240" w:lineRule="auto"/>
            </w:pPr>
            <w:r>
              <w:rPr>
                <w:rFonts w:ascii="Times New Roman" w:eastAsia="Times New Roman" w:hAnsi="Times New Roman" w:cs="Times New Roman"/>
                <w:color w:val="1A1A1A"/>
                <w:sz w:val="16"/>
              </w:rPr>
              <w:t>Se conservan R/D/I/T/M; la IA entra dentro de cada fase</w:t>
            </w:r>
          </w:p>
        </w:tc>
      </w:tr>
      <w:tr w:rsidR="00E24534">
        <w:trPr>
          <w:cantSplit/>
          <w:jc w:val="center"/>
        </w:trPr>
        <w:tc>
          <w:tcPr>
            <w:tcW w:w="226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line="240" w:lineRule="auto"/>
            </w:pPr>
            <w:r>
              <w:rPr>
                <w:rFonts w:ascii="Times New Roman" w:eastAsia="Times New Roman" w:hAnsi="Times New Roman" w:cs="Times New Roman"/>
                <w:color w:val="1A1A1A"/>
                <w:sz w:val="16"/>
              </w:rPr>
              <w:t>Paladino y Pons (2025) [23]</w:t>
            </w:r>
          </w:p>
        </w:tc>
        <w:tc>
          <w:tcPr>
            <w:tcW w:w="209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line="240" w:lineRule="auto"/>
            </w:pPr>
            <w:r>
              <w:rPr>
                <w:rFonts w:ascii="Times New Roman" w:eastAsia="Times New Roman" w:hAnsi="Times New Roman" w:cs="Times New Roman"/>
                <w:color w:val="1A1A1A"/>
                <w:sz w:val="16"/>
              </w:rPr>
              <w:t>IA transversal al SDLC; barreras técnicas, organizacionales y éticas</w:t>
            </w:r>
          </w:p>
        </w:tc>
        <w:tc>
          <w:tcPr>
            <w:tcW w:w="204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line="240" w:lineRule="auto"/>
            </w:pPr>
            <w:r>
              <w:rPr>
                <w:rFonts w:ascii="Times New Roman" w:eastAsia="Times New Roman" w:hAnsi="Times New Roman" w:cs="Times New Roman"/>
                <w:color w:val="1A1A1A"/>
                <w:sz w:val="16"/>
              </w:rPr>
              <w:t>Prompt versionado, ciclo D2 y traza Git</w:t>
            </w:r>
          </w:p>
        </w:tc>
        <w:tc>
          <w:tcPr>
            <w:tcW w:w="238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line="240" w:lineRule="auto"/>
            </w:pPr>
            <w:r>
              <w:rPr>
                <w:rFonts w:ascii="Times New Roman" w:eastAsia="Times New Roman" w:hAnsi="Times New Roman" w:cs="Times New Roman"/>
                <w:color w:val="1A1A1A"/>
                <w:sz w:val="16"/>
              </w:rPr>
              <w:t>Política de IA (D4), nivel N2 y revisión humana antes de integrar</w:t>
            </w:r>
          </w:p>
        </w:tc>
      </w:tr>
      <w:tr w:rsidR="00E24534">
        <w:trPr>
          <w:cantSplit/>
          <w:jc w:val="center"/>
        </w:trPr>
        <w:tc>
          <w:tcPr>
            <w:tcW w:w="226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line="240" w:lineRule="auto"/>
            </w:pPr>
            <w:r>
              <w:rPr>
                <w:rFonts w:ascii="Times New Roman" w:eastAsia="Times New Roman" w:hAnsi="Times New Roman" w:cs="Times New Roman"/>
                <w:color w:val="1A1A1A"/>
                <w:sz w:val="16"/>
              </w:rPr>
              <w:t>Hymel (V-Bounce) [24]</w:t>
            </w:r>
          </w:p>
        </w:tc>
        <w:tc>
          <w:tcPr>
            <w:tcW w:w="209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line="240" w:lineRule="auto"/>
            </w:pPr>
            <w:r>
              <w:rPr>
                <w:rFonts w:ascii="Times New Roman" w:eastAsia="Times New Roman" w:hAnsi="Times New Roman" w:cs="Times New Roman"/>
                <w:color w:val="1A1A1A"/>
                <w:sz w:val="16"/>
              </w:rPr>
              <w:t>El sprint deja de calibrar; humano como validador; ciclo entrada–generación–revisión</w:t>
            </w:r>
          </w:p>
        </w:tc>
        <w:tc>
          <w:tcPr>
            <w:tcW w:w="204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line="240" w:lineRule="auto"/>
            </w:pPr>
            <w:r>
              <w:rPr>
                <w:rFonts w:ascii="Times New Roman" w:eastAsia="Times New Roman" w:hAnsi="Times New Roman" w:cs="Times New Roman"/>
                <w:color w:val="1A1A1A"/>
                <w:sz w:val="16"/>
              </w:rPr>
              <w:t>Instrumento auditable prompt–commit–archivo (es white paper, no revista)</w:t>
            </w:r>
          </w:p>
        </w:tc>
        <w:tc>
          <w:tcPr>
            <w:tcW w:w="238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line="240" w:lineRule="auto"/>
            </w:pPr>
            <w:r>
              <w:rPr>
                <w:rFonts w:ascii="Times New Roman" w:eastAsia="Times New Roman" w:hAnsi="Times New Roman" w:cs="Times New Roman"/>
                <w:color w:val="1A1A1A"/>
                <w:sz w:val="16"/>
              </w:rPr>
              <w:t>Unidad de planificación = incremento acotado + registro D2</w:t>
            </w:r>
          </w:p>
        </w:tc>
      </w:tr>
      <w:tr w:rsidR="003D610D">
        <w:trPr>
          <w:jc w:val="center"/>
        </w:trPr>
        <w:tc>
          <w:tcPr>
            <w:tcW w:w="2268" w:type="dxa"/>
          </w:tcPr>
          <w:p w:rsidR="003D610D" w:rsidRDefault="003E19C5">
            <w:pPr>
              <w:spacing w:before="40" w:after="40" w:line="240" w:lineRule="auto"/>
            </w:pPr>
            <w:r>
              <w:rPr>
                <w:rFonts w:ascii="Times New Roman" w:eastAsia="Times New Roman" w:hAnsi="Times New Roman"/>
                <w:color w:val="1A1A1A"/>
                <w:sz w:val="16"/>
              </w:rPr>
              <w:t>Wang et al. [7]</w:t>
            </w:r>
          </w:p>
        </w:tc>
        <w:tc>
          <w:tcPr>
            <w:tcW w:w="2098" w:type="dxa"/>
          </w:tcPr>
          <w:p w:rsidR="003D610D" w:rsidRDefault="003E19C5">
            <w:pPr>
              <w:spacing w:before="40" w:after="40" w:line="240" w:lineRule="auto"/>
            </w:pPr>
            <w:r>
              <w:rPr>
                <w:rFonts w:ascii="Times New Roman" w:eastAsia="Times New Roman" w:hAnsi="Times New Roman"/>
                <w:color w:val="1A1A1A"/>
                <w:sz w:val="16"/>
              </w:rPr>
              <w:t>Prompt poco normativo aumenta código inseguro; CoT y autocorrección mitigan</w:t>
            </w:r>
          </w:p>
        </w:tc>
        <w:tc>
          <w:tcPr>
            <w:tcW w:w="2041" w:type="dxa"/>
          </w:tcPr>
          <w:p w:rsidR="003D610D" w:rsidRDefault="003E19C5">
            <w:pPr>
              <w:spacing w:before="40" w:after="40" w:line="240" w:lineRule="auto"/>
            </w:pPr>
            <w:r>
              <w:rPr>
                <w:rFonts w:ascii="Times New Roman" w:eastAsia="Times New Roman" w:hAnsi="Times New Roman"/>
                <w:color w:val="1A1A1A"/>
                <w:sz w:val="16"/>
              </w:rPr>
              <w:t>Versionado del prompt y caso PHP municipal</w:t>
            </w:r>
          </w:p>
        </w:tc>
        <w:tc>
          <w:tcPr>
            <w:tcW w:w="2381" w:type="dxa"/>
          </w:tcPr>
          <w:p w:rsidR="003D610D" w:rsidRDefault="003E19C5">
            <w:pPr>
              <w:spacing w:before="40" w:after="40" w:line="240" w:lineRule="auto"/>
            </w:pPr>
            <w:r>
              <w:rPr>
                <w:rFonts w:ascii="Times New Roman" w:eastAsia="Times New Roman" w:hAnsi="Times New Roman"/>
                <w:color w:val="1A1A1A"/>
                <w:sz w:val="16"/>
              </w:rPr>
              <w:t>Anatomía D1, bloque «No hacer» y secretos fuera del prompt</w:t>
            </w:r>
          </w:p>
        </w:tc>
      </w:tr>
      <w:tr w:rsidR="003D610D">
        <w:trPr>
          <w:jc w:val="center"/>
        </w:trPr>
        <w:tc>
          <w:tcPr>
            <w:tcW w:w="2268" w:type="dxa"/>
          </w:tcPr>
          <w:p w:rsidR="003D610D" w:rsidRDefault="003E19C5">
            <w:pPr>
              <w:spacing w:before="40" w:after="40" w:line="240" w:lineRule="auto"/>
            </w:pPr>
            <w:r>
              <w:rPr>
                <w:rFonts w:ascii="Times New Roman" w:eastAsia="Times New Roman" w:hAnsi="Times New Roman"/>
                <w:color w:val="1A1A1A"/>
                <w:sz w:val="16"/>
              </w:rPr>
              <w:t>Esposito et al. (2026) [25]</w:t>
            </w:r>
          </w:p>
        </w:tc>
        <w:tc>
          <w:tcPr>
            <w:tcW w:w="2098" w:type="dxa"/>
          </w:tcPr>
          <w:p w:rsidR="003D610D" w:rsidRDefault="003E19C5">
            <w:pPr>
              <w:spacing w:before="40" w:after="40" w:line="240" w:lineRule="auto"/>
            </w:pPr>
            <w:r>
              <w:rPr>
                <w:rFonts w:ascii="Times New Roman" w:eastAsia="Times New Roman" w:hAnsi="Times New Roman"/>
                <w:color w:val="1A1A1A"/>
                <w:sz w:val="16"/>
              </w:rPr>
              <w:t>GenAI en arquitectura; few-shot/RAG; salidas casi nunca se evalúan con rigor</w:t>
            </w:r>
          </w:p>
        </w:tc>
        <w:tc>
          <w:tcPr>
            <w:tcW w:w="2041" w:type="dxa"/>
          </w:tcPr>
          <w:p w:rsidR="003D610D" w:rsidRDefault="003E19C5">
            <w:pPr>
              <w:spacing w:before="40" w:after="40" w:line="240" w:lineRule="auto"/>
            </w:pPr>
            <w:r>
              <w:rPr>
                <w:rFonts w:ascii="Times New Roman" w:eastAsia="Times New Roman" w:hAnsi="Times New Roman"/>
                <w:color w:val="1A1A1A"/>
                <w:sz w:val="16"/>
              </w:rPr>
              <w:t>Ciclo completo, repositorio de prompts y matriz de funciones</w:t>
            </w:r>
          </w:p>
        </w:tc>
        <w:tc>
          <w:tcPr>
            <w:tcW w:w="2381" w:type="dxa"/>
          </w:tcPr>
          <w:p w:rsidR="003D610D" w:rsidRDefault="003E19C5">
            <w:pPr>
              <w:spacing w:before="40" w:after="40" w:line="240" w:lineRule="auto"/>
            </w:pPr>
            <w:r>
              <w:rPr>
                <w:rFonts w:ascii="Times New Roman" w:eastAsia="Times New Roman" w:hAnsi="Times New Roman"/>
                <w:color w:val="1A1A1A"/>
                <w:sz w:val="16"/>
              </w:rPr>
              <w:t>D2 sobre entregables de diseño (ADR, esquema) antes de implementar</w:t>
            </w:r>
          </w:p>
        </w:tc>
      </w:tr>
    </w:tbl>
    <w:p w:rsidR="00E24534" w:rsidRDefault="003F5A0B">
      <w:pPr>
        <w:spacing w:after="160" w:line="360" w:lineRule="auto"/>
        <w:jc w:val="center"/>
      </w:pPr>
      <w:r>
        <w:rPr>
          <w:rFonts w:ascii="Times New Roman" w:eastAsia="Times New Roman" w:hAnsi="Times New Roman" w:cs="Times New Roman"/>
          <w:i/>
          <w:iCs/>
          <w:color w:val="1A1A1A"/>
        </w:rPr>
        <w:t>Tabla 4. Literatura de IA en el SDLC: cinco fuentes (aporta, no cubre y brecha).</w:t>
      </w:r>
    </w:p>
    <w:p w:rsidR="003D610D" w:rsidRDefault="003E19C5">
      <w:pPr>
        <w:spacing w:before="120" w:after="120" w:line="360" w:lineRule="auto"/>
      </w:pPr>
      <w:r>
        <w:rPr>
          <w:rFonts w:ascii="Times New Roman" w:eastAsia="Times New Roman" w:hAnsi="Times New Roman"/>
          <w:b/>
          <w:color w:val="1A1A1A"/>
          <w:sz w:val="24"/>
        </w:rPr>
        <w:t>2.3.6 Síntesis</w:t>
      </w:r>
    </w:p>
    <w:p w:rsidR="003D610D" w:rsidRDefault="003E19C5">
      <w:pPr>
        <w:spacing w:after="160" w:line="360" w:lineRule="auto"/>
        <w:ind w:firstLine="425"/>
        <w:jc w:val="both"/>
      </w:pPr>
      <w:r>
        <w:rPr>
          <w:rFonts w:ascii="Times New Roman" w:eastAsia="Times New Roman" w:hAnsi="Times New Roman"/>
          <w:color w:val="1A1A1A"/>
          <w:sz w:val="24"/>
        </w:rPr>
        <w:t>Ninguna de las cinco fuentes, por sí sola, describe el Prompt-Centered SDLC. Yas [22] da las fases y niega un modelo único; Paladino y Pons [23] documentan que la IA ya atraviesa el ciclo y que faltan gobernanza y ética; Hymel [24] explica por qué el sprint deja de ser la unidad útil; Wang et al. [7] prueban que la norma del prompt es un control de seguridad; Esposito et al. [25] muestran que el diseño asistido por GenAI se publica con poca evaluación. La Tabla 4 concentra esas brechas.</w:t>
      </w:r>
    </w:p>
    <w:p w:rsidR="003D610D" w:rsidRDefault="003E19C5">
      <w:pPr>
        <w:spacing w:after="160" w:line="360" w:lineRule="auto"/>
        <w:ind w:firstLine="425"/>
        <w:jc w:val="both"/>
      </w:pPr>
      <w:r>
        <w:rPr>
          <w:rFonts w:ascii="Times New Roman" w:eastAsia="Times New Roman" w:hAnsi="Times New Roman"/>
          <w:color w:val="1A1A1A"/>
          <w:sz w:val="24"/>
        </w:rPr>
        <w:t>Lo que esta intervención añade, y ninguna de esas fuentes opera como sistema, es el cierre conjunto: prompt versionado (D1), decisión D2, mapa por fase R/D/I/T/M (D3), política de IA en N2 (D4) y traza prompt–commit–archivo (D5). Otras lecturas del corpus (Shrivastava et al., 2025; Kirchner et al., 2025; Bandara et al. [2]) se usan más adelante: ingeniería de prompts y repositorio, gestión del conocimiento, y Agentsway como metodología agentic afín que no se aplicó en este caso.</w:t>
      </w:r>
    </w:p>
    <w:p w:rsidR="00E24534" w:rsidRDefault="003F5A0B">
      <w:pPr>
        <w:spacing w:before="240" w:after="120"/>
      </w:pPr>
      <w:r>
        <w:rPr>
          <w:rFonts w:ascii="Times New Roman" w:eastAsia="Times New Roman" w:hAnsi="Times New Roman" w:cs="Times New Roman"/>
          <w:b/>
          <w:bCs/>
          <w:color w:val="1A5F7A"/>
          <w:sz w:val="26"/>
        </w:rPr>
        <w:t>2.4 Aporte diferencial del Prompt-Centered SDLC</w:t>
      </w:r>
    </w:p>
    <w:p w:rsidR="003D610D" w:rsidRDefault="003E19C5">
      <w:pPr>
        <w:spacing w:after="160" w:line="360" w:lineRule="auto"/>
        <w:ind w:firstLine="425"/>
        <w:jc w:val="both"/>
      </w:pPr>
      <w:r>
        <w:rPr>
          <w:rFonts w:ascii="Times New Roman" w:eastAsia="Times New Roman" w:hAnsi="Times New Roman"/>
          <w:color w:val="1A1A1A"/>
          <w:sz w:val="24"/>
        </w:rPr>
        <w:lastRenderedPageBreak/>
        <w:t>El aporte de esta intervención se resume en lo siguiente:</w:t>
      </w:r>
    </w:p>
    <w:p w:rsidR="003D610D" w:rsidRDefault="003E19C5">
      <w:pPr>
        <w:spacing w:after="160" w:line="360" w:lineRule="auto"/>
        <w:ind w:firstLine="283"/>
        <w:jc w:val="both"/>
      </w:pPr>
      <w:r>
        <w:rPr>
          <w:rFonts w:ascii="Times New Roman" w:eastAsia="Times New Roman" w:hAnsi="Times New Roman"/>
          <w:color w:val="1A1A1A"/>
          <w:sz w:val="24"/>
        </w:rPr>
        <w:t>• El prompt se trata como artefacto de ingeniería y se versiona.</w:t>
      </w:r>
    </w:p>
    <w:p w:rsidR="003D610D" w:rsidRDefault="003E19C5">
      <w:pPr>
        <w:spacing w:after="160" w:line="360" w:lineRule="auto"/>
        <w:ind w:firstLine="283"/>
        <w:jc w:val="both"/>
      </w:pPr>
      <w:r>
        <w:rPr>
          <w:rFonts w:ascii="Times New Roman" w:eastAsia="Times New Roman" w:hAnsi="Times New Roman"/>
          <w:color w:val="1A1A1A"/>
          <w:sz w:val="24"/>
        </w:rPr>
        <w:t>• Cada incremento se cierra con una decisión D2.</w:t>
      </w:r>
    </w:p>
    <w:p w:rsidR="003D610D" w:rsidRDefault="003E19C5">
      <w:pPr>
        <w:spacing w:after="160" w:line="360" w:lineRule="auto"/>
        <w:ind w:firstLine="283"/>
        <w:jc w:val="both"/>
      </w:pPr>
      <w:r>
        <w:rPr>
          <w:rFonts w:ascii="Times New Roman" w:eastAsia="Times New Roman" w:hAnsi="Times New Roman"/>
          <w:color w:val="1A1A1A"/>
          <w:sz w:val="24"/>
        </w:rPr>
        <w:t>• La unidad de planificación es el incremento acotado, no el sprint.</w:t>
      </w:r>
    </w:p>
    <w:p w:rsidR="003D610D" w:rsidRDefault="003E19C5">
      <w:pPr>
        <w:spacing w:after="160" w:line="360" w:lineRule="auto"/>
        <w:ind w:firstLine="283"/>
        <w:jc w:val="both"/>
      </w:pPr>
      <w:r>
        <w:rPr>
          <w:rFonts w:ascii="Times New Roman" w:eastAsia="Times New Roman" w:hAnsi="Times New Roman"/>
          <w:color w:val="1A1A1A"/>
          <w:sz w:val="24"/>
        </w:rPr>
        <w:t>• La matriz de doble entrada mantiene la traza prompt–commit–archivo.</w:t>
      </w:r>
    </w:p>
    <w:p w:rsidR="003D610D" w:rsidRDefault="003E19C5">
      <w:pPr>
        <w:spacing w:after="160" w:line="360" w:lineRule="auto"/>
        <w:ind w:firstLine="283"/>
        <w:jc w:val="both"/>
      </w:pPr>
      <w:r>
        <w:rPr>
          <w:rFonts w:ascii="Times New Roman" w:eastAsia="Times New Roman" w:hAnsi="Times New Roman"/>
          <w:color w:val="1A1A1A"/>
          <w:sz w:val="24"/>
        </w:rPr>
        <w:t>• Las restricciones de seguridad se escriben desde la anatomía del prompt (D1).</w:t>
      </w:r>
    </w:p>
    <w:p w:rsidR="00E24534" w:rsidRDefault="00E24534"/>
    <w:p w:rsidR="00E24534" w:rsidRDefault="003F5A0B">
      <w:pPr>
        <w:spacing w:before="240" w:after="120"/>
      </w:pPr>
      <w:r>
        <w:rPr>
          <w:rFonts w:ascii="Times New Roman" w:eastAsia="Times New Roman" w:hAnsi="Times New Roman" w:cs="Times New Roman"/>
          <w:b/>
          <w:bCs/>
          <w:color w:val="1A5F7A"/>
          <w:sz w:val="26"/>
        </w:rPr>
        <w:t>2.5 Alineación con los objetivos de la tesis</w:t>
      </w:r>
    </w:p>
    <w:p w:rsidR="003D610D" w:rsidRDefault="003E19C5">
      <w:pPr>
        <w:spacing w:after="160" w:line="360" w:lineRule="auto"/>
        <w:ind w:firstLine="425"/>
        <w:jc w:val="both"/>
      </w:pPr>
      <w:r>
        <w:rPr>
          <w:rFonts w:ascii="Times New Roman" w:eastAsia="Times New Roman" w:hAnsi="Times New Roman"/>
          <w:color w:val="1A1A1A"/>
          <w:sz w:val="24"/>
        </w:rPr>
        <w:t>La intervención no demuestra la hipótesis de la tesis. Aporta la evidencia de proceso que el apartado 4.1 debe resumir: un sistema real construido sin ceremonias Scrum, con incrementos acotados y con registro de lo ejecutado y de lo reconstruido a posteriori.</w:t>
      </w:r>
    </w:p>
    <w:p w:rsidR="00E24534" w:rsidRDefault="00E24534"/>
    <w:p w:rsidR="00E24534" w:rsidRDefault="003F5A0B">
      <w:pPr>
        <w:pBdr>
          <w:bottom w:val="single" w:sz="8" w:space="4" w:color="1A5F7A"/>
        </w:pBdr>
        <w:spacing w:before="320" w:after="160"/>
      </w:pPr>
      <w:r>
        <w:rPr>
          <w:rFonts w:ascii="Times New Roman" w:eastAsia="Times New Roman" w:hAnsi="Times New Roman" w:cs="Times New Roman"/>
          <w:b/>
          <w:bCs/>
          <w:color w:val="1F3A5F"/>
          <w:sz w:val="30"/>
        </w:rPr>
        <w:t>3. Descripción del proyecto de software y de los procesos institucionales</w:t>
      </w:r>
    </w:p>
    <w:p w:rsidR="00E24534" w:rsidRDefault="003F5A0B">
      <w:pPr>
        <w:spacing w:before="240" w:after="120"/>
      </w:pPr>
      <w:r>
        <w:rPr>
          <w:rFonts w:ascii="Times New Roman" w:eastAsia="Times New Roman" w:hAnsi="Times New Roman" w:cs="Times New Roman"/>
          <w:b/>
          <w:bCs/>
          <w:color w:val="1A5F7A"/>
          <w:sz w:val="26"/>
        </w:rPr>
        <w:t>3.1 Ficha del proyecto</w:t>
      </w:r>
    </w:p>
    <w:p w:rsidR="003D610D" w:rsidRDefault="003E19C5">
      <w:pPr>
        <w:spacing w:after="160" w:line="360" w:lineRule="auto"/>
        <w:ind w:firstLine="425"/>
        <w:jc w:val="both"/>
      </w:pPr>
      <w:r>
        <w:rPr>
          <w:rFonts w:ascii="Times New Roman" w:eastAsia="Times New Roman" w:hAnsi="Times New Roman"/>
          <w:color w:val="1A1A1A"/>
          <w:sz w:val="24"/>
        </w:rPr>
        <w:t>Sigemad MPA V2 es el software institucional del caso y, a la vez, el artefacto con el que se valida la metodología. Los datos de identificación se presentan en la Tabla 5.</w:t>
      </w:r>
    </w:p>
    <w:p w:rsidR="00E24534" w:rsidRDefault="00E24534"/>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ayout w:type="fixed"/>
        <w:tblLook w:val="07E0" w:firstRow="1" w:lastRow="1" w:firstColumn="1" w:lastColumn="1" w:noHBand="1" w:noVBand="1"/>
      </w:tblPr>
      <w:tblGrid>
        <w:gridCol w:w="2721"/>
        <w:gridCol w:w="6066"/>
      </w:tblGrid>
      <w:tr w:rsidR="00E24534">
        <w:trPr>
          <w:jc w:val="center"/>
        </w:trPr>
        <w:tc>
          <w:tcPr>
            <w:tcW w:w="2721"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8"/>
              </w:rPr>
              <w:t>Campo</w:t>
            </w:r>
          </w:p>
        </w:tc>
        <w:tc>
          <w:tcPr>
            <w:tcW w:w="6066"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Cs/>
                <w:color w:val="1A1A1A"/>
                <w:sz w:val="18"/>
              </w:rPr>
              <w:t>Contenido</w:t>
            </w:r>
          </w:p>
        </w:tc>
      </w:tr>
      <w:tr w:rsidR="00E24534">
        <w:trPr>
          <w:cantSplit/>
          <w:jc w:val="center"/>
        </w:trPr>
        <w:tc>
          <w:tcPr>
            <w:tcW w:w="272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Nombre</w:t>
            </w:r>
          </w:p>
        </w:tc>
        <w:tc>
          <w:tcPr>
            <w:tcW w:w="6066"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proofErr w:type="spellStart"/>
            <w:r>
              <w:rPr>
                <w:rFonts w:ascii="Times New Roman" w:eastAsia="Times New Roman" w:hAnsi="Times New Roman" w:cs="Times New Roman"/>
                <w:color w:val="1A1A1A"/>
                <w:sz w:val="18"/>
              </w:rPr>
              <w:t>Sigemad</w:t>
            </w:r>
            <w:proofErr w:type="spellEnd"/>
            <w:r>
              <w:rPr>
                <w:rFonts w:ascii="Times New Roman" w:eastAsia="Times New Roman" w:hAnsi="Times New Roman" w:cs="Times New Roman"/>
                <w:color w:val="1A1A1A"/>
                <w:sz w:val="18"/>
              </w:rPr>
              <w:t xml:space="preserve"> MPA —</w:t>
            </w:r>
            <w:r w:rsidR="00A47DDC">
              <w:rPr>
                <w:rFonts w:ascii="Times New Roman" w:eastAsia="Times New Roman" w:hAnsi="Times New Roman" w:cs="Times New Roman"/>
                <w:color w:val="1A1A1A"/>
                <w:sz w:val="18"/>
              </w:rPr>
              <w:t>Sistema de</w:t>
            </w:r>
            <w:r>
              <w:rPr>
                <w:rFonts w:ascii="Times New Roman" w:eastAsia="Times New Roman" w:hAnsi="Times New Roman" w:cs="Times New Roman"/>
                <w:color w:val="1A1A1A"/>
                <w:sz w:val="18"/>
              </w:rPr>
              <w:t xml:space="preserve"> </w:t>
            </w:r>
            <w:proofErr w:type="spellStart"/>
            <w:r>
              <w:rPr>
                <w:rFonts w:ascii="Times New Roman" w:eastAsia="Times New Roman" w:hAnsi="Times New Roman" w:cs="Times New Roman"/>
                <w:color w:val="1A1A1A"/>
                <w:sz w:val="18"/>
              </w:rPr>
              <w:t>Gestión</w:t>
            </w:r>
            <w:proofErr w:type="spellEnd"/>
            <w:r>
              <w:rPr>
                <w:rFonts w:ascii="Times New Roman" w:eastAsia="Times New Roman" w:hAnsi="Times New Roman" w:cs="Times New Roman"/>
                <w:color w:val="1A1A1A"/>
                <w:sz w:val="18"/>
              </w:rPr>
              <w:t xml:space="preserve"> de </w:t>
            </w:r>
            <w:proofErr w:type="spellStart"/>
            <w:r>
              <w:rPr>
                <w:rFonts w:ascii="Times New Roman" w:eastAsia="Times New Roman" w:hAnsi="Times New Roman" w:cs="Times New Roman"/>
                <w:color w:val="1A1A1A"/>
                <w:sz w:val="18"/>
              </w:rPr>
              <w:t>equipos</w:t>
            </w:r>
            <w:proofErr w:type="spellEnd"/>
            <w:r>
              <w:rPr>
                <w:rFonts w:ascii="Times New Roman" w:eastAsia="Times New Roman" w:hAnsi="Times New Roman" w:cs="Times New Roman"/>
                <w:color w:val="1A1A1A"/>
                <w:sz w:val="18"/>
              </w:rPr>
              <w:t xml:space="preserve"> y mantenimiento predictivo</w:t>
            </w:r>
          </w:p>
        </w:tc>
      </w:tr>
      <w:tr w:rsidR="00E24534">
        <w:trPr>
          <w:cantSplit/>
          <w:jc w:val="center"/>
        </w:trPr>
        <w:tc>
          <w:tcPr>
            <w:tcW w:w="272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Código</w:t>
            </w:r>
          </w:p>
        </w:tc>
        <w:tc>
          <w:tcPr>
            <w:tcW w:w="6066"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SIGEMAD-MPA-V2</w:t>
            </w:r>
          </w:p>
        </w:tc>
      </w:tr>
      <w:tr w:rsidR="00E24534">
        <w:trPr>
          <w:cantSplit/>
          <w:jc w:val="center"/>
        </w:trPr>
        <w:tc>
          <w:tcPr>
            <w:tcW w:w="272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Entidad</w:t>
            </w:r>
          </w:p>
        </w:tc>
        <w:tc>
          <w:tcPr>
            <w:tcW w:w="6066"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Municipalidad Provincial de Acobamba (informática / patrimonio TI)</w:t>
            </w:r>
          </w:p>
        </w:tc>
      </w:tr>
      <w:tr w:rsidR="00E24534">
        <w:trPr>
          <w:cantSplit/>
          <w:jc w:val="center"/>
        </w:trPr>
        <w:tc>
          <w:tcPr>
            <w:tcW w:w="272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Versión de producto</w:t>
            </w:r>
          </w:p>
        </w:tc>
        <w:tc>
          <w:tcPr>
            <w:tcW w:w="6066"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0.9.1</w:t>
            </w:r>
          </w:p>
        </w:tc>
      </w:tr>
      <w:tr w:rsidR="00E24534">
        <w:trPr>
          <w:cantSplit/>
          <w:jc w:val="center"/>
        </w:trPr>
        <w:tc>
          <w:tcPr>
            <w:tcW w:w="272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Objetivo</w:t>
            </w:r>
          </w:p>
        </w:tc>
        <w:tc>
          <w:tcPr>
            <w:tcW w:w="6066"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Inventario, fichas, historial de mantenimiento y ML opcional de riesgo</w:t>
            </w:r>
          </w:p>
        </w:tc>
      </w:tr>
      <w:tr w:rsidR="00E24534">
        <w:trPr>
          <w:cantSplit/>
          <w:jc w:val="center"/>
        </w:trPr>
        <w:tc>
          <w:tcPr>
            <w:tcW w:w="272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Usuarios</w:t>
            </w:r>
          </w:p>
        </w:tc>
        <w:tc>
          <w:tcPr>
            <w:tcW w:w="6066"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Administrador, Técnico, Practicante</w:t>
            </w:r>
          </w:p>
        </w:tc>
      </w:tr>
      <w:tr w:rsidR="00E24534">
        <w:trPr>
          <w:cantSplit/>
          <w:jc w:val="center"/>
        </w:trPr>
        <w:tc>
          <w:tcPr>
            <w:tcW w:w="272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Stack</w:t>
            </w:r>
          </w:p>
        </w:tc>
        <w:tc>
          <w:tcPr>
            <w:tcW w:w="6066"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React 19 + Vite, PHP 8.1+ REST, MySQL, FastAPI/Scikit-learn (opcional)</w:t>
            </w:r>
          </w:p>
        </w:tc>
      </w:tr>
      <w:tr w:rsidR="00E24534">
        <w:trPr>
          <w:cantSplit/>
          <w:jc w:val="center"/>
        </w:trPr>
        <w:tc>
          <w:tcPr>
            <w:tcW w:w="272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Fuera de alcance</w:t>
            </w:r>
          </w:p>
        </w:tc>
        <w:tc>
          <w:tcPr>
            <w:tcW w:w="6066"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Portal ciudadano, bienes no informáticos, SIGA/SIAF y ML obligatorio en producción (el módulo se desactiva si el servicio predictivo no está disponible)</w:t>
            </w:r>
          </w:p>
        </w:tc>
      </w:tr>
      <w:tr w:rsidR="00E24534">
        <w:trPr>
          <w:cantSplit/>
          <w:jc w:val="center"/>
        </w:trPr>
        <w:tc>
          <w:tcPr>
            <w:tcW w:w="272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Metodología de construcción</w:t>
            </w:r>
          </w:p>
        </w:tc>
        <w:tc>
          <w:tcPr>
            <w:tcW w:w="6066"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Prompt-Centered SDLC v1.2</w:t>
            </w:r>
          </w:p>
        </w:tc>
      </w:tr>
      <w:tr w:rsidR="00E24534">
        <w:trPr>
          <w:cantSplit/>
          <w:jc w:val="center"/>
        </w:trPr>
        <w:tc>
          <w:tcPr>
            <w:tcW w:w="272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Herramienta de IA</w:t>
            </w:r>
          </w:p>
        </w:tc>
        <w:tc>
          <w:tcPr>
            <w:tcW w:w="6066"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Cursor Agent</w:t>
            </w:r>
          </w:p>
        </w:tc>
      </w:tr>
      <w:tr w:rsidR="00E24534">
        <w:trPr>
          <w:cantSplit/>
          <w:jc w:val="center"/>
        </w:trPr>
        <w:tc>
          <w:tcPr>
            <w:tcW w:w="272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Nivel de automatización</w:t>
            </w:r>
          </w:p>
        </w:tc>
        <w:tc>
          <w:tcPr>
            <w:tcW w:w="6066"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N2 (asistido; revisión humana obligatoria)</w:t>
            </w:r>
          </w:p>
        </w:tc>
      </w:tr>
    </w:tbl>
    <w:p w:rsidR="00E24534" w:rsidRDefault="003F5A0B">
      <w:pPr>
        <w:spacing w:before="80" w:after="240" w:line="240" w:lineRule="auto"/>
        <w:jc w:val="center"/>
      </w:pPr>
      <w:r>
        <w:rPr>
          <w:rFonts w:ascii="Times New Roman" w:eastAsia="Times New Roman" w:hAnsi="Times New Roman" w:cs="Times New Roman"/>
          <w:i/>
          <w:iCs/>
          <w:color w:val="4A5568"/>
          <w:sz w:val="20"/>
        </w:rPr>
        <w:lastRenderedPageBreak/>
        <w:t>Tabla 5. Ficha del proyecto Sigemad MPA V2.</w:t>
      </w:r>
    </w:p>
    <w:p w:rsidR="00E24534" w:rsidRDefault="003F5A0B">
      <w:pPr>
        <w:spacing w:before="240" w:after="120"/>
      </w:pPr>
      <w:r>
        <w:rPr>
          <w:rFonts w:ascii="Times New Roman" w:eastAsia="Times New Roman" w:hAnsi="Times New Roman" w:cs="Times New Roman"/>
          <w:b/>
          <w:bCs/>
          <w:color w:val="1A5F7A"/>
          <w:sz w:val="26"/>
        </w:rPr>
        <w:t>3.2 Contexto y restricciones</w:t>
      </w:r>
    </w:p>
    <w:p w:rsidR="003D610D" w:rsidRDefault="003E19C5">
      <w:pPr>
        <w:spacing w:after="160" w:line="360" w:lineRule="auto"/>
        <w:ind w:firstLine="425"/>
        <w:jc w:val="both"/>
      </w:pPr>
      <w:r>
        <w:rPr>
          <w:rFonts w:ascii="Times New Roman" w:eastAsia="Times New Roman" w:hAnsi="Times New Roman"/>
          <w:color w:val="1A1A1A"/>
          <w:sz w:val="24"/>
        </w:rPr>
        <w:t>Las restricciones del caso fueron un solo desarrollador, datos patrimoniales y credenciales que no pueden incluirse en el prompt, un stack fijado por el ADR-001 y un ambiente de producción institucional. El componente de aprendizaje automático es opcional: si el servicio predictivo no está disponible, el resto del sistema opera con normalidad (ADR-002).</w:t>
      </w:r>
    </w:p>
    <w:p w:rsidR="00E24534" w:rsidRDefault="00E24534"/>
    <w:p w:rsidR="000376E6" w:rsidRDefault="000376E6"/>
    <w:p w:rsidR="00E24534" w:rsidRDefault="003F5A0B">
      <w:pPr>
        <w:spacing w:before="240" w:after="120"/>
      </w:pPr>
      <w:r>
        <w:rPr>
          <w:rFonts w:ascii="Times New Roman" w:eastAsia="Times New Roman" w:hAnsi="Times New Roman" w:cs="Times New Roman"/>
          <w:b/>
          <w:bCs/>
          <w:color w:val="1A5F7A"/>
          <w:sz w:val="26"/>
        </w:rPr>
        <w:t>3.3 Justificación del caso</w:t>
      </w:r>
    </w:p>
    <w:p w:rsidR="003D610D" w:rsidRDefault="003E19C5">
      <w:pPr>
        <w:spacing w:after="160" w:line="360" w:lineRule="auto"/>
        <w:ind w:firstLine="425"/>
        <w:jc w:val="both"/>
      </w:pPr>
      <w:r>
        <w:rPr>
          <w:rFonts w:ascii="Times New Roman" w:eastAsia="Times New Roman" w:hAnsi="Times New Roman"/>
          <w:color w:val="1A1A1A"/>
          <w:sz w:val="24"/>
        </w:rPr>
        <w:t>El caso municipal exige inventario patrimonial, fichas técnicas, historial de mantenimiento y puesta en producción. Ello obliga a trazabilidad y a una política de secretos, y permite validar la metodología hasta el ambiente de operación, no solo hasta un prototipo de laboratorio.</w:t>
      </w:r>
    </w:p>
    <w:p w:rsidR="00E24534" w:rsidRDefault="00E24534"/>
    <w:p w:rsidR="00E24534" w:rsidRDefault="003F5A0B">
      <w:pPr>
        <w:spacing w:before="240" w:after="120"/>
        <w:rPr>
          <w:rFonts w:ascii="Times New Roman" w:eastAsia="Times New Roman" w:hAnsi="Times New Roman" w:cs="Times New Roman"/>
          <w:b/>
          <w:bCs/>
          <w:color w:val="1A5F7A"/>
          <w:sz w:val="26"/>
        </w:rPr>
      </w:pPr>
      <w:r>
        <w:rPr>
          <w:rFonts w:ascii="Times New Roman" w:eastAsia="Times New Roman" w:hAnsi="Times New Roman" w:cs="Times New Roman"/>
          <w:b/>
          <w:bCs/>
          <w:color w:val="1A5F7A"/>
          <w:sz w:val="26"/>
        </w:rPr>
        <w:t>3.4 Identificación de procesos (macroprocesos y procedimientos)</w:t>
      </w:r>
    </w:p>
    <w:p w:rsidR="00D4320B" w:rsidRDefault="00D4320B">
      <w:pPr>
        <w:spacing w:before="240" w:after="120"/>
      </w:pPr>
      <w:proofErr w:type="spellStart"/>
      <w:r>
        <w:rPr>
          <w:rFonts w:ascii="Times New Roman" w:eastAsia="Times New Roman" w:hAnsi="Times New Roman" w:cs="Times New Roman"/>
          <w:b/>
          <w:bCs/>
          <w:color w:val="1A5F7A"/>
          <w:sz w:val="26"/>
        </w:rPr>
        <w:t>Macroproceso</w:t>
      </w:r>
      <w:proofErr w:type="spellEnd"/>
      <w:r>
        <w:rPr>
          <w:rFonts w:ascii="Times New Roman" w:eastAsia="Times New Roman" w:hAnsi="Times New Roman" w:cs="Times New Roman"/>
          <w:b/>
          <w:bCs/>
          <w:color w:val="1A5F7A"/>
          <w:sz w:val="26"/>
        </w:rPr>
        <w:t xml:space="preserve"> de </w:t>
      </w:r>
      <w:proofErr w:type="spellStart"/>
      <w:r>
        <w:rPr>
          <w:rFonts w:ascii="Times New Roman" w:eastAsia="Times New Roman" w:hAnsi="Times New Roman" w:cs="Times New Roman"/>
          <w:b/>
          <w:bCs/>
          <w:color w:val="1A5F7A"/>
          <w:sz w:val="26"/>
        </w:rPr>
        <w:t>nivel</w:t>
      </w:r>
      <w:proofErr w:type="spellEnd"/>
      <w:r>
        <w:rPr>
          <w:rFonts w:ascii="Times New Roman" w:eastAsia="Times New Roman" w:hAnsi="Times New Roman" w:cs="Times New Roman"/>
          <w:b/>
          <w:bCs/>
          <w:color w:val="1A5F7A"/>
          <w:sz w:val="26"/>
        </w:rPr>
        <w:t xml:space="preserve"> 0</w:t>
      </w:r>
    </w:p>
    <w:p w:rsidR="00E24534" w:rsidRDefault="00FC216D">
      <w:pPr>
        <w:spacing w:before="120" w:after="40" w:line="240" w:lineRule="auto"/>
        <w:jc w:val="center"/>
      </w:pPr>
      <w:r>
        <w:rPr>
          <w:noProof/>
        </w:rPr>
        <w:drawing>
          <wp:inline distT="0" distB="0" distL="0" distR="0" wp14:anchorId="5E3BA03B" wp14:editId="307EEB93">
            <wp:extent cx="5400040" cy="2700020"/>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rsidR="00E24534" w:rsidRDefault="003F5A0B">
      <w:pPr>
        <w:spacing w:before="80" w:after="240" w:line="240" w:lineRule="auto"/>
        <w:jc w:val="center"/>
      </w:pPr>
      <w:r>
        <w:rPr>
          <w:rFonts w:ascii="Times New Roman" w:eastAsia="Times New Roman" w:hAnsi="Times New Roman" w:cs="Times New Roman"/>
          <w:i/>
          <w:iCs/>
          <w:color w:val="4A5568"/>
          <w:sz w:val="20"/>
        </w:rPr>
        <w:t>Figura 3. Jerarquía de procesos (ejemplo). Sustituya los nodos por sus códigos reales.</w:t>
      </w:r>
    </w:p>
    <w:p w:rsidR="00E24534" w:rsidRDefault="003F5A0B">
      <w:pPr>
        <w:spacing w:before="240" w:after="120"/>
      </w:pPr>
      <w:r>
        <w:rPr>
          <w:rFonts w:ascii="Times New Roman" w:eastAsia="Times New Roman" w:hAnsi="Times New Roman" w:cs="Times New Roman"/>
          <w:b/>
          <w:bCs/>
          <w:color w:val="1A5F7A"/>
          <w:sz w:val="26"/>
        </w:rPr>
        <w:t>3.5 Diagrama de procesos (BIZAGI)</w:t>
      </w:r>
    </w:p>
    <w:tbl>
      <w:tblPr>
        <w:tblW w:w="0" w:type="auto"/>
        <w:jc w:val="center"/>
        <w:tblBorders>
          <w:top w:val="single" w:sz="8" w:space="0" w:color="8AA0B8"/>
          <w:left w:val="single" w:sz="8" w:space="0" w:color="8AA0B8"/>
          <w:bottom w:val="single" w:sz="8" w:space="0" w:color="8AA0B8"/>
          <w:right w:val="single" w:sz="8" w:space="0" w:color="8AA0B8"/>
          <w:insideH w:val="single" w:sz="8" w:space="0" w:color="8AA0B8"/>
          <w:insideV w:val="single" w:sz="8" w:space="0" w:color="8AA0B8"/>
        </w:tblBorders>
        <w:tblLook w:val="07E0" w:firstRow="1" w:lastRow="1" w:firstColumn="1" w:lastColumn="1" w:noHBand="1" w:noVBand="1"/>
      </w:tblPr>
      <w:tblGrid>
        <w:gridCol w:w="8787"/>
      </w:tblGrid>
      <w:tr w:rsidR="00E24534">
        <w:trPr>
          <w:jc w:val="center"/>
        </w:trPr>
        <w:tc>
          <w:tcPr>
            <w:tcW w:w="8787" w:type="dxa"/>
            <w:tcBorders>
              <w:top w:val="single" w:sz="8" w:space="0" w:color="8AA0B8"/>
              <w:left w:val="single" w:sz="8" w:space="0" w:color="8AA0B8"/>
              <w:bottom w:val="single" w:sz="8" w:space="0" w:color="8AA0B8"/>
              <w:right w:val="single" w:sz="8" w:space="0" w:color="8AA0B8"/>
            </w:tcBorders>
            <w:shd w:val="clear" w:color="auto" w:fill="F2F2F2"/>
            <w:tcMar>
              <w:top w:w="0" w:type="dxa"/>
              <w:left w:w="108" w:type="dxa"/>
              <w:bottom w:w="0" w:type="dxa"/>
              <w:right w:w="108" w:type="dxa"/>
            </w:tcMar>
          </w:tcPr>
          <w:p w:rsidR="00E24534" w:rsidRDefault="003F5A0B">
            <w:pPr>
              <w:spacing w:before="120" w:after="120"/>
              <w:jc w:val="both"/>
            </w:pPr>
            <w:r>
              <w:rPr>
                <w:rFonts w:ascii="Times New Roman" w:eastAsia="Times New Roman" w:hAnsi="Times New Roman" w:cs="Times New Roman"/>
                <w:b w:val="0"/>
                <w:bCs/>
                <w:i w:val="0"/>
                <w:iCs/>
                <w:color w:val="1A5F7A"/>
                <w:sz w:val="22"/>
              </w:rPr>
              <w:t>Los diagramas comparan la gestión actual con el flujo de Sigemad. Las figuras 4 y 5 corresponden al mantenimiento de equipos; las figuras 6 y 7, a la ficha técnica.</w:t>
            </w:r>
            <w:r>
              <w:rPr>
                <w:rFonts w:ascii="Times New Roman" w:eastAsia="Times New Roman" w:hAnsi="Times New Roman" w:cs="Times New Roman"/>
                <w:bCs/>
                <w:iCs/>
                <w:color w:val="1A1A1A"/>
                <w:sz w:val="20"/>
              </w:rPr>
            </w:r>
          </w:p>
        </w:tc>
      </w:tr>
    </w:tbl>
    <w:p>
      <w:pPr>
        <w:jc w:val="center"/>
      </w:pPr>
      <w:r>
        <w:drawing>
          <wp:inline xmlns:a="http://schemas.openxmlformats.org/drawingml/2006/main" xmlns:pic="http://schemas.openxmlformats.org/drawingml/2006/picture">
            <wp:extent cx="5580000" cy="3555692"/>
            <wp:docPr id="100022" name="Picture 100022"/>
            <wp:cNvGraphicFramePr>
              <a:graphicFrameLocks noChangeAspect="1"/>
            </wp:cNvGraphicFramePr>
            <a:graphic>
              <a:graphicData uri="http://schemas.openxmlformats.org/drawingml/2006/picture">
                <pic:pic>
                  <pic:nvPicPr>
                    <pic:cNvPr id="0" name="fig_a7_4_bizagi_asis.png"/>
                    <pic:cNvPicPr/>
                  </pic:nvPicPr>
                  <pic:blipFill>
                    <a:blip r:embed="rId42"/>
                    <a:stretch>
                      <a:fillRect/>
                    </a:stretch>
                  </pic:blipFill>
                  <pic:spPr>
                    <a:xfrm>
                      <a:off x="0" y="0"/>
                      <a:ext cx="5580000" cy="3555692"/>
                    </a:xfrm>
                    <a:prstGeom prst="rect"/>
                  </pic:spPr>
                </pic:pic>
              </a:graphicData>
            </a:graphic>
          </wp:inline>
        </w:drawing>
      </w:r>
    </w:p>
    <w:p>
      <w:pPr>
        <w:jc w:val="center"/>
      </w:pPr>
      <w:r>
        <w:rPr>
          <w:rFonts w:ascii="Times New Roman" w:hAnsi="Times New Roman" w:eastAsia="Times New Roman"/>
          <w:b w:val="0"/>
          <w:i/>
          <w:color w:val="4A5568"/>
          <w:sz w:val="20"/>
        </w:rPr>
        <w:t>Figura 4. Diagrama de proceso as-is del mantenimiento de equipos. Fuente: elaboración propia en Bizagi.</w:t>
      </w:r>
    </w:p>
    <w:p/>
    <w:p>
      <w:pPr>
        <w:jc w:val="center"/>
      </w:pPr>
      <w:r>
        <w:drawing>
          <wp:inline xmlns:a="http://schemas.openxmlformats.org/drawingml/2006/main" xmlns:pic="http://schemas.openxmlformats.org/drawingml/2006/picture">
            <wp:extent cx="5580000" cy="2602873"/>
            <wp:docPr id="100023" name="Picture 10002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580000" cy="2602873"/>
                    </a:xfrm>
                    <a:prstGeom prst="rect"/>
                  </pic:spPr>
                </pic:pic>
              </a:graphicData>
            </a:graphic>
          </wp:inline>
        </w:drawing>
      </w:r>
    </w:p>
    <w:p>
      <w:pPr>
        <w:jc w:val="center"/>
      </w:pPr>
      <w:r>
        <w:rPr>
          <w:rFonts w:ascii="Times New Roman" w:hAnsi="Times New Roman" w:eastAsia="Times New Roman"/>
          <w:b w:val="0"/>
          <w:i/>
          <w:color w:val="4A5568"/>
          <w:sz w:val="20"/>
        </w:rPr>
        <w:t>Figura 5. Diagrama de proceso to-be del mantenimiento de equipos. Fuente: elaboración propia en Bizagi.</w:t>
      </w:r>
    </w:p>
    <w:p/>
    <w:p>
      <w:pPr>
        <w:jc w:val="center"/>
      </w:pPr>
      <w:r>
        <w:drawing>
          <wp:inline xmlns:a="http://schemas.openxmlformats.org/drawingml/2006/main" xmlns:pic="http://schemas.openxmlformats.org/drawingml/2006/picture">
            <wp:extent cx="5580000" cy="4938537"/>
            <wp:docPr id="100024" name="Picture 100024"/>
            <wp:cNvGraphicFramePr>
              <a:graphicFrameLocks noChangeAspect="1"/>
            </wp:cNvGraphicFramePr>
            <a:graphic>
              <a:graphicData uri="http://schemas.openxmlformats.org/drawingml/2006/picture">
                <pic:pic>
                  <pic:nvPicPr>
                    <pic:cNvPr id="0" name="fig_a7_bizagi_ficha_asis.png"/>
                    <pic:cNvPicPr/>
                  </pic:nvPicPr>
                  <pic:blipFill>
                    <a:blip r:embed="rId43"/>
                    <a:stretch>
                      <a:fillRect/>
                    </a:stretch>
                  </pic:blipFill>
                  <pic:spPr>
                    <a:xfrm>
                      <a:off x="0" y="0"/>
                      <a:ext cx="5580000" cy="4938537"/>
                    </a:xfrm>
                    <a:prstGeom prst="rect"/>
                  </pic:spPr>
                </pic:pic>
              </a:graphicData>
            </a:graphic>
          </wp:inline>
        </w:drawing>
      </w:r>
    </w:p>
    <w:p>
      <w:pPr>
        <w:jc w:val="center"/>
      </w:pPr>
      <w:r>
        <w:rPr>
          <w:rFonts w:ascii="Times New Roman" w:hAnsi="Times New Roman" w:eastAsia="Times New Roman"/>
          <w:b w:val="0"/>
          <w:i/>
          <w:color w:val="4A5568"/>
          <w:sz w:val="20"/>
        </w:rPr>
        <w:t>Figura 6. Diagrama de proceso as-is de la ficha técnica. Fuente: elaboración propia en Bizagi.</w:t>
      </w:r>
    </w:p>
    <w:p/>
    <w:p>
      <w:pPr>
        <w:jc w:val="center"/>
      </w:pPr>
      <w:r>
        <w:drawing>
          <wp:inline xmlns:a="http://schemas.openxmlformats.org/drawingml/2006/main" xmlns:pic="http://schemas.openxmlformats.org/drawingml/2006/picture">
            <wp:extent cx="5580000" cy="2394896"/>
            <wp:docPr id="100025" name="Picture 100025"/>
            <wp:cNvGraphicFramePr>
              <a:graphicFrameLocks noChangeAspect="1"/>
            </wp:cNvGraphicFramePr>
            <a:graphic>
              <a:graphicData uri="http://schemas.openxmlformats.org/drawingml/2006/picture">
                <pic:pic>
                  <pic:nvPicPr>
                    <pic:cNvPr id="0" name="fig_a7_bizagi_ficha_tobe.png"/>
                    <pic:cNvPicPr/>
                  </pic:nvPicPr>
                  <pic:blipFill>
                    <a:blip r:embed="rId44"/>
                    <a:stretch>
                      <a:fillRect/>
                    </a:stretch>
                  </pic:blipFill>
                  <pic:spPr>
                    <a:xfrm>
                      <a:off x="0" y="0"/>
                      <a:ext cx="5580000" cy="2394896"/>
                    </a:xfrm>
                    <a:prstGeom prst="rect"/>
                  </pic:spPr>
                </pic:pic>
              </a:graphicData>
            </a:graphic>
          </wp:inline>
        </w:drawing>
      </w:r>
    </w:p>
    <w:p>
      <w:pPr>
        <w:jc w:val="center"/>
      </w:pPr>
      <w:r>
        <w:rPr>
          <w:rFonts w:ascii="Times New Roman" w:hAnsi="Times New Roman" w:eastAsia="Times New Roman"/>
          <w:b w:val="0"/>
          <w:i/>
          <w:color w:val="4A5568"/>
          <w:sz w:val="20"/>
        </w:rPr>
        <w:t>Figura 7. Diagrama de proceso to-be de la ficha técnica. Fuente: elaboración propia en Bizagi.</w:t>
      </w:r>
    </w:p>
    <w:p/>
    <w:p w:rsidR="00E24534" w:rsidRDefault="003F5A0B">
      <w:pPr>
        <w:pBdr>
          <w:bottom w:val="single" w:sz="8" w:space="4" w:color="1A5F7A"/>
        </w:pBdr>
        <w:spacing w:before="320" w:after="160"/>
      </w:pPr>
      <w:r>
        <w:rPr>
          <w:rFonts w:ascii="Times New Roman" w:eastAsia="Times New Roman" w:hAnsi="Times New Roman" w:cs="Times New Roman"/>
          <w:b/>
          <w:bCs/>
          <w:color w:val="1F3A5F"/>
          <w:sz w:val="30"/>
        </w:rPr>
        <w:t>4. Preparación y entrada mínima del proyecto</w:t>
      </w:r>
    </w:p>
    <w:p w:rsidR="00E24534" w:rsidRDefault="003F5A0B">
      <w:pPr>
        <w:spacing w:before="240" w:after="120"/>
      </w:pPr>
      <w:r>
        <w:rPr>
          <w:rFonts w:ascii="Times New Roman" w:eastAsia="Times New Roman" w:hAnsi="Times New Roman" w:cs="Times New Roman"/>
          <w:b/>
          <w:bCs/>
          <w:color w:val="1A5F7A"/>
          <w:sz w:val="26"/>
        </w:rPr>
        <w:t>4.1 Política mínima de uso de IA</w:t>
      </w:r>
    </w:p>
    <w:p w:rsidR="003D610D" w:rsidRDefault="003E19C5">
      <w:pPr>
        <w:spacing w:after="160" w:line="360" w:lineRule="auto"/>
        <w:ind w:firstLine="425"/>
        <w:jc w:val="both"/>
      </w:pPr>
      <w:r>
        <w:rPr>
          <w:rFonts w:ascii="Times New Roman" w:eastAsia="Times New Roman" w:hAnsi="Times New Roman"/>
          <w:color w:val="1A1A1A"/>
          <w:sz w:val="24"/>
        </w:rPr>
        <w:t>Antes de ejecutar prompts se fijó una política mínima de uso de inteligencia artificial (versión 1.3). Su propósito no es declarativo: cada regla se tradujo en un artefacto o en un comportamiento observable en el repositorio. El agente (Cursor Agent) genera; el responsable humano define el prompt, revisa, prueba e integra. El nivel de automatización se mantiene en N2, como se justifica en el apartado 8.</w:t>
      </w:r>
    </w:p>
    <w:p w:rsidR="003D610D" w:rsidRDefault="003E19C5">
      <w:pPr>
        <w:spacing w:after="160" w:line="360" w:lineRule="auto"/>
        <w:ind w:firstLine="425"/>
        <w:jc w:val="both"/>
      </w:pPr>
      <w:r>
        <w:rPr>
          <w:rFonts w:ascii="Times New Roman" w:eastAsia="Times New Roman" w:hAnsi="Times New Roman"/>
          <w:color w:val="1A1A1A"/>
          <w:sz w:val="24"/>
        </w:rPr>
        <w:t>La política se concreta en ocho reglas. Primera, todo código generado pasa por revisión humana antes de integrarse: el campo Revisor de cada registro y el criterio 3 del Definition of Done (Tabla 7) lo documentan. Segunda, está prohibido pegar en el prompt credenciales, archivos .env, local.php, secretos de producción o datos personales reales; el control posterior es M-004 y los requisitos no funcionales de secretos. Tercera, se versiona la instrucción reejecutable en prompts/, con plantilla D1, y no el historial de conversación. Cuarta, un cambio de arquitectura se registra como ADR (ADR-001 de stack y ADR-002 de degradación del componente predictivo) y, antes de tocar base de datos o contrato, se usa la ficha M-002.</w:t>
      </w:r>
    </w:p>
    <w:p w:rsidR="003D610D" w:rsidRDefault="003E19C5">
      <w:pPr>
        <w:spacing w:after="160" w:line="360" w:lineRule="auto"/>
        <w:ind w:firstLine="425"/>
        <w:jc w:val="both"/>
      </w:pPr>
      <w:r>
        <w:rPr>
          <w:rFonts w:ascii="Times New Roman" w:eastAsia="Times New Roman" w:hAnsi="Times New Roman"/>
          <w:color w:val="1A1A1A"/>
          <w:sz w:val="24"/>
        </w:rPr>
        <w:t xml:space="preserve">Quinta, las salidas se verifican con el plan funcional y con PHPUnit, Vitest y pytest (T-001 a T-005). Sexta, el equipo debe poder explicar y mantener el código generado sin depender exclusivamente del modelo: en este caso el tesista actuó como desarrollador y revisor. Séptima, si el artefacto ya existía, el registro se marca Reconstruido a posteriori; los prompts nuevos se escriben antes o durante el cambio, y esa distinción aparece en las Tablas 9 a 13. Octava, un prompt de implementación debe ser acotable en una revisión (un </w:t>
      </w:r>
      <w:r>
        <w:rPr>
          <w:rFonts w:ascii="Times New Roman" w:eastAsia="Times New Roman" w:hAnsi="Times New Roman"/>
          <w:color w:val="1A1A1A"/>
          <w:sz w:val="24"/>
        </w:rPr>
        <w:lastRenderedPageBreak/>
        <w:t>incremento): los macros I-001 e I-002-ML quedaron Superados y los vigentes son I-001 a I-009. La Tabla 6 resume regla, aplicación y evidencia.</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197"/>
        <w:gridCol w:w="2197"/>
        <w:gridCol w:w="2197"/>
        <w:gridCol w:w="2197"/>
      </w:tblGrid>
      <w:tr w:rsidR="003D610D">
        <w:trPr>
          <w:jc w:val="center"/>
        </w:trPr>
        <w:tc>
          <w:tcPr>
            <w:tcW w:w="2197" w:type="dxa"/>
            <w:shd w:val="clear" w:color="auto" w:fill="1F3A5F"/>
          </w:tcPr>
          <w:p w:rsidR="003D610D" w:rsidRDefault="003E19C5">
            <w:pPr>
              <w:spacing w:before="40" w:after="40" w:line="240" w:lineRule="auto"/>
            </w:pPr>
            <w:r>
              <w:rPr>
                <w:rFonts w:ascii="Times New Roman" w:eastAsia="Times New Roman" w:hAnsi="Times New Roman"/>
                <w:b/>
                <w:color w:val="FFFFFF"/>
                <w:sz w:val="16"/>
              </w:rPr>
              <w:t>N.º</w:t>
            </w:r>
          </w:p>
        </w:tc>
        <w:tc>
          <w:tcPr>
            <w:tcW w:w="2197" w:type="dxa"/>
            <w:shd w:val="clear" w:color="auto" w:fill="1F3A5F"/>
          </w:tcPr>
          <w:p w:rsidR="003D610D" w:rsidRDefault="003E19C5">
            <w:pPr>
              <w:spacing w:before="40" w:after="40" w:line="240" w:lineRule="auto"/>
            </w:pPr>
            <w:r>
              <w:rPr>
                <w:rFonts w:ascii="Times New Roman" w:eastAsia="Times New Roman" w:hAnsi="Times New Roman"/>
                <w:b/>
                <w:color w:val="FFFFFF"/>
                <w:sz w:val="16"/>
              </w:rPr>
              <w:t>Regla de la política</w:t>
            </w:r>
          </w:p>
        </w:tc>
        <w:tc>
          <w:tcPr>
            <w:tcW w:w="2197" w:type="dxa"/>
            <w:shd w:val="clear" w:color="auto" w:fill="1F3A5F"/>
          </w:tcPr>
          <w:p w:rsidR="003D610D" w:rsidRDefault="003E19C5">
            <w:pPr>
              <w:spacing w:before="40" w:after="40" w:line="240" w:lineRule="auto"/>
            </w:pPr>
            <w:r>
              <w:rPr>
                <w:rFonts w:ascii="Times New Roman" w:eastAsia="Times New Roman" w:hAnsi="Times New Roman"/>
                <w:b/>
                <w:color w:val="FFFFFF"/>
                <w:sz w:val="16"/>
              </w:rPr>
              <w:t>Cómo se aplicó en Sigemad</w:t>
            </w:r>
          </w:p>
        </w:tc>
        <w:tc>
          <w:tcPr>
            <w:tcW w:w="2197" w:type="dxa"/>
            <w:shd w:val="clear" w:color="auto" w:fill="1F3A5F"/>
          </w:tcPr>
          <w:p w:rsidR="003D610D" w:rsidRDefault="003E19C5">
            <w:pPr>
              <w:spacing w:before="40" w:after="40" w:line="240" w:lineRule="auto"/>
            </w:pPr>
            <w:r>
              <w:rPr>
                <w:rFonts w:ascii="Times New Roman" w:eastAsia="Times New Roman" w:hAnsi="Times New Roman"/>
                <w:b/>
                <w:color w:val="FFFFFF"/>
                <w:sz w:val="16"/>
              </w:rPr>
              <w:t>Evidencia</w:t>
            </w:r>
          </w:p>
        </w:tc>
      </w:tr>
      <w:tr w:rsidR="003D610D">
        <w:trPr>
          <w:jc w:val="center"/>
        </w:trPr>
        <w:tc>
          <w:tcPr>
            <w:tcW w:w="2197" w:type="dxa"/>
            <w:shd w:val="clear" w:color="auto" w:fill="FFFFFF"/>
          </w:tcPr>
          <w:p w:rsidR="003D610D" w:rsidRDefault="003E19C5">
            <w:pPr>
              <w:spacing w:before="40" w:after="40" w:line="240" w:lineRule="auto"/>
            </w:pPr>
            <w:r>
              <w:rPr>
                <w:rFonts w:ascii="Times New Roman" w:eastAsia="Times New Roman" w:hAnsi="Times New Roman"/>
                <w:color w:val="1A1A1A"/>
                <w:sz w:val="16"/>
              </w:rPr>
              <w:t>1</w:t>
            </w:r>
          </w:p>
        </w:tc>
        <w:tc>
          <w:tcPr>
            <w:tcW w:w="2197" w:type="dxa"/>
            <w:shd w:val="clear" w:color="auto" w:fill="FFFFFF"/>
          </w:tcPr>
          <w:p w:rsidR="003D610D" w:rsidRDefault="003E19C5">
            <w:pPr>
              <w:spacing w:before="40" w:after="40" w:line="240" w:lineRule="auto"/>
            </w:pPr>
            <w:r>
              <w:rPr>
                <w:rFonts w:ascii="Times New Roman" w:eastAsia="Times New Roman" w:hAnsi="Times New Roman"/>
                <w:color w:val="1A1A1A"/>
                <w:sz w:val="16"/>
              </w:rPr>
              <w:t>Revisión humana antes de integrar</w:t>
            </w:r>
          </w:p>
        </w:tc>
        <w:tc>
          <w:tcPr>
            <w:tcW w:w="2197" w:type="dxa"/>
            <w:shd w:val="clear" w:color="auto" w:fill="FFFFFF"/>
          </w:tcPr>
          <w:p w:rsidR="003D610D" w:rsidRDefault="003E19C5">
            <w:pPr>
              <w:spacing w:before="40" w:after="40" w:line="240" w:lineRule="auto"/>
            </w:pPr>
            <w:r>
              <w:rPr>
                <w:rFonts w:ascii="Times New Roman" w:eastAsia="Times New Roman" w:hAnsi="Times New Roman"/>
                <w:color w:val="1A1A1A"/>
                <w:sz w:val="16"/>
              </w:rPr>
              <w:t>El tesista revisó cada salida del agente; no se integró código a ciegas</w:t>
            </w:r>
          </w:p>
        </w:tc>
        <w:tc>
          <w:tcPr>
            <w:tcW w:w="2197" w:type="dxa"/>
            <w:shd w:val="clear" w:color="auto" w:fill="FFFFFF"/>
          </w:tcPr>
          <w:p w:rsidR="003D610D" w:rsidRDefault="003E19C5">
            <w:pPr>
              <w:spacing w:before="40" w:after="40" w:line="240" w:lineRule="auto"/>
            </w:pPr>
            <w:r>
              <w:rPr>
                <w:rFonts w:ascii="Times New Roman" w:eastAsia="Times New Roman" w:hAnsi="Times New Roman"/>
                <w:color w:val="1A1A1A"/>
                <w:sz w:val="16"/>
              </w:rPr>
              <w:t>Campo Revisor de cada registro; Tabla 7, criterio 3</w:t>
            </w:r>
          </w:p>
        </w:tc>
      </w:tr>
      <w:tr w:rsidR="003D610D">
        <w:trPr>
          <w:jc w:val="center"/>
        </w:trPr>
        <w:tc>
          <w:tcPr>
            <w:tcW w:w="2197" w:type="dxa"/>
            <w:shd w:val="clear" w:color="auto" w:fill="F4F7FB"/>
          </w:tcPr>
          <w:p w:rsidR="003D610D" w:rsidRDefault="003E19C5">
            <w:pPr>
              <w:spacing w:before="40" w:after="40" w:line="240" w:lineRule="auto"/>
            </w:pPr>
            <w:r>
              <w:rPr>
                <w:rFonts w:ascii="Times New Roman" w:eastAsia="Times New Roman" w:hAnsi="Times New Roman"/>
                <w:color w:val="1A1A1A"/>
                <w:sz w:val="16"/>
              </w:rPr>
              <w:t>2</w:t>
            </w:r>
          </w:p>
        </w:tc>
        <w:tc>
          <w:tcPr>
            <w:tcW w:w="2197" w:type="dxa"/>
            <w:shd w:val="clear" w:color="auto" w:fill="F4F7FB"/>
          </w:tcPr>
          <w:p w:rsidR="003D610D" w:rsidRDefault="003E19C5">
            <w:pPr>
              <w:spacing w:before="40" w:after="40" w:line="240" w:lineRule="auto"/>
            </w:pPr>
            <w:r>
              <w:rPr>
                <w:rFonts w:ascii="Times New Roman" w:eastAsia="Times New Roman" w:hAnsi="Times New Roman"/>
                <w:color w:val="1A1A1A"/>
                <w:sz w:val="16"/>
              </w:rPr>
              <w:t>No secretos ni datos personales en el prompt</w:t>
            </w:r>
          </w:p>
        </w:tc>
        <w:tc>
          <w:tcPr>
            <w:tcW w:w="2197" w:type="dxa"/>
            <w:shd w:val="clear" w:color="auto" w:fill="F4F7FB"/>
          </w:tcPr>
          <w:p w:rsidR="003D610D" w:rsidRDefault="003E19C5">
            <w:pPr>
              <w:spacing w:before="40" w:after="40" w:line="240" w:lineRule="auto"/>
            </w:pPr>
            <w:r>
              <w:rPr>
                <w:rFonts w:ascii="Times New Roman" w:eastAsia="Times New Roman" w:hAnsi="Times New Roman"/>
                <w:color w:val="1A1A1A"/>
                <w:sz w:val="16"/>
              </w:rPr>
              <w:t>No se pegaron .env, local.php ni datos patrimoniales reales</w:t>
            </w:r>
          </w:p>
        </w:tc>
        <w:tc>
          <w:tcPr>
            <w:tcW w:w="2197" w:type="dxa"/>
            <w:shd w:val="clear" w:color="auto" w:fill="F4F7FB"/>
          </w:tcPr>
          <w:p w:rsidR="003D610D" w:rsidRDefault="003E19C5">
            <w:pPr>
              <w:spacing w:before="40" w:after="40" w:line="240" w:lineRule="auto"/>
            </w:pPr>
            <w:r>
              <w:rPr>
                <w:rFonts w:ascii="Times New Roman" w:eastAsia="Times New Roman" w:hAnsi="Times New Roman"/>
                <w:color w:val="1A1A1A"/>
                <w:sz w:val="16"/>
              </w:rPr>
              <w:t>M-004; RNF de secretos; política v1.3</w:t>
            </w:r>
          </w:p>
        </w:tc>
      </w:tr>
      <w:tr w:rsidR="003D610D">
        <w:trPr>
          <w:jc w:val="center"/>
        </w:trPr>
        <w:tc>
          <w:tcPr>
            <w:tcW w:w="2197" w:type="dxa"/>
            <w:shd w:val="clear" w:color="auto" w:fill="FFFFFF"/>
          </w:tcPr>
          <w:p w:rsidR="003D610D" w:rsidRDefault="003E19C5">
            <w:pPr>
              <w:spacing w:before="40" w:after="40" w:line="240" w:lineRule="auto"/>
            </w:pPr>
            <w:r>
              <w:rPr>
                <w:rFonts w:ascii="Times New Roman" w:eastAsia="Times New Roman" w:hAnsi="Times New Roman"/>
                <w:color w:val="1A1A1A"/>
                <w:sz w:val="16"/>
              </w:rPr>
              <w:t>3</w:t>
            </w:r>
          </w:p>
        </w:tc>
        <w:tc>
          <w:tcPr>
            <w:tcW w:w="2197" w:type="dxa"/>
            <w:shd w:val="clear" w:color="auto" w:fill="FFFFFF"/>
          </w:tcPr>
          <w:p w:rsidR="003D610D" w:rsidRDefault="003E19C5">
            <w:pPr>
              <w:spacing w:before="40" w:after="40" w:line="240" w:lineRule="auto"/>
            </w:pPr>
            <w:r>
              <w:rPr>
                <w:rFonts w:ascii="Times New Roman" w:eastAsia="Times New Roman" w:hAnsi="Times New Roman"/>
                <w:color w:val="1A1A1A"/>
                <w:sz w:val="16"/>
              </w:rPr>
              <w:t>Versionar el prompt, no el chat</w:t>
            </w:r>
          </w:p>
        </w:tc>
        <w:tc>
          <w:tcPr>
            <w:tcW w:w="2197" w:type="dxa"/>
            <w:shd w:val="clear" w:color="auto" w:fill="FFFFFF"/>
          </w:tcPr>
          <w:p w:rsidR="003D610D" w:rsidRDefault="003E19C5">
            <w:pPr>
              <w:spacing w:before="40" w:after="40" w:line="240" w:lineRule="auto"/>
            </w:pPr>
            <w:r>
              <w:rPr>
                <w:rFonts w:ascii="Times New Roman" w:eastAsia="Times New Roman" w:hAnsi="Times New Roman"/>
                <w:color w:val="1A1A1A"/>
                <w:sz w:val="16"/>
              </w:rPr>
              <w:t>Cada instrucción reejecutable vive en prompts/ con plantilla D1</w:t>
            </w:r>
          </w:p>
        </w:tc>
        <w:tc>
          <w:tcPr>
            <w:tcW w:w="2197" w:type="dxa"/>
            <w:shd w:val="clear" w:color="auto" w:fill="FFFFFF"/>
          </w:tcPr>
          <w:p w:rsidR="003D610D" w:rsidRDefault="003E19C5">
            <w:pPr>
              <w:spacing w:before="40" w:after="40" w:line="240" w:lineRule="auto"/>
            </w:pPr>
            <w:r>
              <w:rPr>
                <w:rFonts w:ascii="Times New Roman" w:eastAsia="Times New Roman" w:hAnsi="Times New Roman"/>
                <w:color w:val="1A1A1A"/>
                <w:sz w:val="16"/>
              </w:rPr>
              <w:t>Catálogo; Figura 8; repositorio GitHub</w:t>
            </w:r>
          </w:p>
        </w:tc>
      </w:tr>
      <w:tr w:rsidR="003D610D">
        <w:trPr>
          <w:jc w:val="center"/>
        </w:trPr>
        <w:tc>
          <w:tcPr>
            <w:tcW w:w="2197" w:type="dxa"/>
            <w:shd w:val="clear" w:color="auto" w:fill="F4F7FB"/>
          </w:tcPr>
          <w:p w:rsidR="003D610D" w:rsidRDefault="003E19C5">
            <w:pPr>
              <w:spacing w:before="40" w:after="40" w:line="240" w:lineRule="auto"/>
            </w:pPr>
            <w:r>
              <w:rPr>
                <w:rFonts w:ascii="Times New Roman" w:eastAsia="Times New Roman" w:hAnsi="Times New Roman"/>
                <w:color w:val="1A1A1A"/>
                <w:sz w:val="16"/>
              </w:rPr>
              <w:t>4</w:t>
            </w:r>
          </w:p>
        </w:tc>
        <w:tc>
          <w:tcPr>
            <w:tcW w:w="2197" w:type="dxa"/>
            <w:shd w:val="clear" w:color="auto" w:fill="F4F7FB"/>
          </w:tcPr>
          <w:p w:rsidR="003D610D" w:rsidRDefault="003E19C5">
            <w:pPr>
              <w:spacing w:before="40" w:after="40" w:line="240" w:lineRule="auto"/>
            </w:pPr>
            <w:r>
              <w:rPr>
                <w:rFonts w:ascii="Times New Roman" w:eastAsia="Times New Roman" w:hAnsi="Times New Roman"/>
                <w:color w:val="1A1A1A"/>
                <w:sz w:val="16"/>
              </w:rPr>
              <w:t>ADR ante cambio de arquitectura</w:t>
            </w:r>
          </w:p>
        </w:tc>
        <w:tc>
          <w:tcPr>
            <w:tcW w:w="2197" w:type="dxa"/>
            <w:shd w:val="clear" w:color="auto" w:fill="F4F7FB"/>
          </w:tcPr>
          <w:p w:rsidR="003D610D" w:rsidRDefault="003E19C5">
            <w:pPr>
              <w:spacing w:before="40" w:after="40" w:line="240" w:lineRule="auto"/>
            </w:pPr>
            <w:r>
              <w:rPr>
                <w:rFonts w:ascii="Times New Roman" w:eastAsia="Times New Roman" w:hAnsi="Times New Roman"/>
                <w:color w:val="1A1A1A"/>
                <w:sz w:val="16"/>
              </w:rPr>
              <w:t>Stack y degradación del ML documentados antes de implementar</w:t>
            </w:r>
          </w:p>
        </w:tc>
        <w:tc>
          <w:tcPr>
            <w:tcW w:w="2197" w:type="dxa"/>
            <w:shd w:val="clear" w:color="auto" w:fill="F4F7FB"/>
          </w:tcPr>
          <w:p w:rsidR="003D610D" w:rsidRDefault="003E19C5">
            <w:pPr>
              <w:spacing w:before="40" w:after="40" w:line="240" w:lineRule="auto"/>
            </w:pPr>
            <w:r>
              <w:rPr>
                <w:rFonts w:ascii="Times New Roman" w:eastAsia="Times New Roman" w:hAnsi="Times New Roman"/>
                <w:color w:val="1A1A1A"/>
                <w:sz w:val="16"/>
              </w:rPr>
              <w:t>ADR-001; ADR-002; ficha M-002</w:t>
            </w:r>
          </w:p>
        </w:tc>
      </w:tr>
      <w:tr w:rsidR="003D610D">
        <w:trPr>
          <w:jc w:val="center"/>
        </w:trPr>
        <w:tc>
          <w:tcPr>
            <w:tcW w:w="2197" w:type="dxa"/>
            <w:shd w:val="clear" w:color="auto" w:fill="FFFFFF"/>
          </w:tcPr>
          <w:p w:rsidR="003D610D" w:rsidRDefault="003E19C5">
            <w:pPr>
              <w:spacing w:before="40" w:after="40" w:line="240" w:lineRule="auto"/>
            </w:pPr>
            <w:r>
              <w:rPr>
                <w:rFonts w:ascii="Times New Roman" w:eastAsia="Times New Roman" w:hAnsi="Times New Roman"/>
                <w:color w:val="1A1A1A"/>
                <w:sz w:val="16"/>
              </w:rPr>
              <w:t>5</w:t>
            </w:r>
          </w:p>
        </w:tc>
        <w:tc>
          <w:tcPr>
            <w:tcW w:w="2197" w:type="dxa"/>
            <w:shd w:val="clear" w:color="auto" w:fill="FFFFFF"/>
          </w:tcPr>
          <w:p w:rsidR="003D610D" w:rsidRDefault="003E19C5">
            <w:pPr>
              <w:spacing w:before="40" w:after="40" w:line="240" w:lineRule="auto"/>
            </w:pPr>
            <w:r>
              <w:rPr>
                <w:rFonts w:ascii="Times New Roman" w:eastAsia="Times New Roman" w:hAnsi="Times New Roman"/>
                <w:color w:val="1A1A1A"/>
                <w:sz w:val="16"/>
              </w:rPr>
              <w:t>Verificar con pruebas</w:t>
            </w:r>
          </w:p>
        </w:tc>
        <w:tc>
          <w:tcPr>
            <w:tcW w:w="2197" w:type="dxa"/>
            <w:shd w:val="clear" w:color="auto" w:fill="FFFFFF"/>
          </w:tcPr>
          <w:p w:rsidR="003D610D" w:rsidRDefault="003E19C5">
            <w:pPr>
              <w:spacing w:before="40" w:after="40" w:line="240" w:lineRule="auto"/>
            </w:pPr>
            <w:r>
              <w:rPr>
                <w:rFonts w:ascii="Times New Roman" w:eastAsia="Times New Roman" w:hAnsi="Times New Roman"/>
                <w:color w:val="1A1A1A"/>
                <w:sz w:val="16"/>
              </w:rPr>
              <w:t>Plan funcional más tres entornos de ejecución</w:t>
            </w:r>
          </w:p>
        </w:tc>
        <w:tc>
          <w:tcPr>
            <w:tcW w:w="2197" w:type="dxa"/>
            <w:shd w:val="clear" w:color="auto" w:fill="FFFFFF"/>
          </w:tcPr>
          <w:p w:rsidR="003D610D" w:rsidRDefault="003E19C5">
            <w:pPr>
              <w:spacing w:before="40" w:after="40" w:line="240" w:lineRule="auto"/>
            </w:pPr>
            <w:r>
              <w:rPr>
                <w:rFonts w:ascii="Times New Roman" w:eastAsia="Times New Roman" w:hAnsi="Times New Roman"/>
                <w:color w:val="1A1A1A"/>
                <w:sz w:val="16"/>
              </w:rPr>
              <w:t>T-001 a T-005; Tabla 12</w:t>
            </w:r>
          </w:p>
        </w:tc>
      </w:tr>
      <w:tr w:rsidR="003D610D">
        <w:trPr>
          <w:jc w:val="center"/>
        </w:trPr>
        <w:tc>
          <w:tcPr>
            <w:tcW w:w="2197" w:type="dxa"/>
            <w:shd w:val="clear" w:color="auto" w:fill="F4F7FB"/>
          </w:tcPr>
          <w:p w:rsidR="003D610D" w:rsidRDefault="003E19C5">
            <w:pPr>
              <w:spacing w:before="40" w:after="40" w:line="240" w:lineRule="auto"/>
            </w:pPr>
            <w:r>
              <w:rPr>
                <w:rFonts w:ascii="Times New Roman" w:eastAsia="Times New Roman" w:hAnsi="Times New Roman"/>
                <w:color w:val="1A1A1A"/>
                <w:sz w:val="16"/>
              </w:rPr>
              <w:t>6</w:t>
            </w:r>
          </w:p>
        </w:tc>
        <w:tc>
          <w:tcPr>
            <w:tcW w:w="2197" w:type="dxa"/>
            <w:shd w:val="clear" w:color="auto" w:fill="F4F7FB"/>
          </w:tcPr>
          <w:p w:rsidR="003D610D" w:rsidRDefault="003E19C5">
            <w:pPr>
              <w:spacing w:before="40" w:after="40" w:line="240" w:lineRule="auto"/>
            </w:pPr>
            <w:r>
              <w:rPr>
                <w:rFonts w:ascii="Times New Roman" w:eastAsia="Times New Roman" w:hAnsi="Times New Roman"/>
                <w:color w:val="1A1A1A"/>
                <w:sz w:val="16"/>
              </w:rPr>
              <w:t>Poder mantener el código sin el modelo</w:t>
            </w:r>
          </w:p>
        </w:tc>
        <w:tc>
          <w:tcPr>
            <w:tcW w:w="2197" w:type="dxa"/>
            <w:shd w:val="clear" w:color="auto" w:fill="F4F7FB"/>
          </w:tcPr>
          <w:p w:rsidR="003D610D" w:rsidRDefault="003E19C5">
            <w:pPr>
              <w:spacing w:before="40" w:after="40" w:line="240" w:lineRule="auto"/>
            </w:pPr>
            <w:r>
              <w:rPr>
                <w:rFonts w:ascii="Times New Roman" w:eastAsia="Times New Roman" w:hAnsi="Times New Roman"/>
                <w:color w:val="1A1A1A"/>
                <w:sz w:val="16"/>
              </w:rPr>
              <w:t>Un solo desarrollador-revisor; el DoD exige explicación</w:t>
            </w:r>
          </w:p>
        </w:tc>
        <w:tc>
          <w:tcPr>
            <w:tcW w:w="2197" w:type="dxa"/>
            <w:shd w:val="clear" w:color="auto" w:fill="F4F7FB"/>
          </w:tcPr>
          <w:p w:rsidR="003D610D" w:rsidRDefault="003E19C5">
            <w:pPr>
              <w:spacing w:before="40" w:after="40" w:line="240" w:lineRule="auto"/>
            </w:pPr>
            <w:r>
              <w:rPr>
                <w:rFonts w:ascii="Times New Roman" w:eastAsia="Times New Roman" w:hAnsi="Times New Roman"/>
                <w:color w:val="1A1A1A"/>
                <w:sz w:val="16"/>
              </w:rPr>
              <w:t>Tabla 7, criterios 3 y 6</w:t>
            </w:r>
          </w:p>
        </w:tc>
      </w:tr>
      <w:tr w:rsidR="003D610D">
        <w:trPr>
          <w:jc w:val="center"/>
        </w:trPr>
        <w:tc>
          <w:tcPr>
            <w:tcW w:w="2197" w:type="dxa"/>
            <w:shd w:val="clear" w:color="auto" w:fill="FFFFFF"/>
          </w:tcPr>
          <w:p w:rsidR="003D610D" w:rsidRDefault="003E19C5">
            <w:pPr>
              <w:spacing w:before="40" w:after="40" w:line="240" w:lineRule="auto"/>
            </w:pPr>
            <w:r>
              <w:rPr>
                <w:rFonts w:ascii="Times New Roman" w:eastAsia="Times New Roman" w:hAnsi="Times New Roman"/>
                <w:color w:val="1A1A1A"/>
                <w:sz w:val="16"/>
              </w:rPr>
              <w:t>7</w:t>
            </w:r>
          </w:p>
        </w:tc>
        <w:tc>
          <w:tcPr>
            <w:tcW w:w="2197" w:type="dxa"/>
            <w:shd w:val="clear" w:color="auto" w:fill="FFFFFF"/>
          </w:tcPr>
          <w:p w:rsidR="003D610D" w:rsidRDefault="003E19C5">
            <w:pPr>
              <w:spacing w:before="40" w:after="40" w:line="240" w:lineRule="auto"/>
            </w:pPr>
            <w:r>
              <w:rPr>
                <w:rFonts w:ascii="Times New Roman" w:eastAsia="Times New Roman" w:hAnsi="Times New Roman"/>
                <w:color w:val="1A1A1A"/>
                <w:sz w:val="16"/>
              </w:rPr>
              <w:t>Distinguir reconstruido y ejecutado</w:t>
            </w:r>
          </w:p>
        </w:tc>
        <w:tc>
          <w:tcPr>
            <w:tcW w:w="2197" w:type="dxa"/>
            <w:shd w:val="clear" w:color="auto" w:fill="FFFFFF"/>
          </w:tcPr>
          <w:p w:rsidR="003D610D" w:rsidRDefault="003E19C5">
            <w:pPr>
              <w:spacing w:before="40" w:after="40" w:line="240" w:lineRule="auto"/>
            </w:pPr>
            <w:r>
              <w:rPr>
                <w:rFonts w:ascii="Times New Roman" w:eastAsia="Times New Roman" w:hAnsi="Times New Roman"/>
                <w:color w:val="1A1A1A"/>
                <w:sz w:val="16"/>
              </w:rPr>
              <w:t>Estado honesto en cada registro de fase</w:t>
            </w:r>
          </w:p>
        </w:tc>
        <w:tc>
          <w:tcPr>
            <w:tcW w:w="2197" w:type="dxa"/>
            <w:shd w:val="clear" w:color="auto" w:fill="FFFFFF"/>
          </w:tcPr>
          <w:p w:rsidR="003D610D" w:rsidRDefault="003E19C5">
            <w:pPr>
              <w:spacing w:before="40" w:after="40" w:line="240" w:lineRule="auto"/>
            </w:pPr>
            <w:r>
              <w:rPr>
                <w:rFonts w:ascii="Times New Roman" w:eastAsia="Times New Roman" w:hAnsi="Times New Roman"/>
                <w:color w:val="1A1A1A"/>
                <w:sz w:val="16"/>
              </w:rPr>
              <w:t>Tablas 9 a 13</w:t>
            </w:r>
          </w:p>
        </w:tc>
      </w:tr>
      <w:tr w:rsidR="003D610D">
        <w:trPr>
          <w:jc w:val="center"/>
        </w:trPr>
        <w:tc>
          <w:tcPr>
            <w:tcW w:w="2197" w:type="dxa"/>
            <w:shd w:val="clear" w:color="auto" w:fill="F4F7FB"/>
          </w:tcPr>
          <w:p w:rsidR="003D610D" w:rsidRDefault="003E19C5">
            <w:pPr>
              <w:spacing w:before="40" w:after="40" w:line="240" w:lineRule="auto"/>
            </w:pPr>
            <w:r>
              <w:rPr>
                <w:rFonts w:ascii="Times New Roman" w:eastAsia="Times New Roman" w:hAnsi="Times New Roman"/>
                <w:color w:val="1A1A1A"/>
                <w:sz w:val="16"/>
              </w:rPr>
              <w:t>8</w:t>
            </w:r>
          </w:p>
        </w:tc>
        <w:tc>
          <w:tcPr>
            <w:tcW w:w="2197" w:type="dxa"/>
            <w:shd w:val="clear" w:color="auto" w:fill="F4F7FB"/>
          </w:tcPr>
          <w:p w:rsidR="003D610D" w:rsidRDefault="003E19C5">
            <w:pPr>
              <w:spacing w:before="40" w:after="40" w:line="240" w:lineRule="auto"/>
            </w:pPr>
            <w:r>
              <w:rPr>
                <w:rFonts w:ascii="Times New Roman" w:eastAsia="Times New Roman" w:hAnsi="Times New Roman"/>
                <w:color w:val="1A1A1A"/>
                <w:sz w:val="16"/>
              </w:rPr>
              <w:t>Un I-* por incremento</w:t>
            </w:r>
          </w:p>
        </w:tc>
        <w:tc>
          <w:tcPr>
            <w:tcW w:w="2197" w:type="dxa"/>
            <w:shd w:val="clear" w:color="auto" w:fill="F4F7FB"/>
          </w:tcPr>
          <w:p w:rsidR="003D610D" w:rsidRDefault="003E19C5">
            <w:pPr>
              <w:spacing w:before="40" w:after="40" w:line="240" w:lineRule="auto"/>
            </w:pPr>
            <w:r>
              <w:rPr>
                <w:rFonts w:ascii="Times New Roman" w:eastAsia="Times New Roman" w:hAnsi="Times New Roman"/>
                <w:color w:val="1A1A1A"/>
                <w:sz w:val="16"/>
              </w:rPr>
              <w:t>Macros Superados; I-001 a I-009 vigentes y citables en el commit</w:t>
            </w:r>
          </w:p>
        </w:tc>
        <w:tc>
          <w:tcPr>
            <w:tcW w:w="2197" w:type="dxa"/>
            <w:shd w:val="clear" w:color="auto" w:fill="F4F7FB"/>
          </w:tcPr>
          <w:p w:rsidR="003D610D" w:rsidRDefault="003E19C5">
            <w:pPr>
              <w:spacing w:before="40" w:after="40" w:line="240" w:lineRule="auto"/>
            </w:pPr>
            <w:r>
              <w:rPr>
                <w:rFonts w:ascii="Times New Roman" w:eastAsia="Times New Roman" w:hAnsi="Times New Roman"/>
                <w:color w:val="1A1A1A"/>
                <w:sz w:val="16"/>
              </w:rPr>
              <w:t>Oleada 2; Tabla 11</w:t>
            </w:r>
          </w:p>
        </w:tc>
      </w:tr>
    </w:tbl>
    <w:p w:rsidR="003D610D" w:rsidRDefault="003E19C5">
      <w:pPr>
        <w:spacing w:before="80" w:after="240" w:line="240" w:lineRule="auto"/>
        <w:jc w:val="center"/>
      </w:pPr>
      <w:r>
        <w:rPr>
          <w:rFonts w:ascii="Times New Roman" w:eastAsia="Times New Roman" w:hAnsi="Times New Roman"/>
          <w:i/>
          <w:color w:val="1A1A1A"/>
        </w:rPr>
        <w:t>Tabla 6. Aplicación de la política mínima de uso de IA en el caso Sigemad MPA.</w:t>
      </w:r>
    </w:p>
    <w:p w:rsidR="00E24534" w:rsidRDefault="00E24534"/>
    <w:p w:rsidR="00E24534" w:rsidRDefault="003F5A0B">
      <w:pPr>
        <w:spacing w:before="240" w:after="120"/>
      </w:pPr>
      <w:r>
        <w:rPr>
          <w:rFonts w:ascii="Times New Roman" w:eastAsia="Times New Roman" w:hAnsi="Times New Roman" w:cs="Times New Roman"/>
          <w:b/>
          <w:bCs/>
          <w:color w:val="1A5F7A"/>
          <w:sz w:val="26"/>
        </w:rPr>
        <w:t>4.2 Repositorio de prompts</w:t>
      </w:r>
    </w:p>
    <w:p w:rsidR="003D610D" w:rsidRDefault="003E19C5">
      <w:pPr>
        <w:spacing w:after="160" w:line="360" w:lineRule="auto"/>
        <w:ind w:firstLine="425"/>
        <w:jc w:val="both"/>
      </w:pPr>
      <w:r>
        <w:rPr>
          <w:rFonts w:ascii="Times New Roman" w:eastAsia="Times New Roman" w:hAnsi="Times New Roman"/>
          <w:color w:val="1A1A1A"/>
          <w:sz w:val="24"/>
        </w:rPr>
        <w:t>Los prompts se organizaron por fase en un repositorio versionado, según la Figura 8. La carpeta 01_requisitos contiene R-001 a R-006; 02_diseno, D-001 a D-007; 03_implementacion, I-001 a I-017 (más dos macros Superados); 04_testing, T-001 a T-014; 05_mantenimiento, M-001 a M-004; iso, P-ISO-001 a P-ISO-003; y gobernanza reúne la plantilla maestra, el catálogo, la política de uso de IA y el registro de métricas. La convención de confirmación cita el código del prompt del incremento (por ejemplo, feat(inventario): descripción [I-002]). No se versiona el historial de conversación con el agente: el registro es la instrucción reejecutable.</w:t>
      </w:r>
    </w:p>
    <w:p w:rsidR="003D610D" w:rsidRDefault="003E19C5">
      <w:pPr>
        <w:spacing w:after="160" w:line="360" w:lineRule="auto"/>
        <w:ind w:firstLine="425"/>
        <w:jc w:val="both"/>
      </w:pPr>
      <w:r>
        <w:rPr>
          <w:rFonts w:ascii="Times New Roman" w:eastAsia="Times New Roman" w:hAnsi="Times New Roman"/>
          <w:color w:val="1A1A1A"/>
          <w:sz w:val="24"/>
        </w:rPr>
        <w:t xml:space="preserve">La evidencia pública de esa carpeta está en el repositorio GitHub del caso, ruta prompts/: </w:t>
      </w:r>
      <w:hyperlink r:id="rId19">
        <w:r>
          <w:rPr>
            <w:rFonts w:ascii="Times New Roman" w:eastAsia="Times New Roman" w:hAnsi="Times New Roman"/>
            <w:color w:val="0563C1"/>
            <w:sz w:val="24"/>
            <w:u w:val="single"/>
          </w:rPr>
          <w:t>https://github.com/AxlTech25/Gestion-MPA/tree/main/prompts</w:t>
        </w:r>
      </w:hyperlink>
      <w:r>
        <w:rPr>
          <w:rFonts w:ascii="Times New Roman" w:eastAsia="Times New Roman" w:hAnsi="Times New Roman"/>
          <w:color w:val="1A1A1A"/>
          <w:sz w:val="24"/>
        </w:rPr>
        <w:t>. Allí se publican los registros R, D, I, T y M, y la gobernanza (plantilla, catálogo, política y métricas). Esa URL permite auditar que los prompts no viven solo en un chat local.</w:t>
      </w:r>
    </w:p>
    <w:p w:rsidR="00E24534" w:rsidRDefault="00E24534"/>
    <w:p w:rsidR="00E24534" w:rsidRDefault="003F5A0B">
      <w:pPr>
        <w:spacing w:before="120" w:after="40" w:line="240" w:lineRule="auto"/>
        <w:jc w:val="center"/>
      </w:pPr>
      <w:r>
        <w:rPr>
          <w:noProof/>
        </w:rPr>
        <w:lastRenderedPageBreak/>
        <w:drawing>
          <wp:inline distT="0" distB="0" distL="0" distR="0" wp14:anchorId="42C6C31A" wp14:editId="5E37819A">
            <wp:extent cx="5581650" cy="257175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a:blip r:embed="rId20"/>
                    <a:stretch>
                      <a:fillRect/>
                    </a:stretch>
                  </pic:blipFill>
                  <pic:spPr>
                    <a:xfrm>
                      <a:off x="0" y="0"/>
                      <a:ext cx="5581650" cy="2571750"/>
                    </a:xfrm>
                    <a:prstGeom prst="rect">
                      <a:avLst/>
                    </a:prstGeom>
                  </pic:spPr>
                </pic:pic>
              </a:graphicData>
            </a:graphic>
          </wp:inline>
        </w:drawing>
      </w:r>
    </w:p>
    <w:p w:rsidR="00E24534" w:rsidRDefault="003F5A0B">
      <w:pPr>
        <w:spacing w:before="80" w:after="240" w:line="240" w:lineRule="auto"/>
        <w:jc w:val="center"/>
      </w:pPr>
      <w:r>
        <w:rPr>
          <w:rFonts w:ascii="Times New Roman" w:eastAsia="Times New Roman" w:hAnsi="Times New Roman" w:cs="Times New Roman"/>
          <w:i/>
          <w:iCs/>
          <w:color w:val="4A5568"/>
          <w:sz w:val="20"/>
        </w:rPr>
        <w:t>Figura 8. Árbol del repositorio de prompts del caso Sigemad MPA.</w:t>
      </w:r>
    </w:p>
    <w:p w:rsidR="00E24534" w:rsidRDefault="003F5A0B">
      <w:pPr>
        <w:spacing w:before="240" w:after="120"/>
      </w:pPr>
      <w:r>
        <w:rPr>
          <w:rFonts w:ascii="Times New Roman" w:eastAsia="Times New Roman" w:hAnsi="Times New Roman" w:cs="Times New Roman"/>
          <w:b/>
          <w:bCs/>
          <w:color w:val="1A5F7A"/>
          <w:sz w:val="26"/>
        </w:rPr>
        <w:t>4.3 Definition of Done ampliada</w:t>
      </w:r>
    </w:p>
    <w:p w:rsidR="003D610D" w:rsidRDefault="003E19C5">
      <w:pPr>
        <w:spacing w:after="160" w:line="360" w:lineRule="auto"/>
        <w:ind w:firstLine="425"/>
        <w:jc w:val="both"/>
      </w:pPr>
      <w:r>
        <w:rPr>
          <w:rFonts w:ascii="Times New Roman" w:eastAsia="Times New Roman" w:hAnsi="Times New Roman"/>
          <w:color w:val="1A1A1A"/>
          <w:sz w:val="24"/>
        </w:rPr>
        <w:t>Los criterios de cierre de un incremento asistido por IA se presentan en la Tabla 7.</w:t>
      </w:r>
    </w:p>
    <w:p w:rsidR="003D610D" w:rsidRDefault="003E19C5">
      <w:pPr>
        <w:spacing w:after="160" w:line="360" w:lineRule="auto"/>
        <w:ind w:firstLine="425"/>
        <w:jc w:val="both"/>
      </w:pPr>
      <w:r>
        <w:rPr>
          <w:rFonts w:ascii="Times New Roman" w:eastAsia="Times New Roman" w:hAnsi="Times New Roman"/>
          <w:color w:val="1A1A1A"/>
          <w:sz w:val="24"/>
        </w:rPr>
        <w:t>Un incremento asistido por IA no se consideró cerrado por el solo hecho de que el modelo hubiera generado código. Los criterios de cierre se recogen en la Tabla 7.</w:t>
      </w:r>
    </w:p>
    <w:p w:rsidR="00E24534" w:rsidRDefault="00E24534"/>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ayout w:type="fixed"/>
        <w:tblLook w:val="07E0" w:firstRow="1" w:lastRow="1" w:firstColumn="1" w:lastColumn="1" w:noHBand="1" w:noVBand="1"/>
      </w:tblPr>
      <w:tblGrid>
        <w:gridCol w:w="737"/>
        <w:gridCol w:w="4082"/>
        <w:gridCol w:w="1247"/>
        <w:gridCol w:w="2721"/>
      </w:tblGrid>
      <w:tr w:rsidR="00E24534">
        <w:trPr>
          <w:jc w:val="center"/>
        </w:trPr>
        <w:tc>
          <w:tcPr>
            <w:tcW w:w="737"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8"/>
              </w:rPr>
              <w:t>N.º</w:t>
            </w:r>
          </w:p>
        </w:tc>
        <w:tc>
          <w:tcPr>
            <w:tcW w:w="4082"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8"/>
              </w:rPr>
              <w:t>Criterio</w:t>
            </w:r>
          </w:p>
        </w:tc>
        <w:tc>
          <w:tcPr>
            <w:tcW w:w="1247"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8"/>
              </w:rPr>
              <w:t>¿Se exige?</w:t>
            </w:r>
          </w:p>
        </w:tc>
        <w:tc>
          <w:tcPr>
            <w:tcW w:w="2721"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8"/>
              </w:rPr>
              <w:t>Evidencia</w:t>
            </w:r>
          </w:p>
        </w:tc>
      </w:tr>
      <w:tr w:rsidR="00E24534">
        <w:trPr>
          <w:cantSplit/>
          <w:jc w:val="center"/>
        </w:trPr>
        <w:tc>
          <w:tcPr>
            <w:tcW w:w="73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1</w:t>
            </w:r>
          </w:p>
        </w:tc>
        <w:tc>
          <w:tcPr>
            <w:tcW w:w="4082"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Criterios de aceptación verificables</w:t>
            </w:r>
          </w:p>
        </w:tc>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Sí</w:t>
            </w:r>
          </w:p>
        </w:tc>
        <w:tc>
          <w:tcPr>
            <w:tcW w:w="272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HU + incremento</w:t>
            </w:r>
          </w:p>
        </w:tc>
      </w:tr>
      <w:tr w:rsidR="00E24534">
        <w:trPr>
          <w:cantSplit/>
          <w:jc w:val="center"/>
        </w:trPr>
        <w:tc>
          <w:tcPr>
            <w:tcW w:w="73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2</w:t>
            </w:r>
          </w:p>
        </w:tc>
        <w:tc>
          <w:tcPr>
            <w:tcW w:w="4082"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Prompt (si hubo IA) versionado en prompts/</w:t>
            </w:r>
          </w:p>
        </w:tc>
        <w:tc>
          <w:tcPr>
            <w:tcW w:w="124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Sí</w:t>
            </w:r>
          </w:p>
        </w:tc>
        <w:tc>
          <w:tcPr>
            <w:tcW w:w="272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Catálogo D3</w:t>
            </w:r>
          </w:p>
        </w:tc>
      </w:tr>
      <w:tr w:rsidR="00E24534">
        <w:trPr>
          <w:cantSplit/>
          <w:jc w:val="center"/>
        </w:trPr>
        <w:tc>
          <w:tcPr>
            <w:tcW w:w="73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3</w:t>
            </w:r>
          </w:p>
        </w:tc>
        <w:tc>
          <w:tcPr>
            <w:tcW w:w="4082"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Revisión humana de lo integrado</w:t>
            </w:r>
          </w:p>
        </w:tc>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Sí</w:t>
            </w:r>
          </w:p>
        </w:tc>
        <w:tc>
          <w:tcPr>
            <w:tcW w:w="272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Campo Revisor</w:t>
            </w:r>
          </w:p>
        </w:tc>
      </w:tr>
      <w:tr w:rsidR="00E24534">
        <w:trPr>
          <w:cantSplit/>
          <w:jc w:val="center"/>
        </w:trPr>
        <w:tc>
          <w:tcPr>
            <w:tcW w:w="73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4</w:t>
            </w:r>
          </w:p>
        </w:tc>
        <w:tc>
          <w:tcPr>
            <w:tcW w:w="4082"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Pruebas relevantes en verde</w:t>
            </w:r>
          </w:p>
        </w:tc>
        <w:tc>
          <w:tcPr>
            <w:tcW w:w="124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Sí</w:t>
            </w:r>
          </w:p>
        </w:tc>
        <w:tc>
          <w:tcPr>
            <w:tcW w:w="272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T-002 / T-003 / T-004</w:t>
            </w:r>
          </w:p>
        </w:tc>
      </w:tr>
      <w:tr w:rsidR="00E24534">
        <w:trPr>
          <w:cantSplit/>
          <w:jc w:val="center"/>
        </w:trPr>
        <w:tc>
          <w:tcPr>
            <w:tcW w:w="73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5</w:t>
            </w:r>
          </w:p>
        </w:tc>
        <w:tc>
          <w:tcPr>
            <w:tcW w:w="4082"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Sin secretos en el repositorio</w:t>
            </w:r>
          </w:p>
        </w:tc>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Sí</w:t>
            </w:r>
          </w:p>
        </w:tc>
        <w:tc>
          <w:tcPr>
            <w:tcW w:w="272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Política + M-004</w:t>
            </w:r>
          </w:p>
        </w:tc>
      </w:tr>
      <w:tr w:rsidR="00E24534">
        <w:trPr>
          <w:cantSplit/>
          <w:jc w:val="center"/>
        </w:trPr>
        <w:tc>
          <w:tcPr>
            <w:tcW w:w="73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6</w:t>
            </w:r>
          </w:p>
        </w:tc>
        <w:tc>
          <w:tcPr>
            <w:tcW w:w="4082"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Documentación de la fase actualizada</w:t>
            </w:r>
          </w:p>
        </w:tc>
        <w:tc>
          <w:tcPr>
            <w:tcW w:w="124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Sí</w:t>
            </w:r>
          </w:p>
        </w:tc>
        <w:tc>
          <w:tcPr>
            <w:tcW w:w="272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documents/0N_*/</w:t>
            </w:r>
          </w:p>
        </w:tc>
      </w:tr>
      <w:tr w:rsidR="00E24534">
        <w:trPr>
          <w:cantSplit/>
          <w:jc w:val="center"/>
        </w:trPr>
        <w:tc>
          <w:tcPr>
            <w:tcW w:w="73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7</w:t>
            </w:r>
          </w:p>
        </w:tc>
        <w:tc>
          <w:tcPr>
            <w:tcW w:w="4082"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ADR si cambió la arquitectura</w:t>
            </w:r>
          </w:p>
        </w:tc>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Sí</w:t>
            </w:r>
          </w:p>
        </w:tc>
        <w:tc>
          <w:tcPr>
            <w:tcW w:w="272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ADR-001, ADR-002</w:t>
            </w:r>
          </w:p>
        </w:tc>
      </w:tr>
      <w:tr w:rsidR="00E24534">
        <w:trPr>
          <w:cantSplit/>
          <w:jc w:val="center"/>
        </w:trPr>
        <w:tc>
          <w:tcPr>
            <w:tcW w:w="73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8</w:t>
            </w:r>
          </w:p>
        </w:tc>
        <w:tc>
          <w:tcPr>
            <w:tcW w:w="4082"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Trazabilidad HU → incremento → versión → módulo</w:t>
            </w:r>
          </w:p>
        </w:tc>
        <w:tc>
          <w:tcPr>
            <w:tcW w:w="124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Sí</w:t>
            </w:r>
          </w:p>
        </w:tc>
        <w:tc>
          <w:tcPr>
            <w:tcW w:w="272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Matriz + apartado  10</w:t>
            </w:r>
          </w:p>
        </w:tc>
      </w:tr>
    </w:tbl>
    <w:p w:rsidR="00E24534" w:rsidRDefault="003F5A0B">
      <w:pPr>
        <w:spacing w:before="80" w:after="240" w:line="240" w:lineRule="auto"/>
        <w:jc w:val="center"/>
      </w:pPr>
      <w:r>
        <w:rPr>
          <w:rFonts w:ascii="Times New Roman" w:eastAsia="Times New Roman" w:hAnsi="Times New Roman" w:cs="Times New Roman"/>
          <w:i/>
          <w:iCs/>
          <w:color w:val="4A5568"/>
          <w:sz w:val="20"/>
        </w:rPr>
        <w:t>Tabla 7. Definition of Done ampliada para trabajo asistido por IA.</w:t>
      </w:r>
    </w:p>
    <w:p w:rsidR="00E24534" w:rsidRDefault="003F5A0B">
      <w:pPr>
        <w:spacing w:before="240" w:after="120"/>
      </w:pPr>
      <w:r>
        <w:rPr>
          <w:rFonts w:ascii="Times New Roman" w:eastAsia="Times New Roman" w:hAnsi="Times New Roman" w:cs="Times New Roman"/>
          <w:b/>
          <w:bCs/>
          <w:color w:val="1A5F7A"/>
          <w:sz w:val="26"/>
        </w:rPr>
        <w:t>4.4 Herramientas y modelos de IA</w:t>
      </w:r>
    </w:p>
    <w:p w:rsidR="003D610D" w:rsidRDefault="003E19C5">
      <w:pPr>
        <w:spacing w:after="160" w:line="360" w:lineRule="auto"/>
        <w:ind w:firstLine="425"/>
        <w:jc w:val="both"/>
      </w:pPr>
      <w:r>
        <w:rPr>
          <w:rFonts w:ascii="Times New Roman" w:eastAsia="Times New Roman" w:hAnsi="Times New Roman"/>
          <w:color w:val="1A1A1A"/>
          <w:sz w:val="24"/>
        </w:rPr>
        <w:t>Las herramientas y el destino de operación se recogen en la Tabla 8. El entorno de edición y el agente se cuentan una sola vez; Git y GitHub forman una fila; el destino es el ambiente de producción institucional.</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ayout w:type="fixed"/>
        <w:tblLook w:val="07E0" w:firstRow="1" w:lastRow="1" w:firstColumn="1" w:lastColumn="1" w:noHBand="1" w:noVBand="1"/>
      </w:tblPr>
      <w:tblGrid>
        <w:gridCol w:w="2948"/>
        <w:gridCol w:w="3742"/>
        <w:gridCol w:w="2098"/>
      </w:tblGrid>
      <w:tr w:rsidR="00E24534">
        <w:trPr>
          <w:jc w:val="center"/>
        </w:trPr>
        <w:tc>
          <w:tcPr>
            <w:tcW w:w="2948"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8"/>
              </w:rPr>
              <w:t>Herramienta o modelo</w:t>
            </w:r>
          </w:p>
        </w:tc>
        <w:tc>
          <w:tcPr>
            <w:tcW w:w="3742"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8"/>
              </w:rPr>
              <w:t>Uso principal</w:t>
            </w:r>
          </w:p>
        </w:tc>
        <w:tc>
          <w:tcPr>
            <w:tcW w:w="2098"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8"/>
              </w:rPr>
              <w:t>Fase(s)</w:t>
            </w:r>
          </w:p>
        </w:tc>
      </w:tr>
      <w:tr w:rsidR="003D610D">
        <w:trPr>
          <w:jc w:val="center"/>
        </w:trPr>
        <w:tc>
          <w:tcPr>
            <w:tcW w:w="2948" w:type="dxa"/>
          </w:tcPr>
          <w:p w:rsidR="003D610D" w:rsidRDefault="003E19C5">
            <w:r>
              <w:rPr>
                <w:rFonts w:ascii="Times New Roman" w:eastAsia="Times New Roman" w:hAnsi="Times New Roman"/>
                <w:color w:val="1A1A1A"/>
                <w:sz w:val="16"/>
              </w:rPr>
              <w:t>Cursor (entorno y agente)</w:t>
            </w:r>
          </w:p>
        </w:tc>
        <w:tc>
          <w:tcPr>
            <w:tcW w:w="3742" w:type="dxa"/>
          </w:tcPr>
          <w:p w:rsidR="003D610D" w:rsidRDefault="003E19C5">
            <w:r>
              <w:rPr>
                <w:rFonts w:ascii="Times New Roman" w:eastAsia="Times New Roman" w:hAnsi="Times New Roman"/>
                <w:color w:val="1A1A1A"/>
                <w:sz w:val="16"/>
              </w:rPr>
              <w:t>Generación y refinamiento de artefactos, con revisión humana</w:t>
            </w:r>
          </w:p>
        </w:tc>
        <w:tc>
          <w:tcPr>
            <w:tcW w:w="2098" w:type="dxa"/>
          </w:tcPr>
          <w:p w:rsidR="003D610D" w:rsidRDefault="003E19C5">
            <w:r>
              <w:rPr>
                <w:rFonts w:ascii="Times New Roman" w:eastAsia="Times New Roman" w:hAnsi="Times New Roman"/>
                <w:color w:val="1A1A1A"/>
                <w:sz w:val="16"/>
              </w:rPr>
              <w:t>R, D, I, T, M</w:t>
            </w:r>
          </w:p>
        </w:tc>
      </w:tr>
      <w:tr w:rsidR="003D610D">
        <w:trPr>
          <w:jc w:val="center"/>
        </w:trPr>
        <w:tc>
          <w:tcPr>
            <w:tcW w:w="2948" w:type="dxa"/>
          </w:tcPr>
          <w:p w:rsidR="003D610D" w:rsidRDefault="003E19C5">
            <w:r>
              <w:rPr>
                <w:rFonts w:ascii="Times New Roman" w:eastAsia="Times New Roman" w:hAnsi="Times New Roman"/>
                <w:color w:val="1A1A1A"/>
                <w:sz w:val="16"/>
              </w:rPr>
              <w:lastRenderedPageBreak/>
              <w:t>PHP 8.1+ / Composer</w:t>
            </w:r>
          </w:p>
        </w:tc>
        <w:tc>
          <w:tcPr>
            <w:tcW w:w="3742" w:type="dxa"/>
          </w:tcPr>
          <w:p w:rsidR="003D610D" w:rsidRDefault="003E19C5">
            <w:r>
              <w:rPr>
                <w:rFonts w:ascii="Times New Roman" w:eastAsia="Times New Roman" w:hAnsi="Times New Roman"/>
                <w:color w:val="1A1A1A"/>
                <w:sz w:val="16"/>
              </w:rPr>
              <w:t>API REST, PDO, JWT y dependencias del servidor</w:t>
            </w:r>
          </w:p>
        </w:tc>
        <w:tc>
          <w:tcPr>
            <w:tcW w:w="2098" w:type="dxa"/>
          </w:tcPr>
          <w:p w:rsidR="003D610D" w:rsidRDefault="003E19C5">
            <w:r>
              <w:rPr>
                <w:rFonts w:ascii="Times New Roman" w:eastAsia="Times New Roman" w:hAnsi="Times New Roman"/>
                <w:color w:val="1A1A1A"/>
                <w:sz w:val="16"/>
              </w:rPr>
              <w:t>I, T, M</w:t>
            </w:r>
          </w:p>
        </w:tc>
      </w:tr>
      <w:tr w:rsidR="003D610D">
        <w:trPr>
          <w:jc w:val="center"/>
        </w:trPr>
        <w:tc>
          <w:tcPr>
            <w:tcW w:w="2948" w:type="dxa"/>
          </w:tcPr>
          <w:p w:rsidR="003D610D" w:rsidRDefault="003E19C5">
            <w:r>
              <w:rPr>
                <w:rFonts w:ascii="Times New Roman" w:eastAsia="Times New Roman" w:hAnsi="Times New Roman"/>
                <w:color w:val="1A1A1A"/>
                <w:sz w:val="16"/>
              </w:rPr>
              <w:t>React 19 / Vite / Axios / Tailwind</w:t>
            </w:r>
          </w:p>
        </w:tc>
        <w:tc>
          <w:tcPr>
            <w:tcW w:w="3742" w:type="dxa"/>
          </w:tcPr>
          <w:p w:rsidR="003D610D" w:rsidRDefault="003E19C5">
            <w:r>
              <w:rPr>
                <w:rFonts w:ascii="Times New Roman" w:eastAsia="Times New Roman" w:hAnsi="Times New Roman"/>
                <w:color w:val="1A1A1A"/>
                <w:sz w:val="16"/>
              </w:rPr>
              <w:t>Interfaz de usuario y cliente HTTP</w:t>
            </w:r>
          </w:p>
        </w:tc>
        <w:tc>
          <w:tcPr>
            <w:tcW w:w="2098" w:type="dxa"/>
          </w:tcPr>
          <w:p w:rsidR="003D610D" w:rsidRDefault="003E19C5">
            <w:r>
              <w:rPr>
                <w:rFonts w:ascii="Times New Roman" w:eastAsia="Times New Roman" w:hAnsi="Times New Roman"/>
                <w:color w:val="1A1A1A"/>
                <w:sz w:val="16"/>
              </w:rPr>
              <w:t>I, T</w:t>
            </w:r>
          </w:p>
        </w:tc>
      </w:tr>
      <w:tr w:rsidR="003D610D">
        <w:trPr>
          <w:jc w:val="center"/>
        </w:trPr>
        <w:tc>
          <w:tcPr>
            <w:tcW w:w="2948" w:type="dxa"/>
          </w:tcPr>
          <w:p w:rsidR="003D610D" w:rsidRDefault="003E19C5">
            <w:r>
              <w:rPr>
                <w:rFonts w:ascii="Times New Roman" w:eastAsia="Times New Roman" w:hAnsi="Times New Roman"/>
                <w:color w:val="1A1A1A"/>
                <w:sz w:val="16"/>
              </w:rPr>
              <w:t>MySQL</w:t>
            </w:r>
          </w:p>
        </w:tc>
        <w:tc>
          <w:tcPr>
            <w:tcW w:w="3742" w:type="dxa"/>
          </w:tcPr>
          <w:p w:rsidR="003D610D" w:rsidRDefault="003E19C5">
            <w:r>
              <w:rPr>
                <w:rFonts w:ascii="Times New Roman" w:eastAsia="Times New Roman" w:hAnsi="Times New Roman"/>
                <w:color w:val="1A1A1A"/>
                <w:sz w:val="16"/>
              </w:rPr>
              <w:t>Almacenamiento relacional del sistema</w:t>
            </w:r>
          </w:p>
        </w:tc>
        <w:tc>
          <w:tcPr>
            <w:tcW w:w="2098" w:type="dxa"/>
          </w:tcPr>
          <w:p w:rsidR="003D610D" w:rsidRDefault="003E19C5">
            <w:r>
              <w:rPr>
                <w:rFonts w:ascii="Times New Roman" w:eastAsia="Times New Roman" w:hAnsi="Times New Roman"/>
                <w:color w:val="1A1A1A"/>
                <w:sz w:val="16"/>
              </w:rPr>
              <w:t>I, T, M</w:t>
            </w:r>
          </w:p>
        </w:tc>
      </w:tr>
      <w:tr w:rsidR="003D610D">
        <w:trPr>
          <w:jc w:val="center"/>
        </w:trPr>
        <w:tc>
          <w:tcPr>
            <w:tcW w:w="2948" w:type="dxa"/>
          </w:tcPr>
          <w:p w:rsidR="003D610D" w:rsidRDefault="003E19C5">
            <w:r>
              <w:rPr>
                <w:rFonts w:ascii="Times New Roman" w:eastAsia="Times New Roman" w:hAnsi="Times New Roman"/>
                <w:color w:val="1A1A1A"/>
                <w:sz w:val="16"/>
              </w:rPr>
              <w:t>Python 3.10+ / FastAPI / Uvicorn</w:t>
            </w:r>
          </w:p>
        </w:tc>
        <w:tc>
          <w:tcPr>
            <w:tcW w:w="3742" w:type="dxa"/>
          </w:tcPr>
          <w:p w:rsidR="003D610D" w:rsidRDefault="003E19C5">
            <w:r>
              <w:rPr>
                <w:rFonts w:ascii="Times New Roman" w:eastAsia="Times New Roman" w:hAnsi="Times New Roman"/>
                <w:color w:val="1A1A1A"/>
                <w:sz w:val="16"/>
              </w:rPr>
              <w:t>Servicio opcional de aprendizaje automático</w:t>
            </w:r>
          </w:p>
        </w:tc>
        <w:tc>
          <w:tcPr>
            <w:tcW w:w="2098" w:type="dxa"/>
          </w:tcPr>
          <w:p w:rsidR="003D610D" w:rsidRDefault="003E19C5">
            <w:r>
              <w:rPr>
                <w:rFonts w:ascii="Times New Roman" w:eastAsia="Times New Roman" w:hAnsi="Times New Roman"/>
                <w:color w:val="1A1A1A"/>
                <w:sz w:val="16"/>
              </w:rPr>
              <w:t>D, I, T</w:t>
            </w:r>
          </w:p>
        </w:tc>
      </w:tr>
      <w:tr w:rsidR="003D610D">
        <w:trPr>
          <w:jc w:val="center"/>
        </w:trPr>
        <w:tc>
          <w:tcPr>
            <w:tcW w:w="2948" w:type="dxa"/>
          </w:tcPr>
          <w:p w:rsidR="003D610D" w:rsidRDefault="003E19C5">
            <w:r>
              <w:rPr>
                <w:rFonts w:ascii="Times New Roman" w:eastAsia="Times New Roman" w:hAnsi="Times New Roman"/>
                <w:color w:val="1A1A1A"/>
                <w:sz w:val="16"/>
              </w:rPr>
              <w:t>Scikit-learn / pandas / joblib</w:t>
            </w:r>
          </w:p>
        </w:tc>
        <w:tc>
          <w:tcPr>
            <w:tcW w:w="3742" w:type="dxa"/>
          </w:tcPr>
          <w:p w:rsidR="003D610D" w:rsidRDefault="003E19C5">
            <w:r>
              <w:rPr>
                <w:rFonts w:ascii="Times New Roman" w:eastAsia="Times New Roman" w:hAnsi="Times New Roman"/>
                <w:color w:val="1A1A1A"/>
                <w:sz w:val="16"/>
              </w:rPr>
              <w:t>Entrenamiento y persistencia del modelo de riesgo</w:t>
            </w:r>
          </w:p>
        </w:tc>
        <w:tc>
          <w:tcPr>
            <w:tcW w:w="2098" w:type="dxa"/>
          </w:tcPr>
          <w:p w:rsidR="003D610D" w:rsidRDefault="003E19C5">
            <w:r>
              <w:rPr>
                <w:rFonts w:ascii="Times New Roman" w:eastAsia="Times New Roman" w:hAnsi="Times New Roman"/>
                <w:color w:val="1A1A1A"/>
                <w:sz w:val="16"/>
              </w:rPr>
              <w:t>D, I, T</w:t>
            </w:r>
          </w:p>
        </w:tc>
      </w:tr>
      <w:tr w:rsidR="003D610D">
        <w:trPr>
          <w:jc w:val="center"/>
        </w:trPr>
        <w:tc>
          <w:tcPr>
            <w:tcW w:w="2948" w:type="dxa"/>
          </w:tcPr>
          <w:p w:rsidR="003D610D" w:rsidRDefault="003E19C5">
            <w:r>
              <w:rPr>
                <w:rFonts w:ascii="Times New Roman" w:eastAsia="Times New Roman" w:hAnsi="Times New Roman"/>
                <w:color w:val="1A1A1A"/>
                <w:sz w:val="16"/>
              </w:rPr>
              <w:t>XAMPP</w:t>
            </w:r>
          </w:p>
        </w:tc>
        <w:tc>
          <w:tcPr>
            <w:tcW w:w="3742" w:type="dxa"/>
          </w:tcPr>
          <w:p w:rsidR="003D610D" w:rsidRDefault="003E19C5">
            <w:r>
              <w:rPr>
                <w:rFonts w:ascii="Times New Roman" w:eastAsia="Times New Roman" w:hAnsi="Times New Roman"/>
                <w:color w:val="1A1A1A"/>
                <w:sz w:val="16"/>
              </w:rPr>
              <w:t>Ambiente local de desarrollo y verificación</w:t>
            </w:r>
          </w:p>
        </w:tc>
        <w:tc>
          <w:tcPr>
            <w:tcW w:w="2098" w:type="dxa"/>
          </w:tcPr>
          <w:p w:rsidR="003D610D" w:rsidRDefault="003E19C5">
            <w:r>
              <w:rPr>
                <w:rFonts w:ascii="Times New Roman" w:eastAsia="Times New Roman" w:hAnsi="Times New Roman"/>
                <w:color w:val="1A1A1A"/>
                <w:sz w:val="16"/>
              </w:rPr>
              <w:t>I, T, M</w:t>
            </w:r>
          </w:p>
        </w:tc>
      </w:tr>
      <w:tr w:rsidR="003D610D">
        <w:trPr>
          <w:jc w:val="center"/>
        </w:trPr>
        <w:tc>
          <w:tcPr>
            <w:tcW w:w="2948" w:type="dxa"/>
          </w:tcPr>
          <w:p w:rsidR="003D610D" w:rsidRDefault="003E19C5">
            <w:r>
              <w:rPr>
                <w:rFonts w:ascii="Times New Roman" w:eastAsia="Times New Roman" w:hAnsi="Times New Roman"/>
                <w:color w:val="1A1A1A"/>
                <w:sz w:val="16"/>
              </w:rPr>
              <w:t>Ambiente de producción institucional</w:t>
            </w:r>
          </w:p>
        </w:tc>
        <w:tc>
          <w:tcPr>
            <w:tcW w:w="3742" w:type="dxa"/>
          </w:tcPr>
          <w:p w:rsidR="003D610D" w:rsidRDefault="003E19C5">
            <w:r>
              <w:rPr>
                <w:rFonts w:ascii="Times New Roman" w:eastAsia="Times New Roman" w:hAnsi="Times New Roman"/>
                <w:color w:val="1A1A1A"/>
                <w:sz w:val="16"/>
              </w:rPr>
              <w:t>Puesta en operación, pruebas de humo y rollback</w:t>
            </w:r>
          </w:p>
        </w:tc>
        <w:tc>
          <w:tcPr>
            <w:tcW w:w="2098" w:type="dxa"/>
          </w:tcPr>
          <w:p w:rsidR="003D610D" w:rsidRDefault="003E19C5">
            <w:r>
              <w:rPr>
                <w:rFonts w:ascii="Times New Roman" w:eastAsia="Times New Roman" w:hAnsi="Times New Roman"/>
                <w:color w:val="1A1A1A"/>
                <w:sz w:val="16"/>
              </w:rPr>
              <w:t>M</w:t>
            </w:r>
          </w:p>
        </w:tc>
      </w:tr>
      <w:tr w:rsidR="003D610D">
        <w:trPr>
          <w:jc w:val="center"/>
        </w:trPr>
        <w:tc>
          <w:tcPr>
            <w:tcW w:w="2948" w:type="dxa"/>
          </w:tcPr>
          <w:p w:rsidR="003D610D" w:rsidRDefault="003E19C5">
            <w:r>
              <w:rPr>
                <w:rFonts w:ascii="Times New Roman" w:eastAsia="Times New Roman" w:hAnsi="Times New Roman"/>
                <w:color w:val="1A1A1A"/>
                <w:sz w:val="16"/>
              </w:rPr>
              <w:t>Git / GitHub</w:t>
            </w:r>
          </w:p>
        </w:tc>
        <w:tc>
          <w:tcPr>
            <w:tcW w:w="3742" w:type="dxa"/>
          </w:tcPr>
          <w:p w:rsidR="003D610D" w:rsidRDefault="003E19C5">
            <w:r>
              <w:rPr>
                <w:rFonts w:ascii="Times New Roman" w:eastAsia="Times New Roman" w:hAnsi="Times New Roman"/>
                <w:color w:val="1A1A1A"/>
                <w:sz w:val="16"/>
              </w:rPr>
              <w:t>Versionado local y evidencia por commit</w:t>
            </w:r>
          </w:p>
        </w:tc>
        <w:tc>
          <w:tcPr>
            <w:tcW w:w="2098" w:type="dxa"/>
          </w:tcPr>
          <w:p w:rsidR="003D610D" w:rsidRDefault="003E19C5">
            <w:r>
              <w:rPr>
                <w:rFonts w:ascii="Times New Roman" w:eastAsia="Times New Roman" w:hAnsi="Times New Roman"/>
                <w:color w:val="1A1A1A"/>
                <w:sz w:val="16"/>
              </w:rPr>
              <w:t>I, T, M</w:t>
            </w:r>
          </w:p>
        </w:tc>
      </w:tr>
      <w:tr w:rsidR="003D610D">
        <w:trPr>
          <w:jc w:val="center"/>
        </w:trPr>
        <w:tc>
          <w:tcPr>
            <w:tcW w:w="2948" w:type="dxa"/>
          </w:tcPr>
          <w:p w:rsidR="003D610D" w:rsidRDefault="003E19C5">
            <w:r>
              <w:rPr>
                <w:rFonts w:ascii="Times New Roman" w:eastAsia="Times New Roman" w:hAnsi="Times New Roman"/>
                <w:color w:val="1A1A1A"/>
                <w:sz w:val="16"/>
              </w:rPr>
              <w:t>PHPUnit / Vitest / pytest</w:t>
            </w:r>
          </w:p>
        </w:tc>
        <w:tc>
          <w:tcPr>
            <w:tcW w:w="3742" w:type="dxa"/>
          </w:tcPr>
          <w:p w:rsidR="003D610D" w:rsidRDefault="003E19C5">
            <w:r>
              <w:rPr>
                <w:rFonts w:ascii="Times New Roman" w:eastAsia="Times New Roman" w:hAnsi="Times New Roman"/>
                <w:color w:val="1A1A1A"/>
                <w:sz w:val="16"/>
              </w:rPr>
              <w:t>Ejecución de pruebas; el responsable interpreta los resultados</w:t>
            </w:r>
          </w:p>
        </w:tc>
        <w:tc>
          <w:tcPr>
            <w:tcW w:w="2098" w:type="dxa"/>
          </w:tcPr>
          <w:p w:rsidR="003D610D" w:rsidRDefault="003E19C5">
            <w:r>
              <w:rPr>
                <w:rFonts w:ascii="Times New Roman" w:eastAsia="Times New Roman" w:hAnsi="Times New Roman"/>
                <w:color w:val="1A1A1A"/>
                <w:sz w:val="16"/>
              </w:rPr>
              <w:t>T</w:t>
            </w:r>
          </w:p>
        </w:tc>
      </w:tr>
      <w:tr w:rsidR="003D610D">
        <w:trPr>
          <w:jc w:val="center"/>
        </w:trPr>
        <w:tc>
          <w:tcPr>
            <w:tcW w:w="2948" w:type="dxa"/>
          </w:tcPr>
          <w:p w:rsidR="003D610D" w:rsidRDefault="003E19C5">
            <w:r>
              <w:rPr>
                <w:rFonts w:ascii="Times New Roman" w:eastAsia="Times New Roman" w:hAnsi="Times New Roman"/>
                <w:color w:val="1A1A1A"/>
                <w:sz w:val="16"/>
              </w:rPr>
              <w:t>Dompdf / jsPDF</w:t>
            </w:r>
          </w:p>
        </w:tc>
        <w:tc>
          <w:tcPr>
            <w:tcW w:w="3742" w:type="dxa"/>
          </w:tcPr>
          <w:p w:rsidR="003D610D" w:rsidRDefault="003E19C5">
            <w:r>
              <w:rPr>
                <w:rFonts w:ascii="Times New Roman" w:eastAsia="Times New Roman" w:hAnsi="Times New Roman"/>
                <w:color w:val="1A1A1A"/>
                <w:sz w:val="16"/>
              </w:rPr>
              <w:t>Exportación de fichas y reportes</w:t>
            </w:r>
          </w:p>
        </w:tc>
        <w:tc>
          <w:tcPr>
            <w:tcW w:w="2098" w:type="dxa"/>
          </w:tcPr>
          <w:p w:rsidR="003D610D" w:rsidRDefault="003E19C5">
            <w:r>
              <w:rPr>
                <w:rFonts w:ascii="Times New Roman" w:eastAsia="Times New Roman" w:hAnsi="Times New Roman"/>
                <w:color w:val="1A1A1A"/>
                <w:sz w:val="16"/>
              </w:rPr>
              <w:t>I</w:t>
            </w:r>
          </w:p>
        </w:tc>
      </w:tr>
      <w:tr w:rsidR="003D610D">
        <w:trPr>
          <w:jc w:val="center"/>
        </w:trPr>
        <w:tc>
          <w:tcPr>
            <w:tcW w:w="2948" w:type="dxa"/>
          </w:tcPr>
          <w:p w:rsidR="003D610D" w:rsidRDefault="003E19C5">
            <w:r>
              <w:rPr>
                <w:rFonts w:ascii="Times New Roman" w:eastAsia="Times New Roman" w:hAnsi="Times New Roman"/>
                <w:color w:val="1A1A1A"/>
                <w:sz w:val="16"/>
              </w:rPr>
              <w:t>Openspout</w:t>
            </w:r>
          </w:p>
        </w:tc>
        <w:tc>
          <w:tcPr>
            <w:tcW w:w="3742" w:type="dxa"/>
          </w:tcPr>
          <w:p w:rsidR="003D610D" w:rsidRDefault="003E19C5">
            <w:r>
              <w:rPr>
                <w:rFonts w:ascii="Times New Roman" w:eastAsia="Times New Roman" w:hAnsi="Times New Roman"/>
                <w:color w:val="1A1A1A"/>
                <w:sz w:val="16"/>
              </w:rPr>
              <w:t>Plantilla y carga masiva en hoja de cálculo</w:t>
            </w:r>
          </w:p>
        </w:tc>
        <w:tc>
          <w:tcPr>
            <w:tcW w:w="2098" w:type="dxa"/>
          </w:tcPr>
          <w:p w:rsidR="003D610D" w:rsidRDefault="003E19C5">
            <w:r>
              <w:rPr>
                <w:rFonts w:ascii="Times New Roman" w:eastAsia="Times New Roman" w:hAnsi="Times New Roman"/>
                <w:color w:val="1A1A1A"/>
                <w:sz w:val="16"/>
              </w:rPr>
              <w:t>I</w:t>
            </w:r>
          </w:p>
        </w:tc>
      </w:tr>
      <w:tr w:rsidR="003D610D">
        <w:trPr>
          <w:jc w:val="center"/>
        </w:trPr>
        <w:tc>
          <w:tcPr>
            <w:tcW w:w="2948" w:type="dxa"/>
          </w:tcPr>
          <w:p w:rsidR="003D610D" w:rsidRDefault="003E19C5">
            <w:r>
              <w:rPr>
                <w:rFonts w:ascii="Times New Roman" w:eastAsia="Times New Roman" w:hAnsi="Times New Roman"/>
                <w:color w:val="1A1A1A"/>
                <w:sz w:val="16"/>
              </w:rPr>
              <w:t>Bizagi</w:t>
            </w:r>
          </w:p>
        </w:tc>
        <w:tc>
          <w:tcPr>
            <w:tcW w:w="3742" w:type="dxa"/>
          </w:tcPr>
          <w:p w:rsidR="003D610D" w:rsidRDefault="003E19C5">
            <w:r>
              <w:rPr>
                <w:rFonts w:ascii="Times New Roman" w:eastAsia="Times New Roman" w:hAnsi="Times New Roman"/>
                <w:color w:val="1A1A1A"/>
                <w:sz w:val="16"/>
              </w:rPr>
              <w:t>Modelado de procesos institucionales (apartados 3.4 y 3.5)</w:t>
            </w:r>
          </w:p>
        </w:tc>
        <w:tc>
          <w:tcPr>
            <w:tcW w:w="2098" w:type="dxa"/>
          </w:tcPr>
          <w:p w:rsidR="003D610D" w:rsidRDefault="003E19C5">
            <w:r>
              <w:rPr>
                <w:rFonts w:ascii="Times New Roman" w:eastAsia="Times New Roman" w:hAnsi="Times New Roman"/>
                <w:color w:val="1A1A1A"/>
                <w:sz w:val="16"/>
              </w:rPr>
              <w:t>R</w:t>
            </w:r>
          </w:p>
        </w:tc>
      </w:tr>
    </w:tbl>
    <w:p w:rsidR="00E24534" w:rsidRDefault="003F5A0B">
      <w:pPr>
        <w:spacing w:before="80" w:after="240" w:line="240" w:lineRule="auto"/>
        <w:jc w:val="center"/>
      </w:pPr>
      <w:proofErr w:type="spellStart"/>
      <w:r>
        <w:rPr>
          <w:rFonts w:ascii="Times New Roman" w:eastAsia="Times New Roman" w:hAnsi="Times New Roman" w:cs="Times New Roman"/>
          <w:i/>
          <w:iCs/>
          <w:color w:val="4A5568"/>
          <w:sz w:val="20"/>
        </w:rPr>
        <w:t>Tabla</w:t>
      </w:r>
      <w:proofErr w:type="spellEnd"/>
      <w:r>
        <w:rPr>
          <w:rFonts w:ascii="Times New Roman" w:eastAsia="Times New Roman" w:hAnsi="Times New Roman" w:cs="Times New Roman"/>
          <w:i/>
          <w:iCs/>
          <w:color w:val="4A5568"/>
          <w:sz w:val="20"/>
        </w:rPr>
        <w:t xml:space="preserve"> 8. Herramientas y modelos utilizados por fase.</w:t>
      </w:r>
    </w:p>
    <w:p w:rsidR="00E24534" w:rsidRDefault="003F5A0B">
      <w:pPr>
        <w:pBdr>
          <w:bottom w:val="single" w:sz="8" w:space="4" w:color="1A5F7A"/>
        </w:pBdr>
        <w:spacing w:before="320" w:after="160"/>
      </w:pPr>
      <w:r>
        <w:rPr>
          <w:rFonts w:ascii="Times New Roman" w:eastAsia="Times New Roman" w:hAnsi="Times New Roman" w:cs="Times New Roman"/>
          <w:b/>
          <w:bCs/>
          <w:color w:val="1F3A5F"/>
          <w:sz w:val="30"/>
        </w:rPr>
        <w:t>5. Aplicación por fases del SDLC</w:t>
      </w:r>
    </w:p>
    <w:p w:rsidR="003D610D" w:rsidRDefault="003E19C5">
      <w:pPr>
        <w:spacing w:after="160" w:line="360" w:lineRule="auto"/>
        <w:ind w:firstLine="425"/>
        <w:jc w:val="both"/>
      </w:pPr>
      <w:r>
        <w:rPr>
          <w:rFonts w:ascii="Times New Roman" w:eastAsia="Times New Roman" w:hAnsi="Times New Roman"/>
          <w:color w:val="1A1A1A"/>
          <w:sz w:val="24"/>
        </w:rPr>
        <w:t>Cada fase se documentó con el mismo esquema: objetivo, entradas, técnica de prompting, prompts ejecutados, evaluación D2 y entregables. El texto completo de cada prompt se reserva al Apéndice B; en este apartado se presentan el código, la técnica y el artefacto. Las cinco fases no son sprints: son el ciclo de vida clásico del software, con inteligencia artificial insertada dentro de cada fase.</w:t>
      </w:r>
    </w:p>
    <w:p w:rsidR="003D610D" w:rsidRDefault="003E19C5">
      <w:pPr>
        <w:spacing w:after="160" w:line="360" w:lineRule="auto"/>
        <w:ind w:firstLine="425"/>
        <w:jc w:val="both"/>
      </w:pPr>
      <w:r>
        <w:rPr>
          <w:rFonts w:ascii="Times New Roman" w:eastAsia="Times New Roman" w:hAnsi="Times New Roman"/>
          <w:color w:val="1A1A1A"/>
          <w:sz w:val="24"/>
        </w:rPr>
        <w:t>La Figura 9 resume ese ciclo. La letra identifica la fase: R es requisitos, D es diseño, I es implementación, T es pruebas (del inglés testing) y M es mantenimiento. El número que sigue a la letra identifica el prompt vigente de esa fase, no un capítulo de la tesis ni un sprint. Así, R-004 es el registro de ambigüedades de requisitos y I-007 es el prompt con el que se construyó el microservicio de aprendizaje automático. Al cerrar mantenimiento puede abrirse un nuevo ciclo de requisitos si hay un cambio de alcance.</w:t>
      </w:r>
    </w:p>
    <w:p w:rsidR="00E24534" w:rsidRDefault="00E24534"/>
    <w:p w:rsidR="00E24534" w:rsidRDefault="003F5A0B">
      <w:pPr>
        <w:spacing w:before="120" w:after="40" w:line="240" w:lineRule="auto"/>
        <w:jc w:val="center"/>
      </w:pPr>
      <w:r>
        <w:rPr>
          <w:noProof/>
        </w:rPr>
        <w:lastRenderedPageBreak/>
        <w:drawing>
          <wp:inline distT="0" distB="0" distL="0" distR="0">
            <wp:extent cx="5760000" cy="2385300"/>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60000" cy="2385300"/>
                    </a:xfrm>
                    <a:prstGeom prst="rect">
                      <a:avLst/>
                    </a:prstGeom>
                  </pic:spPr>
                </pic:pic>
              </a:graphicData>
            </a:graphic>
          </wp:inline>
        </w:drawing>
      </w:r>
    </w:p>
    <w:p w:rsidR="00E24534" w:rsidRDefault="003F5A0B">
      <w:pPr>
        <w:spacing w:before="80" w:after="160" w:line="240" w:lineRule="auto"/>
        <w:jc w:val="center"/>
      </w:pPr>
      <w:r>
        <w:rPr>
          <w:rFonts w:ascii="Times New Roman" w:eastAsia="Times New Roman" w:hAnsi="Times New Roman" w:cs="Times New Roman"/>
          <w:i/>
          <w:iCs/>
          <w:color w:val="1A1A1A"/>
        </w:rPr>
        <w:t>Figura 9. Ciclo de vida R–D–I–T–M: Requisitos, Diseño, Implementación, Pruebas y Mantenimiento, con la familia de prompts vigentes.</w:t>
      </w:r>
    </w:p>
    <w:p w:rsidR="003D610D" w:rsidRDefault="003E19C5">
      <w:pPr>
        <w:spacing w:after="160" w:line="360" w:lineRule="auto"/>
        <w:ind w:firstLine="425"/>
        <w:jc w:val="both"/>
      </w:pPr>
      <w:r>
        <w:rPr>
          <w:rFonts w:ascii="Times New Roman" w:eastAsia="Times New Roman" w:hAnsi="Times New Roman"/>
          <w:color w:val="1A1A1A"/>
          <w:sz w:val="24"/>
        </w:rPr>
        <w:t>La Figura 9 se lee de izquierda a derecha. Cada recuadro muestra la letra de la fase, su nombre completo y el rango de prompts vigentes (R-001 a R-005, D-001 a D-006, I-001 a I-009, T-001 a T-005 y M-001 a M-004). Esos rangos son la familia D3 del caso, no una lista de tareas abiertas. El detalle de técnica, artefacto y decisión D2 se desarrolla en las Tablas 9 a 13. Esa figura corresponde al corte de las primeras oleadas. El catálogo vigente reúne 48 prompts: R-001 a R-006, D-001 a D-007, I-001 a I-017, T-001 a T-014 y M-001 a M-004. Tres permanecen como plantilla (T-005, el M-002 de análisis de impacto y M-003). Los dos macros Superados y los tres prompts de mapas de proceso quedan fuera de esos 48.</w:t>
      </w:r>
    </w:p>
    <w:p w:rsidR="00E24534" w:rsidRDefault="003F5A0B">
      <w:pPr>
        <w:spacing w:before="120" w:after="40" w:line="240" w:lineRule="auto"/>
        <w:jc w:val="center"/>
      </w:pPr>
      <w:r>
        <w:rPr>
          <w:noProof/>
        </w:rPr>
        <w:drawing>
          <wp:inline distT="0" distB="0" distL="0" distR="0">
            <wp:extent cx="5760000" cy="3290333"/>
            <wp:effectExtent l="0" t="0" r="0" b="0"/>
            <wp:docPr id="100018" name="Picture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7_8_incrementos.png"/>
                    <pic:cNvPicPr/>
                  </pic:nvPicPr>
                  <pic:blipFill>
                    <a:blip r:embed="rId22"/>
                    <a:stretch>
                      <a:fillRect/>
                    </a:stretch>
                  </pic:blipFill>
                  <pic:spPr>
                    <a:xfrm>
                      <a:off x="0" y="0"/>
                      <a:ext cx="5760000" cy="3290333"/>
                    </a:xfrm>
                    <a:prstGeom prst="rect">
                      <a:avLst/>
                    </a:prstGeom>
                  </pic:spPr>
                </pic:pic>
              </a:graphicData>
            </a:graphic>
          </wp:inline>
        </w:drawing>
      </w:r>
    </w:p>
    <w:p w:rsidR="00E24534" w:rsidRDefault="003F5A0B">
      <w:pPr>
        <w:spacing w:before="80" w:after="160" w:line="240" w:lineRule="auto"/>
        <w:jc w:val="center"/>
      </w:pPr>
      <w:r>
        <w:rPr>
          <w:rFonts w:ascii="Times New Roman" w:eastAsia="Times New Roman" w:hAnsi="Times New Roman" w:cs="Times New Roman"/>
          <w:i/>
          <w:iCs/>
          <w:color w:val="1A1A1A"/>
        </w:rPr>
        <w:t>Figura 10. Línea de incrementos de producto (versiones 0.1.0 a 0.9.1) y prompt de implementación asociado. No son sprints Scrum.</w:t>
      </w:r>
    </w:p>
    <w:p w:rsidR="003D610D" w:rsidRDefault="003E19C5">
      <w:pPr>
        <w:spacing w:after="160" w:line="360" w:lineRule="auto"/>
        <w:ind w:firstLine="425"/>
        <w:jc w:val="both"/>
      </w:pPr>
      <w:r>
        <w:rPr>
          <w:rFonts w:ascii="Times New Roman" w:eastAsia="Times New Roman" w:hAnsi="Times New Roman"/>
          <w:color w:val="1A1A1A"/>
          <w:sz w:val="24"/>
        </w:rPr>
        <w:t>La Figura 10 no sustituye a la Figura 9: recorta solo la fase de implementación y muestra cómo el producto creció por incrementos. No es un calendario de sprints ni una caja de dos semanas. Cada recuadro tiene tres datos: la versión del software (0.1.0 a 0.9.1), el prompt de implementación que la produjo (I-001 a I-009) y el módulo entregado. I-001 no significa «incremento uno» de forma aislada: la I identifica la fase de implementación y el número es el identificador del prompt.</w:t>
      </w:r>
      <w:r>
        <w:rPr>
          <w:rFonts w:ascii="Times New Roman" w:eastAsia="Times New Roman" w:hAnsi="Times New Roman"/>
          <w:color w:val="1A1A1A"/>
          <w:sz w:val="24"/>
        </w:rPr>
      </w:r>
    </w:p>
    <w:p w:rsidR="003D610D" w:rsidRDefault="003E19C5">
      <w:pPr>
        <w:spacing w:after="160" w:line="360" w:lineRule="auto"/>
        <w:ind w:firstLine="425"/>
        <w:jc w:val="both"/>
      </w:pPr>
      <w:r>
        <w:rPr>
          <w:rFonts w:ascii="Times New Roman" w:eastAsia="Times New Roman" w:hAnsi="Times New Roman"/>
          <w:color w:val="1A1A1A"/>
          <w:sz w:val="24"/>
        </w:rPr>
        <w:t>La lectura de la Figura 10 es acumulativa. I-001 (versión 0.1.0) dejó los cimientos, la API y el esquema. I-002 (0.2.0) entregó el inventario de equipos. I-003 (0.3.0) las fichas técnicas y el mantenimiento. I-004 (0.4.0) los reportes PDF. I-005 (0.5.0) la configuración organizacional. I-006 (0.6.0) la autenticación JWT y el tablero. I-007 (0.7.0) el microservicio de aprendizaje automático. I-008 (0.8.0 a 0.9.0) la telemetría y la ficha predictiva. I-009 (parche 0.9.1) el control de acceso por rol y la plantilla Excel. El puente con GitHub (SHA y archivo ancla) está en las Tablas 11 y 14.</w:t>
      </w:r>
    </w:p>
    <w:p w:rsidR="00E24534" w:rsidRDefault="003F5A0B">
      <w:pPr>
        <w:spacing w:before="240" w:after="120"/>
      </w:pPr>
      <w:r>
        <w:rPr>
          <w:rFonts w:ascii="Times New Roman" w:eastAsia="Times New Roman" w:hAnsi="Times New Roman" w:cs="Times New Roman"/>
          <w:b/>
          <w:bCs/>
          <w:color w:val="1A5F7A"/>
          <w:sz w:val="26"/>
        </w:rPr>
        <w:t>5.1 Fase de requisitos</w:t>
      </w:r>
    </w:p>
    <w:p w:rsidR="003D610D" w:rsidRDefault="003E19C5">
      <w:pPr>
        <w:spacing w:after="160" w:line="360" w:lineRule="auto"/>
        <w:ind w:firstLine="425"/>
        <w:jc w:val="both"/>
      </w:pPr>
      <w:r>
        <w:rPr>
          <w:rFonts w:ascii="Times New Roman" w:eastAsia="Times New Roman" w:hAnsi="Times New Roman"/>
          <w:color w:val="1A1A1A"/>
          <w:sz w:val="24"/>
        </w:rPr>
        <w:t>La fase de requisitos (código R) tuvo por objetivo cerrar el alcance, las personas, las historias de usuario, las ambigüedades y los requisitos no funcionales antes de diseñar. Las entradas fueron la ficha institucional y el conocimiento del área de informática de la Municipalidad Provincial de Acobamba; el mapa de procesos de los apartados 3.4 y 3.5 se incorpora como insumo de elicitación. Las técnicas predominantes fueron el encadenamiento de pensamiento guiado (CoT) en R-001 y R-004, y el few-shot en R-002, R-003 y R-005.</w:t>
      </w:r>
    </w:p>
    <w:p w:rsidR="003D610D" w:rsidRDefault="003E19C5">
      <w:pPr>
        <w:spacing w:after="160" w:line="360" w:lineRule="auto"/>
        <w:ind w:firstLine="425"/>
        <w:jc w:val="both"/>
      </w:pPr>
      <w:r>
        <w:rPr>
          <w:rFonts w:ascii="Times New Roman" w:eastAsia="Times New Roman" w:hAnsi="Times New Roman"/>
          <w:color w:val="1A1A1A"/>
          <w:sz w:val="24"/>
        </w:rPr>
        <w:t>Se ejecutaron cinco prompts vigentes. R-001 produjo la ficha del proyecto. R-002 produjo 56 historias agrupadas en ocho épicas, usadas como técnica de requisitos y no como ítems de sprint. R-003 describió las personas de Administrador, Técnico y Practicante. R-004 registró ambigüedades con estado honesto (cerrado o supuesto) y se ejecutó en la oleada 3. R-005 redactó requisitos no funcionales verificables, con identificador y evidencia. Los cinco registros recibieron decisión D2 Aprobado, con mezcla de estados Reconstruido y Ejecutado, según la Tabla 9. Los entregables quedan en documents/01_requisitos/. Con posterioridad, R-006 cerró el cronograma anual del incremento 8 (versión 0.10.7), junto con D-007. La serie de implementación llega a I-017 y la de pruebas a T-014.</w:t>
      </w:r>
    </w:p>
    <w:p w:rsidR="00E24534" w:rsidRDefault="00E24534"/>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ayout w:type="fixed"/>
        <w:tblLook w:val="07E0" w:firstRow="1" w:lastRow="1" w:firstColumn="1" w:lastColumn="1" w:noHBand="1" w:noVBand="1"/>
      </w:tblPr>
      <w:tblGrid>
        <w:gridCol w:w="1247"/>
        <w:gridCol w:w="1587"/>
        <w:gridCol w:w="3005"/>
        <w:gridCol w:w="1587"/>
        <w:gridCol w:w="1361"/>
      </w:tblGrid>
      <w:tr w:rsidR="00E24534">
        <w:trPr>
          <w:jc w:val="center"/>
        </w:trPr>
        <w:tc>
          <w:tcPr>
            <w:tcW w:w="1247"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Código</w:t>
            </w:r>
          </w:p>
        </w:tc>
        <w:tc>
          <w:tcPr>
            <w:tcW w:w="1587"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Técnica</w:t>
            </w:r>
          </w:p>
        </w:tc>
        <w:tc>
          <w:tcPr>
            <w:tcW w:w="3005"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Output / artefacto</w:t>
            </w:r>
          </w:p>
        </w:tc>
        <w:tc>
          <w:tcPr>
            <w:tcW w:w="1587"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Estado</w:t>
            </w:r>
          </w:p>
        </w:tc>
        <w:tc>
          <w:tcPr>
            <w:tcW w:w="1361"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Decisión D2</w:t>
            </w:r>
          </w:p>
        </w:tc>
      </w:tr>
      <w:tr w:rsidR="00E24534">
        <w:trPr>
          <w:cantSplit/>
          <w:jc w:val="center"/>
        </w:trPr>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R-001</w:t>
            </w:r>
          </w:p>
        </w:tc>
        <w:tc>
          <w:tcPr>
            <w:tcW w:w="158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CoT guiado</w:t>
            </w:r>
          </w:p>
        </w:tc>
        <w:tc>
          <w:tcPr>
            <w:tcW w:w="3005"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ficha-proyecto.md</w:t>
            </w:r>
          </w:p>
        </w:tc>
        <w:tc>
          <w:tcPr>
            <w:tcW w:w="158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Reconstruido</w:t>
            </w:r>
          </w:p>
        </w:tc>
        <w:tc>
          <w:tcPr>
            <w:tcW w:w="136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r w:rsidR="00E24534">
        <w:trPr>
          <w:cantSplit/>
          <w:jc w:val="center"/>
        </w:trPr>
        <w:tc>
          <w:tcPr>
            <w:tcW w:w="124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R-002</w:t>
            </w:r>
          </w:p>
        </w:tc>
        <w:tc>
          <w:tcPr>
            <w:tcW w:w="158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Few-shot (Como/quiero/para)</w:t>
            </w:r>
          </w:p>
        </w:tc>
        <w:tc>
          <w:tcPr>
            <w:tcW w:w="3005"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56 HU / 8 épicas</w:t>
            </w:r>
          </w:p>
        </w:tc>
        <w:tc>
          <w:tcPr>
            <w:tcW w:w="158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Reconstruido</w:t>
            </w:r>
          </w:p>
        </w:tc>
        <w:tc>
          <w:tcPr>
            <w:tcW w:w="136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r w:rsidR="00E24534">
        <w:trPr>
          <w:cantSplit/>
          <w:jc w:val="center"/>
        </w:trPr>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R-003</w:t>
            </w:r>
          </w:p>
        </w:tc>
        <w:tc>
          <w:tcPr>
            <w:tcW w:w="158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Few-shot (ficha de persona)</w:t>
            </w:r>
          </w:p>
        </w:tc>
        <w:tc>
          <w:tcPr>
            <w:tcW w:w="3005"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personas.md</w:t>
            </w:r>
          </w:p>
        </w:tc>
        <w:tc>
          <w:tcPr>
            <w:tcW w:w="158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Reconstruido</w:t>
            </w:r>
          </w:p>
        </w:tc>
        <w:tc>
          <w:tcPr>
            <w:tcW w:w="136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r w:rsidR="00E24534">
        <w:trPr>
          <w:cantSplit/>
          <w:jc w:val="center"/>
        </w:trPr>
        <w:tc>
          <w:tcPr>
            <w:tcW w:w="124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lastRenderedPageBreak/>
              <w:t>R-004</w:t>
            </w:r>
          </w:p>
        </w:tc>
        <w:tc>
          <w:tcPr>
            <w:tcW w:w="158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CoT guiado (R-01)</w:t>
            </w:r>
          </w:p>
        </w:tc>
        <w:tc>
          <w:tcPr>
            <w:tcW w:w="3005"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ambiguedades.md</w:t>
            </w:r>
          </w:p>
        </w:tc>
        <w:tc>
          <w:tcPr>
            <w:tcW w:w="158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Ejecutado</w:t>
            </w:r>
          </w:p>
        </w:tc>
        <w:tc>
          <w:tcPr>
            <w:tcW w:w="136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r w:rsidR="00E24534">
        <w:trPr>
          <w:cantSplit/>
          <w:jc w:val="center"/>
        </w:trPr>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R-005</w:t>
            </w:r>
          </w:p>
        </w:tc>
        <w:tc>
          <w:tcPr>
            <w:tcW w:w="158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Few-shot (ID / requisito / evidencia)</w:t>
            </w:r>
          </w:p>
        </w:tc>
        <w:tc>
          <w:tcPr>
            <w:tcW w:w="3005"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requisitos_no_funcionales.md</w:t>
            </w:r>
          </w:p>
        </w:tc>
        <w:tc>
          <w:tcPr>
            <w:tcW w:w="158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Ejecutado</w:t>
            </w:r>
          </w:p>
        </w:tc>
        <w:tc>
          <w:tcPr>
            <w:tcW w:w="136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bl>
    <w:p w:rsidR="00E24534" w:rsidRDefault="003F5A0B">
      <w:pPr>
        <w:spacing w:before="80" w:after="240" w:line="240" w:lineRule="auto"/>
        <w:jc w:val="center"/>
      </w:pPr>
      <w:r>
        <w:rPr>
          <w:rFonts w:ascii="Times New Roman" w:eastAsia="Times New Roman" w:hAnsi="Times New Roman" w:cs="Times New Roman"/>
          <w:i/>
          <w:iCs/>
          <w:color w:val="4A5568"/>
          <w:sz w:val="20"/>
        </w:rPr>
        <w:t>Tabla 9. Fase de requisitos: prompt, output y decisión D2.</w:t>
      </w:r>
    </w:p>
    <w:p w:rsidR="00E24534" w:rsidRDefault="003F5A0B">
      <w:pPr>
        <w:spacing w:before="240" w:after="120"/>
      </w:pPr>
      <w:r>
        <w:rPr>
          <w:rFonts w:ascii="Times New Roman" w:eastAsia="Times New Roman" w:hAnsi="Times New Roman" w:cs="Times New Roman"/>
          <w:b/>
          <w:bCs/>
          <w:color w:val="1A5F7A"/>
          <w:sz w:val="26"/>
        </w:rPr>
        <w:t>5.2 Fase de diseño</w:t>
      </w:r>
    </w:p>
    <w:p w:rsidR="003D610D" w:rsidRDefault="003E19C5">
      <w:pPr>
        <w:spacing w:after="160" w:line="360" w:lineRule="auto"/>
        <w:ind w:firstLine="425"/>
        <w:jc w:val="both"/>
      </w:pPr>
      <w:r>
        <w:rPr>
          <w:rFonts w:ascii="Times New Roman" w:eastAsia="Times New Roman" w:hAnsi="Times New Roman"/>
          <w:color w:val="1A1A1A"/>
          <w:sz w:val="24"/>
        </w:rPr>
        <w:t>La fase de diseño (código D) tuvo por objetivo fijar el modelo de datos, el stack, el contrato de la API, el mapa del frontend y el recorte del componente predictivo, de modo que la implementación no improvisara arquitectura en el código. Las entradas fueron las historias, los requisitos no funcionales y el esquema ya existente. Las técnicas fueron few-shot sobre el DDL, Tree-of-Thought en las alternativas de los ADR, RAG sobre rutas y características del frontend, y CoT en el análisis de aprendizaje automático.</w:t>
      </w:r>
    </w:p>
    <w:p w:rsidR="003D610D" w:rsidRDefault="003E19C5">
      <w:pPr>
        <w:spacing w:after="160" w:line="360" w:lineRule="auto"/>
        <w:ind w:firstLine="425"/>
        <w:jc w:val="both"/>
      </w:pPr>
      <w:r>
        <w:rPr>
          <w:rFonts w:ascii="Times New Roman" w:eastAsia="Times New Roman" w:hAnsi="Times New Roman"/>
          <w:color w:val="1A1A1A"/>
          <w:sz w:val="24"/>
        </w:rPr>
        <w:t>D-001 produjo el esquema y el modelo entidad-relación. D-002 dejó el ADR-001 (React, PHP REST, MySQL y ML opcional detrás de PHP). D-003 formalizó el contrato de la API. D-004 mapeó las pantallas. D-005 analizó la viabilidad del mantenimiento predictivo. D-006 dejó el ADR-002: si el servicio predictivo no responde, el resto del sistema opera. Los registros y la decisión D2 se resumen en la Tabla 10. Los entregables viven en documents/02_diseno/.</w:t>
      </w:r>
    </w:p>
    <w:p w:rsidR="00E24534" w:rsidRDefault="00E24534"/>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ayout w:type="fixed"/>
        <w:tblLook w:val="07E0" w:firstRow="1" w:lastRow="1" w:firstColumn="1" w:lastColumn="1" w:noHBand="1" w:noVBand="1"/>
      </w:tblPr>
      <w:tblGrid>
        <w:gridCol w:w="1247"/>
        <w:gridCol w:w="1361"/>
        <w:gridCol w:w="2041"/>
        <w:gridCol w:w="1247"/>
        <w:gridCol w:w="1474"/>
        <w:gridCol w:w="1417"/>
      </w:tblGrid>
      <w:tr w:rsidR="00E24534">
        <w:trPr>
          <w:jc w:val="center"/>
        </w:trPr>
        <w:tc>
          <w:tcPr>
            <w:tcW w:w="1247"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Código</w:t>
            </w:r>
          </w:p>
        </w:tc>
        <w:tc>
          <w:tcPr>
            <w:tcW w:w="1361"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Técnica</w:t>
            </w:r>
          </w:p>
        </w:tc>
        <w:tc>
          <w:tcPr>
            <w:tcW w:w="2041"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Output</w:t>
            </w:r>
          </w:p>
        </w:tc>
        <w:tc>
          <w:tcPr>
            <w:tcW w:w="1247"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ADR</w:t>
            </w:r>
          </w:p>
        </w:tc>
        <w:tc>
          <w:tcPr>
            <w:tcW w:w="1474"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Estado</w:t>
            </w:r>
          </w:p>
        </w:tc>
        <w:tc>
          <w:tcPr>
            <w:tcW w:w="1417"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Decisión D2</w:t>
            </w:r>
          </w:p>
        </w:tc>
      </w:tr>
      <w:tr w:rsidR="00E24534">
        <w:trPr>
          <w:cantSplit/>
          <w:jc w:val="center"/>
        </w:trPr>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D-001</w:t>
            </w:r>
          </w:p>
        </w:tc>
        <w:tc>
          <w:tcPr>
            <w:tcW w:w="136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Few-shot (DDL) + CoT</w:t>
            </w:r>
          </w:p>
        </w:tc>
        <w:tc>
          <w:tcPr>
            <w:tcW w:w="204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v2_estructura.sql</w:t>
            </w:r>
          </w:p>
        </w:tc>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w:t>
            </w:r>
          </w:p>
        </w:tc>
        <w:tc>
          <w:tcPr>
            <w:tcW w:w="147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Reconstruido</w:t>
            </w:r>
          </w:p>
        </w:tc>
        <w:tc>
          <w:tcPr>
            <w:tcW w:w="141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r w:rsidR="00E24534">
        <w:trPr>
          <w:cantSplit/>
          <w:jc w:val="center"/>
        </w:trPr>
        <w:tc>
          <w:tcPr>
            <w:tcW w:w="124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D-001 v2</w:t>
            </w:r>
          </w:p>
        </w:tc>
        <w:tc>
          <w:tcPr>
            <w:tcW w:w="136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Few-shot sobre el SQL as-built</w:t>
            </w:r>
          </w:p>
        </w:tc>
        <w:tc>
          <w:tcPr>
            <w:tcW w:w="204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er_v2.md</w:t>
            </w:r>
          </w:p>
        </w:tc>
        <w:tc>
          <w:tcPr>
            <w:tcW w:w="124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w:t>
            </w:r>
          </w:p>
        </w:tc>
        <w:tc>
          <w:tcPr>
            <w:tcW w:w="147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Ejecutado</w:t>
            </w:r>
          </w:p>
        </w:tc>
        <w:tc>
          <w:tcPr>
            <w:tcW w:w="141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r w:rsidR="00E24534">
        <w:trPr>
          <w:cantSplit/>
          <w:jc w:val="center"/>
        </w:trPr>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D-002</w:t>
            </w:r>
          </w:p>
        </w:tc>
        <w:tc>
          <w:tcPr>
            <w:tcW w:w="136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Tree-of-Thought (alternativas)</w:t>
            </w:r>
          </w:p>
        </w:tc>
        <w:tc>
          <w:tcPr>
            <w:tcW w:w="204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Stack</w:t>
            </w:r>
          </w:p>
        </w:tc>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ADR-001</w:t>
            </w:r>
          </w:p>
        </w:tc>
        <w:tc>
          <w:tcPr>
            <w:tcW w:w="147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Reconstruido</w:t>
            </w:r>
          </w:p>
        </w:tc>
        <w:tc>
          <w:tcPr>
            <w:tcW w:w="141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r w:rsidR="00E24534">
        <w:trPr>
          <w:cantSplit/>
          <w:jc w:val="center"/>
        </w:trPr>
        <w:tc>
          <w:tcPr>
            <w:tcW w:w="124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D-003</w:t>
            </w:r>
          </w:p>
        </w:tc>
        <w:tc>
          <w:tcPr>
            <w:tcW w:w="136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RAG sobre routes + few-shot JSON</w:t>
            </w:r>
          </w:p>
        </w:tc>
        <w:tc>
          <w:tcPr>
            <w:tcW w:w="204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contrato_api_v2.md</w:t>
            </w:r>
          </w:p>
        </w:tc>
        <w:tc>
          <w:tcPr>
            <w:tcW w:w="124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w:t>
            </w:r>
          </w:p>
        </w:tc>
        <w:tc>
          <w:tcPr>
            <w:tcW w:w="147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Ejecutado</w:t>
            </w:r>
          </w:p>
        </w:tc>
        <w:tc>
          <w:tcPr>
            <w:tcW w:w="141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r w:rsidR="00E24534">
        <w:trPr>
          <w:cantSplit/>
          <w:jc w:val="center"/>
        </w:trPr>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D-004</w:t>
            </w:r>
          </w:p>
        </w:tc>
        <w:tc>
          <w:tcPr>
            <w:tcW w:w="136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RAG sobre src/features</w:t>
            </w:r>
          </w:p>
        </w:tc>
        <w:tc>
          <w:tcPr>
            <w:tcW w:w="204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frontend_features.md</w:t>
            </w:r>
          </w:p>
        </w:tc>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w:t>
            </w:r>
          </w:p>
        </w:tc>
        <w:tc>
          <w:tcPr>
            <w:tcW w:w="147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Ejecutado</w:t>
            </w:r>
          </w:p>
        </w:tc>
        <w:tc>
          <w:tcPr>
            <w:tcW w:w="141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r w:rsidR="00E24534">
        <w:trPr>
          <w:cantSplit/>
          <w:jc w:val="center"/>
        </w:trPr>
        <w:tc>
          <w:tcPr>
            <w:tcW w:w="124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D-005</w:t>
            </w:r>
          </w:p>
        </w:tc>
        <w:tc>
          <w:tcPr>
            <w:tcW w:w="136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CoT (viable / por fases)</w:t>
            </w:r>
          </w:p>
        </w:tc>
        <w:tc>
          <w:tcPr>
            <w:tcW w:w="204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Análisis ML</w:t>
            </w:r>
          </w:p>
        </w:tc>
        <w:tc>
          <w:tcPr>
            <w:tcW w:w="124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w:t>
            </w:r>
          </w:p>
        </w:tc>
        <w:tc>
          <w:tcPr>
            <w:tcW w:w="147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Reconstruido</w:t>
            </w:r>
          </w:p>
        </w:tc>
        <w:tc>
          <w:tcPr>
            <w:tcW w:w="141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r w:rsidR="00E24534">
        <w:trPr>
          <w:cantSplit/>
          <w:jc w:val="center"/>
        </w:trPr>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D-006</w:t>
            </w:r>
          </w:p>
        </w:tc>
        <w:tc>
          <w:tcPr>
            <w:tcW w:w="136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Tree-of-Thought (opciones A–D)</w:t>
            </w:r>
          </w:p>
        </w:tc>
        <w:tc>
          <w:tcPr>
            <w:tcW w:w="204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Degradación FastAPI</w:t>
            </w:r>
          </w:p>
        </w:tc>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ADR-002</w:t>
            </w:r>
          </w:p>
        </w:tc>
        <w:tc>
          <w:tcPr>
            <w:tcW w:w="147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Ejecutado</w:t>
            </w:r>
          </w:p>
        </w:tc>
        <w:tc>
          <w:tcPr>
            <w:tcW w:w="141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bl>
    <w:p w:rsidR="00E24534" w:rsidRDefault="003F5A0B">
      <w:pPr>
        <w:spacing w:before="80" w:after="240" w:line="240" w:lineRule="auto"/>
        <w:jc w:val="center"/>
      </w:pPr>
      <w:r>
        <w:rPr>
          <w:rFonts w:ascii="Times New Roman" w:eastAsia="Times New Roman" w:hAnsi="Times New Roman" w:cs="Times New Roman"/>
          <w:i/>
          <w:iCs/>
          <w:color w:val="4A5568"/>
          <w:sz w:val="20"/>
        </w:rPr>
        <w:t>Tabla 10. Fase de diseño: prompt, ADR y decisión D2.</w:t>
      </w:r>
    </w:p>
    <w:p w:rsidR="00E24534" w:rsidRDefault="003F5A0B">
      <w:pPr>
        <w:spacing w:before="240" w:after="120"/>
      </w:pPr>
      <w:r>
        <w:rPr>
          <w:rFonts w:ascii="Times New Roman" w:eastAsia="Times New Roman" w:hAnsi="Times New Roman" w:cs="Times New Roman"/>
          <w:b/>
          <w:bCs/>
          <w:color w:val="1A5F7A"/>
          <w:sz w:val="26"/>
        </w:rPr>
        <w:t>5.3 Fase de implementación</w:t>
      </w:r>
    </w:p>
    <w:p w:rsidR="003D610D" w:rsidRDefault="003E19C5">
      <w:pPr>
        <w:spacing w:after="160" w:line="360" w:lineRule="auto"/>
        <w:ind w:firstLine="425"/>
        <w:jc w:val="both"/>
      </w:pPr>
      <w:r>
        <w:rPr>
          <w:rFonts w:ascii="Times New Roman" w:eastAsia="Times New Roman" w:hAnsi="Times New Roman"/>
          <w:color w:val="1A1A1A"/>
          <w:sz w:val="24"/>
        </w:rPr>
        <w:t xml:space="preserve">La fase de implementación (código I) entregó software por incrementos, con un prompt I-* por versión de producto. Las entradas fueron el diseño aceptado y las historias del incremento. Las técnicas fueron few-shot sobre el esqueleto de I-001 e I-002, y CoT en </w:t>
      </w:r>
      <w:r>
        <w:rPr>
          <w:rFonts w:ascii="Times New Roman" w:eastAsia="Times New Roman" w:hAnsi="Times New Roman"/>
          <w:color w:val="1A1A1A"/>
          <w:sz w:val="24"/>
        </w:rPr>
        <w:lastRenderedPageBreak/>
        <w:t>autenticación, aprendizaje automático, telemetría y control de acceso. A diferencia de un sprint Scrum, el incremento se cerró cuando hubo artefacto integrable, revisión humana y decisión D2, no cuando venció un calendario de dos semanas.</w:t>
      </w:r>
    </w:p>
    <w:p w:rsidR="003D610D" w:rsidRDefault="003E19C5">
      <w:pPr>
        <w:spacing w:after="160" w:line="360" w:lineRule="auto"/>
        <w:ind w:firstLine="425"/>
        <w:jc w:val="both"/>
      </w:pPr>
      <w:r>
        <w:rPr>
          <w:rFonts w:ascii="Times New Roman" w:eastAsia="Times New Roman" w:hAnsi="Times New Roman"/>
          <w:color w:val="1A1A1A"/>
          <w:sz w:val="24"/>
        </w:rPr>
        <w:t>Tres registros ilustran el patrón. I-002 construyó el CRUD de equipos y el código patrimonial de doce dígitos. I-007 levantó el microservicio de aprendizaje automático con degradación si el servicio no está disponible. I-009 incorporó requireRole tras un hallazgo de seguridad: la autorización no podía quedar solo en la interfaz. I-008 e I-009 no borran el commit de origen de los módulos que evolucionan. Las Tablas 11 y 14 concentran incrementos, versiones y anclas en el repositorio; la Figura 10 es la vista de esa línea de producto.</w:t>
      </w:r>
    </w:p>
    <w:p w:rsidR="00E24534" w:rsidRDefault="00E24534"/>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ayout w:type="fixed"/>
        <w:tblLook w:val="07E0" w:firstRow="1" w:lastRow="1" w:firstColumn="1" w:lastColumn="1" w:noHBand="1" w:noVBand="1"/>
      </w:tblPr>
      <w:tblGrid>
        <w:gridCol w:w="1134"/>
        <w:gridCol w:w="1928"/>
        <w:gridCol w:w="2665"/>
        <w:gridCol w:w="1587"/>
        <w:gridCol w:w="1474"/>
      </w:tblGrid>
      <w:tr w:rsidR="00E24534">
        <w:trPr>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Código</w:t>
            </w:r>
          </w:p>
        </w:tc>
        <w:tc>
          <w:tcPr>
            <w:tcW w:w="1928"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Incremento / versión</w:t>
            </w:r>
          </w:p>
        </w:tc>
        <w:tc>
          <w:tcPr>
            <w:tcW w:w="2665"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Output principal</w:t>
            </w:r>
          </w:p>
        </w:tc>
        <w:tc>
          <w:tcPr>
            <w:tcW w:w="1587"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Estado</w:t>
            </w:r>
          </w:p>
        </w:tc>
        <w:tc>
          <w:tcPr>
            <w:tcW w:w="1474"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Decisión D2</w:t>
            </w:r>
          </w:p>
        </w:tc>
      </w:tr>
      <w:tr w:rsidR="00E24534">
        <w:trPr>
          <w:cantSplit/>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I-001</w:t>
            </w:r>
          </w:p>
        </w:tc>
        <w:tc>
          <w:tcPr>
            <w:tcW w:w="192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1 / 0.1.0</w:t>
            </w:r>
          </w:p>
        </w:tc>
        <w:tc>
          <w:tcPr>
            <w:tcW w:w="2665"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Cimientos, API, DDL</w:t>
            </w:r>
          </w:p>
        </w:tc>
        <w:tc>
          <w:tcPr>
            <w:tcW w:w="158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Reconstruido</w:t>
            </w:r>
          </w:p>
        </w:tc>
        <w:tc>
          <w:tcPr>
            <w:tcW w:w="147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r w:rsidR="00E24534">
        <w:trPr>
          <w:cantSplit/>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I-002</w:t>
            </w:r>
          </w:p>
        </w:tc>
        <w:tc>
          <w:tcPr>
            <w:tcW w:w="192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2 / 0.2.0</w:t>
            </w:r>
          </w:p>
        </w:tc>
        <w:tc>
          <w:tcPr>
            <w:tcW w:w="2665"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CRUD inventario</w:t>
            </w:r>
          </w:p>
        </w:tc>
        <w:tc>
          <w:tcPr>
            <w:tcW w:w="158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Reconstruido</w:t>
            </w:r>
          </w:p>
        </w:tc>
        <w:tc>
          <w:tcPr>
            <w:tcW w:w="147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r w:rsidR="00E24534">
        <w:trPr>
          <w:cantSplit/>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I-003</w:t>
            </w:r>
          </w:p>
        </w:tc>
        <w:tc>
          <w:tcPr>
            <w:tcW w:w="192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3 / 0.3.0</w:t>
            </w:r>
          </w:p>
        </w:tc>
        <w:tc>
          <w:tcPr>
            <w:tcW w:w="2665"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Fichas y mantenimiento</w:t>
            </w:r>
          </w:p>
        </w:tc>
        <w:tc>
          <w:tcPr>
            <w:tcW w:w="158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Reconstruido</w:t>
            </w:r>
          </w:p>
        </w:tc>
        <w:tc>
          <w:tcPr>
            <w:tcW w:w="147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r w:rsidR="00E24534">
        <w:trPr>
          <w:cantSplit/>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I-004</w:t>
            </w:r>
          </w:p>
        </w:tc>
        <w:tc>
          <w:tcPr>
            <w:tcW w:w="192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4 / 0.4.0</w:t>
            </w:r>
          </w:p>
        </w:tc>
        <w:tc>
          <w:tcPr>
            <w:tcW w:w="2665"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Reportes PDF</w:t>
            </w:r>
          </w:p>
        </w:tc>
        <w:tc>
          <w:tcPr>
            <w:tcW w:w="158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Reconstruido</w:t>
            </w:r>
          </w:p>
        </w:tc>
        <w:tc>
          <w:tcPr>
            <w:tcW w:w="147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r w:rsidR="00E24534">
        <w:trPr>
          <w:cantSplit/>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I-005</w:t>
            </w:r>
          </w:p>
        </w:tc>
        <w:tc>
          <w:tcPr>
            <w:tcW w:w="192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5 / 0.5.0</w:t>
            </w:r>
          </w:p>
        </w:tc>
        <w:tc>
          <w:tcPr>
            <w:tcW w:w="2665"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Configuración</w:t>
            </w:r>
          </w:p>
        </w:tc>
        <w:tc>
          <w:tcPr>
            <w:tcW w:w="158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Reconstruido</w:t>
            </w:r>
          </w:p>
        </w:tc>
        <w:tc>
          <w:tcPr>
            <w:tcW w:w="147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r w:rsidR="00E24534">
        <w:trPr>
          <w:cantSplit/>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I-006</w:t>
            </w:r>
          </w:p>
        </w:tc>
        <w:tc>
          <w:tcPr>
            <w:tcW w:w="192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 / 0.6.0</w:t>
            </w:r>
          </w:p>
        </w:tc>
        <w:tc>
          <w:tcPr>
            <w:tcW w:w="2665"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Auth JWT + dashboard</w:t>
            </w:r>
          </w:p>
        </w:tc>
        <w:tc>
          <w:tcPr>
            <w:tcW w:w="158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Reconstruido</w:t>
            </w:r>
          </w:p>
        </w:tc>
        <w:tc>
          <w:tcPr>
            <w:tcW w:w="147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r w:rsidR="00E24534">
        <w:trPr>
          <w:cantSplit/>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I-007</w:t>
            </w:r>
          </w:p>
        </w:tc>
        <w:tc>
          <w:tcPr>
            <w:tcW w:w="192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6 / 0.7.0</w:t>
            </w:r>
          </w:p>
        </w:tc>
        <w:tc>
          <w:tcPr>
            <w:tcW w:w="2665"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Microservicio ML</w:t>
            </w:r>
          </w:p>
        </w:tc>
        <w:tc>
          <w:tcPr>
            <w:tcW w:w="158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Reconstruido</w:t>
            </w:r>
          </w:p>
        </w:tc>
        <w:tc>
          <w:tcPr>
            <w:tcW w:w="147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r w:rsidR="00E24534">
        <w:trPr>
          <w:cantSplit/>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I-008</w:t>
            </w:r>
          </w:p>
        </w:tc>
        <w:tc>
          <w:tcPr>
            <w:tcW w:w="192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7 / 0.8.0–0.9.0</w:t>
            </w:r>
          </w:p>
        </w:tc>
        <w:tc>
          <w:tcPr>
            <w:tcW w:w="2665"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Telemetría y ficha predictiva</w:t>
            </w:r>
          </w:p>
        </w:tc>
        <w:tc>
          <w:tcPr>
            <w:tcW w:w="158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Reconstruido</w:t>
            </w:r>
          </w:p>
        </w:tc>
        <w:tc>
          <w:tcPr>
            <w:tcW w:w="147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r w:rsidR="00E24534">
        <w:trPr>
          <w:cantSplit/>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I-009</w:t>
            </w:r>
          </w:p>
        </w:tc>
        <w:tc>
          <w:tcPr>
            <w:tcW w:w="192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Parche / 0.9.1</w:t>
            </w:r>
          </w:p>
        </w:tc>
        <w:tc>
          <w:tcPr>
            <w:tcW w:w="2665"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RBAC + plantilla Excel</w:t>
            </w:r>
          </w:p>
        </w:tc>
        <w:tc>
          <w:tcPr>
            <w:tcW w:w="158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Reconstruido</w:t>
            </w:r>
          </w:p>
        </w:tc>
        <w:tc>
          <w:tcPr>
            <w:tcW w:w="147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bl>
    <w:p w:rsidR="00E24534" w:rsidRDefault="003F5A0B">
      <w:pPr>
        <w:spacing w:before="80" w:after="240" w:line="240" w:lineRule="auto"/>
        <w:jc w:val="center"/>
      </w:pPr>
      <w:r>
        <w:rPr>
          <w:rFonts w:ascii="Times New Roman" w:eastAsia="Times New Roman" w:hAnsi="Times New Roman" w:cs="Times New Roman"/>
          <w:i/>
          <w:iCs/>
          <w:color w:val="4A5568"/>
          <w:sz w:val="20"/>
        </w:rPr>
        <w:t>Tabla 11. Fase de implementación: un prompt por incremento.</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ayout w:type="fixed"/>
        <w:tblLook w:val="07E0" w:firstRow="1" w:lastRow="1" w:firstColumn="1" w:lastColumn="1" w:noHBand="1" w:noVBand="1"/>
      </w:tblPr>
      <w:tblGrid>
        <w:gridCol w:w="1134"/>
        <w:gridCol w:w="1701"/>
        <w:gridCol w:w="1247"/>
        <w:gridCol w:w="1474"/>
        <w:gridCol w:w="3231"/>
      </w:tblGrid>
      <w:tr w:rsidR="00E24534">
        <w:trPr>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Función</w:t>
            </w:r>
          </w:p>
        </w:tc>
        <w:tc>
          <w:tcPr>
            <w:tcW w:w="1701"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Módulo</w:t>
            </w:r>
          </w:p>
        </w:tc>
        <w:tc>
          <w:tcPr>
            <w:tcW w:w="1247"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Prompt</w:t>
            </w:r>
          </w:p>
        </w:tc>
        <w:tc>
          <w:tcPr>
            <w:tcW w:w="1474"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Commit</w:t>
            </w:r>
          </w:p>
        </w:tc>
        <w:tc>
          <w:tcPr>
            <w:tcW w:w="3231"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Archivo ancla</w:t>
            </w:r>
          </w:p>
        </w:tc>
      </w:tr>
      <w:tr w:rsidR="00E24534">
        <w:trPr>
          <w:cantSplit/>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F-001</w:t>
            </w:r>
          </w:p>
        </w:tc>
        <w:tc>
          <w:tcPr>
            <w:tcW w:w="170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auth</w:t>
            </w:r>
          </w:p>
        </w:tc>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I-006</w:t>
            </w:r>
          </w:p>
        </w:tc>
        <w:tc>
          <w:tcPr>
            <w:tcW w:w="147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5ce7575</w:t>
            </w:r>
          </w:p>
        </w:tc>
        <w:tc>
          <w:tcPr>
            <w:tcW w:w="323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src/features/auth/Login.jsx</w:t>
            </w:r>
          </w:p>
        </w:tc>
      </w:tr>
      <w:tr w:rsidR="00E24534">
        <w:trPr>
          <w:cantSplit/>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F-002</w:t>
            </w:r>
          </w:p>
        </w:tc>
        <w:tc>
          <w:tcPr>
            <w:tcW w:w="170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configuracion</w:t>
            </w:r>
          </w:p>
        </w:tc>
        <w:tc>
          <w:tcPr>
            <w:tcW w:w="124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I-005</w:t>
            </w:r>
          </w:p>
        </w:tc>
        <w:tc>
          <w:tcPr>
            <w:tcW w:w="147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4e08b9e</w:t>
            </w:r>
          </w:p>
        </w:tc>
        <w:tc>
          <w:tcPr>
            <w:tcW w:w="323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ConfiguracionPage.jsx</w:t>
            </w:r>
          </w:p>
        </w:tc>
      </w:tr>
      <w:tr w:rsidR="00E24534">
        <w:trPr>
          <w:cantSplit/>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F-003</w:t>
            </w:r>
          </w:p>
        </w:tc>
        <w:tc>
          <w:tcPr>
            <w:tcW w:w="170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inventario</w:t>
            </w:r>
          </w:p>
        </w:tc>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I-002</w:t>
            </w:r>
          </w:p>
        </w:tc>
        <w:tc>
          <w:tcPr>
            <w:tcW w:w="147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f086a63</w:t>
            </w:r>
          </w:p>
        </w:tc>
        <w:tc>
          <w:tcPr>
            <w:tcW w:w="323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EquipoController.php</w:t>
            </w:r>
          </w:p>
        </w:tc>
      </w:tr>
      <w:tr w:rsidR="00E24534">
        <w:trPr>
          <w:cantSplit/>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F-004</w:t>
            </w:r>
          </w:p>
        </w:tc>
        <w:tc>
          <w:tcPr>
            <w:tcW w:w="170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ficha</w:t>
            </w:r>
          </w:p>
        </w:tc>
        <w:tc>
          <w:tcPr>
            <w:tcW w:w="124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I-003</w:t>
            </w:r>
          </w:p>
        </w:tc>
        <w:tc>
          <w:tcPr>
            <w:tcW w:w="147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f086a63</w:t>
            </w:r>
          </w:p>
        </w:tc>
        <w:tc>
          <w:tcPr>
            <w:tcW w:w="323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FichaTecnicaController.php</w:t>
            </w:r>
          </w:p>
        </w:tc>
      </w:tr>
      <w:tr w:rsidR="00E24534">
        <w:trPr>
          <w:cantSplit/>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F-005</w:t>
            </w:r>
          </w:p>
        </w:tc>
        <w:tc>
          <w:tcPr>
            <w:tcW w:w="170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mantenimiento</w:t>
            </w:r>
          </w:p>
        </w:tc>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I-003</w:t>
            </w:r>
          </w:p>
        </w:tc>
        <w:tc>
          <w:tcPr>
            <w:tcW w:w="147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8b20337</w:t>
            </w:r>
          </w:p>
        </w:tc>
        <w:tc>
          <w:tcPr>
            <w:tcW w:w="323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MantenimientoController.php</w:t>
            </w:r>
          </w:p>
        </w:tc>
      </w:tr>
      <w:tr w:rsidR="00E24534">
        <w:trPr>
          <w:cantSplit/>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F-006</w:t>
            </w:r>
          </w:p>
        </w:tc>
        <w:tc>
          <w:tcPr>
            <w:tcW w:w="170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dashboard</w:t>
            </w:r>
          </w:p>
        </w:tc>
        <w:tc>
          <w:tcPr>
            <w:tcW w:w="124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I-006</w:t>
            </w:r>
          </w:p>
        </w:tc>
        <w:tc>
          <w:tcPr>
            <w:tcW w:w="147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5ce7575</w:t>
            </w:r>
          </w:p>
        </w:tc>
        <w:tc>
          <w:tcPr>
            <w:tcW w:w="323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DashboardPage.jsx</w:t>
            </w:r>
          </w:p>
        </w:tc>
      </w:tr>
      <w:tr w:rsidR="00E24534">
        <w:trPr>
          <w:cantSplit/>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F-007</w:t>
            </w:r>
          </w:p>
        </w:tc>
        <w:tc>
          <w:tcPr>
            <w:tcW w:w="170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ml</w:t>
            </w:r>
          </w:p>
        </w:tc>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I-007</w:t>
            </w:r>
          </w:p>
        </w:tc>
        <w:tc>
          <w:tcPr>
            <w:tcW w:w="147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e9a0965</w:t>
            </w:r>
          </w:p>
        </w:tc>
        <w:tc>
          <w:tcPr>
            <w:tcW w:w="323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ml/app/main.py</w:t>
            </w:r>
          </w:p>
        </w:tc>
      </w:tr>
      <w:tr w:rsidR="00E24534">
        <w:trPr>
          <w:cantSplit/>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F-008</w:t>
            </w:r>
          </w:p>
        </w:tc>
        <w:tc>
          <w:tcPr>
            <w:tcW w:w="170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reportes</w:t>
            </w:r>
          </w:p>
        </w:tc>
        <w:tc>
          <w:tcPr>
            <w:tcW w:w="124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I-004</w:t>
            </w:r>
          </w:p>
        </w:tc>
        <w:tc>
          <w:tcPr>
            <w:tcW w:w="147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f086a63</w:t>
            </w:r>
          </w:p>
        </w:tc>
        <w:tc>
          <w:tcPr>
            <w:tcW w:w="323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ReporteController.php</w:t>
            </w:r>
          </w:p>
        </w:tc>
      </w:tr>
    </w:tbl>
    <w:p w:rsidR="00E24534" w:rsidRDefault="003F5A0B">
      <w:pPr>
        <w:spacing w:before="80" w:after="240" w:line="240" w:lineRule="auto"/>
        <w:jc w:val="center"/>
      </w:pPr>
      <w:r>
        <w:rPr>
          <w:rFonts w:ascii="Times New Roman" w:eastAsia="Times New Roman" w:hAnsi="Times New Roman" w:cs="Times New Roman"/>
          <w:i/>
          <w:iCs/>
          <w:color w:val="4A5568"/>
          <w:sz w:val="20"/>
        </w:rPr>
        <w:t>Tabla 14. Incremento, SHA y archivo ancla (puente con la matriz del apartado  7).</w:t>
      </w:r>
    </w:p>
    <w:p w:rsidR="003D610D" w:rsidRDefault="003E19C5">
      <w:pPr>
        <w:spacing w:after="160" w:line="360" w:lineRule="auto"/>
        <w:ind w:firstLine="425"/>
        <w:jc w:val="both"/>
      </w:pPr>
      <w:r>
        <w:rPr>
          <w:rFonts w:ascii="Times New Roman" w:eastAsia="Times New Roman" w:hAnsi="Times New Roman"/>
          <w:color w:val="1A1A1A"/>
          <w:sz w:val="24"/>
        </w:rPr>
        <w:t>Las evoluciones I-008 e I-009 no sustituyen el commit de origen. El apartado 7 remite a esta tabla y no reproduce los identificadores SHA.</w:t>
      </w:r>
    </w:p>
    <w:p w:rsidR="00E24534" w:rsidRDefault="003F5A0B">
      <w:pPr>
        <w:spacing w:before="240" w:after="120"/>
      </w:pPr>
      <w:r>
        <w:rPr>
          <w:rFonts w:ascii="Times New Roman" w:eastAsia="Times New Roman" w:hAnsi="Times New Roman" w:cs="Times New Roman"/>
          <w:b/>
          <w:bCs/>
          <w:color w:val="1A5F7A"/>
          <w:sz w:val="26"/>
        </w:rPr>
        <w:t>5.4 Fase de testing</w:t>
      </w:r>
    </w:p>
    <w:p w:rsidR="003D610D" w:rsidRDefault="003E19C5">
      <w:pPr>
        <w:spacing w:after="160" w:line="360" w:lineRule="auto"/>
        <w:ind w:firstLine="425"/>
        <w:jc w:val="both"/>
      </w:pPr>
      <w:r>
        <w:rPr>
          <w:rFonts w:ascii="Times New Roman" w:eastAsia="Times New Roman" w:hAnsi="Times New Roman"/>
          <w:color w:val="1A1A1A"/>
          <w:sz w:val="24"/>
        </w:rPr>
        <w:lastRenderedPageBreak/>
        <w:t>La fase de pruebas (código T) tuvo por objetivo verificar adecuación funcional y no dar por cerrado un incremento porque el modelo hubiera generado código. Las entradas fueron las historias, el contrato de la API y los incrementos ya integrados. T-001 es el plan funcional, de responsabilidad humana. T-002, T-003 y T-004 son los entornos de ejecución (PHPUnit, Vitest y pytest). T-005 permanece como plantilla de diagnóstico de un caso fallido. El responsable interpreta los resultados y decide D2; el modelo no sustituye esa lectura.</w:t>
      </w:r>
    </w:p>
    <w:p w:rsidR="003D610D" w:rsidRDefault="003E19C5">
      <w:pPr>
        <w:spacing w:after="160" w:line="360" w:lineRule="auto"/>
        <w:ind w:firstLine="425"/>
        <w:jc w:val="both"/>
      </w:pPr>
      <w:r>
        <w:rPr>
          <w:rFonts w:ascii="Times New Roman" w:eastAsia="Times New Roman" w:hAnsi="Times New Roman"/>
          <w:color w:val="1A1A1A"/>
          <w:sz w:val="24"/>
        </w:rPr>
        <w:t>Esa división se alinea con ISO/IEC/IEEE 29119-2: plan, diseño e implementación de pruebas, ejecución e informe de incidentes. El resumen de registros y decisiones está en la Tabla 12. Los entregables viven en documents/04_testing/ y en las carpetas de prueba de cada entorno.</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ayout w:type="fixed"/>
        <w:tblLook w:val="07E0" w:firstRow="1" w:lastRow="1" w:firstColumn="1" w:lastColumn="1" w:noHBand="1" w:noVBand="1"/>
      </w:tblPr>
      <w:tblGrid>
        <w:gridCol w:w="1134"/>
        <w:gridCol w:w="2381"/>
        <w:gridCol w:w="2438"/>
        <w:gridCol w:w="1474"/>
        <w:gridCol w:w="1361"/>
      </w:tblGrid>
      <w:tr w:rsidR="00E24534">
        <w:trPr>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Código</w:t>
            </w:r>
          </w:p>
        </w:tc>
        <w:tc>
          <w:tcPr>
            <w:tcW w:w="2381"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Runner o entregable</w:t>
            </w:r>
          </w:p>
        </w:tc>
        <w:tc>
          <w:tcPr>
            <w:tcW w:w="2438"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Output</w:t>
            </w:r>
          </w:p>
        </w:tc>
        <w:tc>
          <w:tcPr>
            <w:tcW w:w="1474"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Estado</w:t>
            </w:r>
          </w:p>
        </w:tc>
        <w:tc>
          <w:tcPr>
            <w:tcW w:w="1361"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Decisión D2</w:t>
            </w:r>
          </w:p>
        </w:tc>
      </w:tr>
      <w:tr w:rsidR="00E24534">
        <w:trPr>
          <w:cantSplit/>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T-001</w:t>
            </w:r>
          </w:p>
        </w:tc>
        <w:tc>
          <w:tcPr>
            <w:tcW w:w="238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Plan funcional (humano)</w:t>
            </w:r>
          </w:p>
        </w:tc>
        <w:tc>
          <w:tcPr>
            <w:tcW w:w="243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plan_pruebas_funcionales.md</w:t>
            </w:r>
          </w:p>
        </w:tc>
        <w:tc>
          <w:tcPr>
            <w:tcW w:w="147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Reconstruido</w:t>
            </w:r>
          </w:p>
        </w:tc>
        <w:tc>
          <w:tcPr>
            <w:tcW w:w="136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r w:rsidR="00E24534">
        <w:trPr>
          <w:cantSplit/>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T-002</w:t>
            </w:r>
          </w:p>
        </w:tc>
        <w:tc>
          <w:tcPr>
            <w:tcW w:w="238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PHPUnit</w:t>
            </w:r>
          </w:p>
        </w:tc>
        <w:tc>
          <w:tcPr>
            <w:tcW w:w="243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backend/tests/</w:t>
            </w:r>
          </w:p>
        </w:tc>
        <w:tc>
          <w:tcPr>
            <w:tcW w:w="147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Reconstruido</w:t>
            </w:r>
          </w:p>
        </w:tc>
        <w:tc>
          <w:tcPr>
            <w:tcW w:w="136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r w:rsidR="00E24534">
        <w:trPr>
          <w:cantSplit/>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T-003</w:t>
            </w:r>
          </w:p>
        </w:tc>
        <w:tc>
          <w:tcPr>
            <w:tcW w:w="238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Vitest</w:t>
            </w:r>
          </w:p>
        </w:tc>
        <w:tc>
          <w:tcPr>
            <w:tcW w:w="243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src/lib/*.test.js</w:t>
            </w:r>
          </w:p>
        </w:tc>
        <w:tc>
          <w:tcPr>
            <w:tcW w:w="147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Reconstruido</w:t>
            </w:r>
          </w:p>
        </w:tc>
        <w:tc>
          <w:tcPr>
            <w:tcW w:w="136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r w:rsidR="00E24534">
        <w:trPr>
          <w:cantSplit/>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T-004</w:t>
            </w:r>
          </w:p>
        </w:tc>
        <w:tc>
          <w:tcPr>
            <w:tcW w:w="238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pytest</w:t>
            </w:r>
          </w:p>
        </w:tc>
        <w:tc>
          <w:tcPr>
            <w:tcW w:w="243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ml/tests/</w:t>
            </w:r>
          </w:p>
        </w:tc>
        <w:tc>
          <w:tcPr>
            <w:tcW w:w="147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Reconstruido</w:t>
            </w:r>
          </w:p>
        </w:tc>
        <w:tc>
          <w:tcPr>
            <w:tcW w:w="136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r w:rsidR="00E24534">
        <w:trPr>
          <w:cantSplit/>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T-005</w:t>
            </w:r>
          </w:p>
        </w:tc>
        <w:tc>
          <w:tcPr>
            <w:tcW w:w="238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Plantilla de diagnóstico</w:t>
            </w:r>
          </w:p>
        </w:tc>
        <w:tc>
          <w:tcPr>
            <w:tcW w:w="243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diagnostico_test_fallido.md</w:t>
            </w:r>
          </w:p>
        </w:tc>
        <w:tc>
          <w:tcPr>
            <w:tcW w:w="147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Plantilla</w:t>
            </w:r>
          </w:p>
        </w:tc>
        <w:tc>
          <w:tcPr>
            <w:tcW w:w="136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r>
    </w:tbl>
    <w:p w:rsidR="00E24534" w:rsidRDefault="003F5A0B">
      <w:pPr>
        <w:spacing w:before="80" w:after="240" w:line="240" w:lineRule="auto"/>
        <w:jc w:val="center"/>
      </w:pPr>
      <w:r>
        <w:rPr>
          <w:rFonts w:ascii="Times New Roman" w:eastAsia="Times New Roman" w:hAnsi="Times New Roman" w:cs="Times New Roman"/>
          <w:i/>
          <w:iCs/>
          <w:color w:val="4A5568"/>
          <w:sz w:val="20"/>
        </w:rPr>
        <w:t>Tabla 12. Fase de pruebas.</w:t>
      </w:r>
    </w:p>
    <w:p w:rsidR="00E24534" w:rsidRDefault="003F5A0B">
      <w:pPr>
        <w:spacing w:before="240" w:after="120"/>
      </w:pPr>
      <w:r>
        <w:rPr>
          <w:rFonts w:ascii="Times New Roman" w:eastAsia="Times New Roman" w:hAnsi="Times New Roman" w:cs="Times New Roman"/>
          <w:b/>
          <w:bCs/>
          <w:color w:val="1A5F7A"/>
          <w:sz w:val="26"/>
        </w:rPr>
        <w:t>5.5 Fase de mantenimiento y despliegue</w:t>
      </w:r>
    </w:p>
    <w:p w:rsidR="003D610D" w:rsidRDefault="003E19C5">
      <w:pPr>
        <w:spacing w:after="160" w:line="360" w:lineRule="auto"/>
        <w:ind w:firstLine="425"/>
        <w:jc w:val="both"/>
      </w:pPr>
      <w:r>
        <w:rPr>
          <w:rFonts w:ascii="Times New Roman" w:eastAsia="Times New Roman" w:hAnsi="Times New Roman"/>
          <w:color w:val="1A1A1A"/>
          <w:sz w:val="24"/>
        </w:rPr>
        <w:t>La fase de mantenimiento y despliegue (código M) cerró el ciclo de vida hasta el ambiente de producción institucional. M-001 documentó la secuencia de puesta en producción, las pruebas de humo, el responsable y el plan de retorno. M-004 registró el rollback y la exclusión de secretos del repositorio. M-002 y M-003 quedan como plantillas para el siguiente cambio de base de datos o de contrato: análisis de impacto y documentación posterior al cambio. El autor actuó como desarrollador y revisor.</w:t>
      </w:r>
    </w:p>
    <w:p w:rsidR="003D610D" w:rsidRDefault="003E19C5">
      <w:pPr>
        <w:spacing w:after="160" w:line="360" w:lineRule="auto"/>
        <w:ind w:firstLine="425"/>
        <w:jc w:val="both"/>
      </w:pPr>
      <w:r>
        <w:rPr>
          <w:rFonts w:ascii="Times New Roman" w:eastAsia="Times New Roman" w:hAnsi="Times New Roman"/>
          <w:color w:val="1A1A1A"/>
          <w:sz w:val="24"/>
        </w:rPr>
        <w:t>En términos de ISO/IEC 25000, esta fase opera sobre todo la mantenibilidad: modificabilidad controlada y capacidad de restauración. El resumen está en la Tabla 13. Con ello el ciclo R–D–I–T–M queda evidenciado desde la elicitación hasta la operación, que era el propósito de esta intervención metodológica.</w:t>
      </w:r>
    </w:p>
    <w:p w:rsidR="00E24534" w:rsidRDefault="00E24534"/>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ayout w:type="fixed"/>
        <w:tblLook w:val="07E0" w:firstRow="1" w:lastRow="1" w:firstColumn="1" w:lastColumn="1" w:noHBand="1" w:noVBand="1"/>
      </w:tblPr>
      <w:tblGrid>
        <w:gridCol w:w="1361"/>
        <w:gridCol w:w="4252"/>
        <w:gridCol w:w="1701"/>
        <w:gridCol w:w="1474"/>
      </w:tblGrid>
      <w:tr w:rsidR="00E24534">
        <w:trPr>
          <w:jc w:val="center"/>
        </w:trPr>
        <w:tc>
          <w:tcPr>
            <w:tcW w:w="1361"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8"/>
              </w:rPr>
              <w:t>Código</w:t>
            </w:r>
          </w:p>
        </w:tc>
        <w:tc>
          <w:tcPr>
            <w:tcW w:w="4252"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8"/>
              </w:rPr>
              <w:t>Output</w:t>
            </w:r>
          </w:p>
        </w:tc>
        <w:tc>
          <w:tcPr>
            <w:tcW w:w="1701"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8"/>
              </w:rPr>
              <w:t>Estado</w:t>
            </w:r>
          </w:p>
        </w:tc>
        <w:tc>
          <w:tcPr>
            <w:tcW w:w="1474"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8"/>
              </w:rPr>
              <w:t>Decisión D2</w:t>
            </w:r>
          </w:p>
        </w:tc>
      </w:tr>
      <w:tr w:rsidR="00E24534">
        <w:trPr>
          <w:cantSplit/>
          <w:jc w:val="center"/>
        </w:trPr>
        <w:tc>
          <w:tcPr>
            <w:tcW w:w="136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M-001</w:t>
            </w:r>
          </w:p>
        </w:tc>
        <w:tc>
          <w:tcPr>
            <w:tcW w:w="4252"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Plan de puesta en producción</w:t>
            </w:r>
          </w:p>
        </w:tc>
        <w:tc>
          <w:tcPr>
            <w:tcW w:w="170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Reconstruido</w:t>
            </w:r>
          </w:p>
        </w:tc>
        <w:tc>
          <w:tcPr>
            <w:tcW w:w="147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Aprobado</w:t>
            </w:r>
          </w:p>
        </w:tc>
      </w:tr>
      <w:tr w:rsidR="00E24534">
        <w:trPr>
          <w:cantSplit/>
          <w:jc w:val="center"/>
        </w:trPr>
        <w:tc>
          <w:tcPr>
            <w:tcW w:w="136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M-002</w:t>
            </w:r>
          </w:p>
        </w:tc>
        <w:tc>
          <w:tcPr>
            <w:tcW w:w="4252"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Plantilla de análisis de impacto</w:t>
            </w:r>
          </w:p>
        </w:tc>
        <w:tc>
          <w:tcPr>
            <w:tcW w:w="170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Plantilla</w:t>
            </w:r>
          </w:p>
        </w:tc>
        <w:tc>
          <w:tcPr>
            <w:tcW w:w="147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Aprobado</w:t>
            </w:r>
          </w:p>
        </w:tc>
      </w:tr>
      <w:tr w:rsidR="00E24534">
        <w:trPr>
          <w:cantSplit/>
          <w:jc w:val="center"/>
        </w:trPr>
        <w:tc>
          <w:tcPr>
            <w:tcW w:w="136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lastRenderedPageBreak/>
              <w:t>M-003</w:t>
            </w:r>
          </w:p>
        </w:tc>
        <w:tc>
          <w:tcPr>
            <w:tcW w:w="4252"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Plantilla de documentación post-cambio</w:t>
            </w:r>
          </w:p>
        </w:tc>
        <w:tc>
          <w:tcPr>
            <w:tcW w:w="170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Plantilla</w:t>
            </w:r>
          </w:p>
        </w:tc>
        <w:tc>
          <w:tcPr>
            <w:tcW w:w="147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Aprobado</w:t>
            </w:r>
          </w:p>
        </w:tc>
      </w:tr>
      <w:tr w:rsidR="00E24534">
        <w:trPr>
          <w:cantSplit/>
          <w:jc w:val="center"/>
        </w:trPr>
        <w:tc>
          <w:tcPr>
            <w:tcW w:w="136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M-004</w:t>
            </w:r>
          </w:p>
        </w:tc>
        <w:tc>
          <w:tcPr>
            <w:tcW w:w="4252"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Rollback y secretos en el plan de puesta en producción</w:t>
            </w:r>
          </w:p>
        </w:tc>
        <w:tc>
          <w:tcPr>
            <w:tcW w:w="170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Ejecutado</w:t>
            </w:r>
          </w:p>
        </w:tc>
        <w:tc>
          <w:tcPr>
            <w:tcW w:w="147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8"/>
              </w:rPr>
              <w:t>Aprobado</w:t>
            </w:r>
          </w:p>
        </w:tc>
      </w:tr>
    </w:tbl>
    <w:p w:rsidR="00E24534" w:rsidRDefault="003F5A0B">
      <w:pPr>
        <w:spacing w:before="80" w:after="240" w:line="240" w:lineRule="auto"/>
        <w:jc w:val="center"/>
      </w:pPr>
      <w:r>
        <w:rPr>
          <w:rFonts w:ascii="Times New Roman" w:eastAsia="Times New Roman" w:hAnsi="Times New Roman" w:cs="Times New Roman"/>
          <w:i/>
          <w:iCs/>
          <w:color w:val="4A5568"/>
          <w:sz w:val="20"/>
        </w:rPr>
        <w:t>Tabla 13. Fase de mantenimiento y despliegue.</w:t>
      </w:r>
    </w:p>
    <w:p w:rsidR="00E24534" w:rsidRDefault="003F5A0B">
      <w:pPr>
        <w:pBdr>
          <w:bottom w:val="single" w:sz="8" w:space="4" w:color="1A5F7A"/>
        </w:pBdr>
        <w:spacing w:before="320" w:after="160"/>
      </w:pPr>
      <w:r>
        <w:rPr>
          <w:rFonts w:ascii="Times New Roman" w:eastAsia="Times New Roman" w:hAnsi="Times New Roman" w:cs="Times New Roman"/>
          <w:b/>
          <w:bCs/>
          <w:color w:val="1F3A5F"/>
          <w:sz w:val="30"/>
        </w:rPr>
        <w:t>6. Evaluación, refinamiento y versionado de prompts (D2)</w:t>
      </w:r>
    </w:p>
    <w:p w:rsidR="00E24534" w:rsidRDefault="003F5A0B">
      <w:pPr>
        <w:spacing w:before="240" w:after="120"/>
      </w:pPr>
      <w:r>
        <w:rPr>
          <w:rFonts w:ascii="Times New Roman" w:eastAsia="Times New Roman" w:hAnsi="Times New Roman" w:cs="Times New Roman"/>
          <w:b/>
          <w:bCs/>
          <w:color w:val="1A5F7A"/>
          <w:sz w:val="26"/>
        </w:rPr>
        <w:t>6.1 Ciclo D2 aplicado</w:t>
      </w:r>
    </w:p>
    <w:p w:rsidR="003D610D" w:rsidRDefault="003E19C5">
      <w:pPr>
        <w:spacing w:after="160" w:line="360" w:lineRule="auto"/>
        <w:ind w:firstLine="425"/>
        <w:jc w:val="both"/>
      </w:pPr>
      <w:r>
        <w:rPr>
          <w:rFonts w:ascii="Times New Roman" w:eastAsia="Times New Roman" w:hAnsi="Times New Roman"/>
          <w:color w:val="1A1A1A"/>
          <w:sz w:val="24"/>
        </w:rPr>
        <w:t>D2 es el ciclo con el que se evalúa cada salida del agente antes de darla por cerrada. No basta con que el modelo haya generado texto o código: un humano mide, diagnostica, refina si hace falta y deja una decisión escrita. Ese ciclo vive en el bloque «Evaluación D2» de cada registro de prompt y se consolida en prompts/gobernanza/registro_metricas.md. La Figura 11 muestra los cuatro pasos y el significado de cada decisión en este caso.</w:t>
      </w:r>
    </w:p>
    <w:p w:rsidR="003D610D" w:rsidRDefault="003E19C5">
      <w:pPr>
        <w:spacing w:after="160" w:line="360" w:lineRule="auto"/>
        <w:ind w:firstLine="425"/>
        <w:jc w:val="both"/>
      </w:pPr>
      <w:r>
        <w:rPr>
          <w:rFonts w:ascii="Times New Roman" w:eastAsia="Times New Roman" w:hAnsi="Times New Roman"/>
          <w:color w:val="1A1A1A"/>
          <w:sz w:val="24"/>
        </w:rPr>
        <w:t>La medición compara el artefacto con criterios observables: historias y criterios de aceptación, completitud de la plantilla D1, pruebas relevantes (plan T-001 y runners T-002 a T-004) y ausencia de secretos. El diagnóstico, si hay desvío, pregunta qué falló en el prompt (tarea demasiado ancha, restricción omitida, formato incorrecto) o en el código (por ejemplo, autorización solo en la interfaz). El refinamiento produce una versión v1.1 o v2 del mismo registro, o la decisión de Dividir la tarea en varios prompts. La decisión final queda en el registro: Aprobado, Refinado, Rechazado, Dividir o Superado.</w:t>
      </w:r>
    </w:p>
    <w:p w:rsidR="003D610D" w:rsidRDefault="003E19C5">
      <w:pPr>
        <w:spacing w:after="160" w:line="360" w:lineRule="auto"/>
        <w:ind w:firstLine="425"/>
        <w:jc w:val="both"/>
      </w:pPr>
      <w:r>
        <w:rPr>
          <w:rFonts w:ascii="Times New Roman" w:eastAsia="Times New Roman" w:hAnsi="Times New Roman"/>
          <w:color w:val="1A1A1A"/>
          <w:sz w:val="24"/>
        </w:rPr>
        <w:t>En Sigemad el ciclo se aplicó de forma mixta, y eso se declara. Varios I-* se reconstruyeron a posteriori y sus iteraciones de origen no se midieron en caliente (Tabla 15). Sí hubo ciclos documentados en caliente o con evidencia de más de una pasada: I-007 requirió al menos dos iteraciones (el lote del modelo no aceptaba una lista vacía y el proxy HTTP); I-009 nació de un diagnóstico de seguridad sobre I-005; R-004 y D-006 se ejecutaron en la oleada 3 con medición explícita. El criterio de parada es no seguir iterando sin dejar decisión D2.</w:t>
      </w:r>
    </w:p>
    <w:p w:rsidR="00E24534" w:rsidRDefault="00E24534"/>
    <w:p w:rsidR="00E24534" w:rsidRDefault="003F5A0B">
      <w:pPr>
        <w:spacing w:before="120" w:after="40" w:line="240" w:lineRule="auto"/>
        <w:jc w:val="center"/>
      </w:pPr>
      <w:r>
        <w:rPr>
          <w:noProof/>
        </w:rPr>
        <w:lastRenderedPageBreak/>
        <w:drawing>
          <wp:inline distT="0" distB="0" distL="0" distR="0">
            <wp:extent cx="5760000" cy="3163248"/>
            <wp:effectExtent l="0" t="0" r="0"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7_9_d2.png"/>
                    <pic:cNvPicPr/>
                  </pic:nvPicPr>
                  <pic:blipFill>
                    <a:blip r:embed="rId23"/>
                    <a:stretch>
                      <a:fillRect/>
                    </a:stretch>
                  </pic:blipFill>
                  <pic:spPr>
                    <a:xfrm>
                      <a:off x="0" y="0"/>
                      <a:ext cx="5760000" cy="3163248"/>
                    </a:xfrm>
                    <a:prstGeom prst="rect">
                      <a:avLst/>
                    </a:prstGeom>
                  </pic:spPr>
                </pic:pic>
              </a:graphicData>
            </a:graphic>
          </wp:inline>
        </w:drawing>
      </w:r>
    </w:p>
    <w:p w:rsidR="00E24534" w:rsidRDefault="003F5A0B">
      <w:pPr>
        <w:spacing w:before="80" w:after="160" w:line="240" w:lineRule="auto"/>
        <w:jc w:val="center"/>
      </w:pPr>
      <w:r>
        <w:rPr>
          <w:rFonts w:ascii="Times New Roman" w:eastAsia="Times New Roman" w:hAnsi="Times New Roman" w:cs="Times New Roman"/>
          <w:i/>
          <w:iCs/>
          <w:color w:val="1A1A1A"/>
        </w:rPr>
        <w:t>Figura 11. Ciclo D2 aplicado: medición, diagnóstico, refinamiento y decisión, con el significado de cada cierre en Sigemad.</w:t>
      </w:r>
    </w:p>
    <w:p w:rsidR="003D610D" w:rsidRDefault="003E19C5">
      <w:pPr>
        <w:spacing w:after="160" w:line="360" w:lineRule="auto"/>
        <w:ind w:firstLine="425"/>
        <w:jc w:val="both"/>
      </w:pPr>
      <w:r>
        <w:rPr>
          <w:rFonts w:ascii="Times New Roman" w:eastAsia="Times New Roman" w:hAnsi="Times New Roman"/>
          <w:color w:val="1A1A1A"/>
          <w:sz w:val="24"/>
        </w:rPr>
        <w:t>La Figura 11 se lee de izquierda a derecha. El responsable no le pide al modelo que «se autoevalúe»: mide con pruebas y revisión, diagnostica el desvío, cambia el prompt o lo parte, y escribe la decisión. Aprobado cierra el registro. Refinado o Dividir vuelve a la medición. Rechazado impide integrar. Superado conserva el archivo histórico, pero deja de citarse en commits nuevos.</w:t>
      </w:r>
    </w:p>
    <w:p w:rsidR="00E24534" w:rsidRDefault="003F5A0B">
      <w:pPr>
        <w:spacing w:before="240" w:after="120"/>
      </w:pPr>
      <w:r>
        <w:rPr>
          <w:rFonts w:ascii="Times New Roman" w:eastAsia="Times New Roman" w:hAnsi="Times New Roman" w:cs="Times New Roman"/>
          <w:b/>
          <w:bCs/>
          <w:color w:val="1A5F7A"/>
          <w:sz w:val="26"/>
        </w:rPr>
        <w:t>6.2 Registro de versiones</w:t>
      </w:r>
    </w:p>
    <w:p w:rsidR="003D610D" w:rsidRDefault="003E19C5">
      <w:pPr>
        <w:spacing w:after="160" w:line="360" w:lineRule="auto"/>
        <w:ind w:firstLine="425"/>
        <w:jc w:val="both"/>
      </w:pPr>
      <w:r>
        <w:rPr>
          <w:rFonts w:ascii="Times New Roman" w:eastAsia="Times New Roman" w:hAnsi="Times New Roman"/>
          <w:color w:val="1A1A1A"/>
          <w:sz w:val="24"/>
        </w:rPr>
        <w:t>El registro de versiones no es el historial del chat. Es la ficha de cada prompt: código, fase, versión (v1, v1.1, v2), número de iteraciones cuando se conoció, medición, decisión y lección reutilizable. Cada archivo en prompts/ tiene ese bloque; el tablero vivo es registro_metricas.md. La Tabla 15 extrae cinco filas representativas para el cuerpo del anexo; el resto queda en el Apéndice B y en el registro de métricas.</w:t>
      </w:r>
    </w:p>
    <w:p w:rsidR="003D610D" w:rsidRDefault="003E19C5">
      <w:pPr>
        <w:spacing w:after="160" w:line="360" w:lineRule="auto"/>
        <w:ind w:firstLine="425"/>
        <w:jc w:val="both"/>
      </w:pPr>
      <w:r>
        <w:rPr>
          <w:rFonts w:ascii="Times New Roman" w:eastAsia="Times New Roman" w:hAnsi="Times New Roman"/>
          <w:color w:val="1A1A1A"/>
          <w:sz w:val="24"/>
        </w:rPr>
        <w:t>Cómo se lee la Tabla 15. Código identifica el prompt (R-004, I-007). Fase sitúa el registro en el ciclo de vida. Iteraciones indica cuántas pasadas hubo; «No medido» significa que no se contó en caliente, no que el trabajo fuera trivial. Medición D2 es la evidencia con la que se juzgó el output (hallazgos, ADR, historias, métrica de modelo). Decisión es el cierre. Lección es lo que el siguiente prompt debe heredar. Los macros Superados no se borran: dejan de ser vigentes.</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ayout w:type="fixed"/>
        <w:tblLook w:val="07E0" w:firstRow="1" w:lastRow="1" w:firstColumn="1" w:lastColumn="1" w:noHBand="1" w:noVBand="1"/>
      </w:tblPr>
      <w:tblGrid>
        <w:gridCol w:w="1020"/>
        <w:gridCol w:w="1474"/>
        <w:gridCol w:w="1247"/>
        <w:gridCol w:w="2041"/>
        <w:gridCol w:w="1134"/>
        <w:gridCol w:w="1871"/>
      </w:tblGrid>
      <w:tr w:rsidR="00E24534">
        <w:trPr>
          <w:jc w:val="center"/>
        </w:trPr>
        <w:tc>
          <w:tcPr>
            <w:tcW w:w="1020"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Código</w:t>
            </w:r>
          </w:p>
        </w:tc>
        <w:tc>
          <w:tcPr>
            <w:tcW w:w="1474"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Fase</w:t>
            </w:r>
          </w:p>
        </w:tc>
        <w:tc>
          <w:tcPr>
            <w:tcW w:w="1247"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Iteraciones</w:t>
            </w:r>
          </w:p>
        </w:tc>
        <w:tc>
          <w:tcPr>
            <w:tcW w:w="2041"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Medición D2</w:t>
            </w:r>
          </w:p>
        </w:tc>
        <w:tc>
          <w:tcPr>
            <w:tcW w:w="1134"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Decisión</w:t>
            </w:r>
          </w:p>
        </w:tc>
        <w:tc>
          <w:tcPr>
            <w:tcW w:w="1871"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Lección breve</w:t>
            </w:r>
          </w:p>
        </w:tc>
      </w:tr>
      <w:tr w:rsidR="00E24534">
        <w:trPr>
          <w:cantSplit/>
          <w:jc w:val="center"/>
        </w:trPr>
        <w:tc>
          <w:tcPr>
            <w:tcW w:w="1020"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lastRenderedPageBreak/>
              <w:t>R-004</w:t>
            </w:r>
          </w:p>
        </w:tc>
        <w:tc>
          <w:tcPr>
            <w:tcW w:w="147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Requisitos</w:t>
            </w:r>
          </w:p>
        </w:tc>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Ejecutado (oleada 3)</w:t>
            </w:r>
          </w:p>
        </w:tc>
        <w:tc>
          <w:tcPr>
            <w:tcW w:w="204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14 hallazgos R-01</w:t>
            </w:r>
          </w:p>
        </w:tc>
        <w:tc>
          <w:tcPr>
            <w:tcW w:w="113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c>
          <w:tcPr>
            <w:tcW w:w="187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Estado honesto (cerrado/supuesto)</w:t>
            </w:r>
          </w:p>
        </w:tc>
      </w:tr>
      <w:tr w:rsidR="00E24534">
        <w:trPr>
          <w:cantSplit/>
          <w:jc w:val="center"/>
        </w:trPr>
        <w:tc>
          <w:tcPr>
            <w:tcW w:w="1020"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D-006</w:t>
            </w:r>
          </w:p>
        </w:tc>
        <w:tc>
          <w:tcPr>
            <w:tcW w:w="147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Diseño</w:t>
            </w:r>
          </w:p>
        </w:tc>
        <w:tc>
          <w:tcPr>
            <w:tcW w:w="124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1</w:t>
            </w:r>
          </w:p>
        </w:tc>
        <w:tc>
          <w:tcPr>
            <w:tcW w:w="204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ADR-002 opción D</w:t>
            </w:r>
          </w:p>
        </w:tc>
        <w:tc>
          <w:tcPr>
            <w:tcW w:w="113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c>
          <w:tcPr>
            <w:tcW w:w="187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Lo tácito no existe para la tesis</w:t>
            </w:r>
          </w:p>
        </w:tc>
      </w:tr>
      <w:tr w:rsidR="00E24534">
        <w:trPr>
          <w:cantSplit/>
          <w:jc w:val="center"/>
        </w:trPr>
        <w:tc>
          <w:tcPr>
            <w:tcW w:w="1020"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I-002</w:t>
            </w:r>
          </w:p>
        </w:tc>
        <w:tc>
          <w:tcPr>
            <w:tcW w:w="147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Implementación</w:t>
            </w:r>
          </w:p>
        </w:tc>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No medido</w:t>
            </w:r>
          </w:p>
        </w:tc>
        <w:tc>
          <w:tcPr>
            <w:tcW w:w="204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F-003 / HU-INV-001–002</w:t>
            </w:r>
          </w:p>
        </w:tc>
        <w:tc>
          <w:tcPr>
            <w:tcW w:w="113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c>
          <w:tcPr>
            <w:tcW w:w="187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I-002 ya no es ML</w:t>
            </w:r>
          </w:p>
        </w:tc>
      </w:tr>
      <w:tr w:rsidR="00E24534">
        <w:trPr>
          <w:cantSplit/>
          <w:jc w:val="center"/>
        </w:trPr>
        <w:tc>
          <w:tcPr>
            <w:tcW w:w="1020"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I-007</w:t>
            </w:r>
          </w:p>
        </w:tc>
        <w:tc>
          <w:tcPr>
            <w:tcW w:w="147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Implementación</w:t>
            </w:r>
          </w:p>
        </w:tc>
        <w:tc>
          <w:tcPr>
            <w:tcW w:w="124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≥2</w:t>
            </w:r>
          </w:p>
        </w:tc>
        <w:tc>
          <w:tcPr>
            <w:tcW w:w="204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Acc. 95 % / F1 0.92 (modelo, no hipótesis)</w:t>
            </w:r>
          </w:p>
        </w:tc>
        <w:tc>
          <w:tcPr>
            <w:tcW w:w="113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c>
          <w:tcPr>
            <w:tcW w:w="187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Schema {} no []</w:t>
            </w:r>
          </w:p>
        </w:tc>
      </w:tr>
      <w:tr w:rsidR="00E24534">
        <w:trPr>
          <w:cantSplit/>
          <w:jc w:val="center"/>
        </w:trPr>
        <w:tc>
          <w:tcPr>
            <w:tcW w:w="1020"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I-009</w:t>
            </w:r>
          </w:p>
        </w:tc>
        <w:tc>
          <w:tcPr>
            <w:tcW w:w="147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Implementación</w:t>
            </w:r>
          </w:p>
        </w:tc>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1 (parche)</w:t>
            </w:r>
          </w:p>
        </w:tc>
        <w:tc>
          <w:tcPr>
            <w:tcW w:w="204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AUTH-005, CFG-006, INV-004</w:t>
            </w:r>
          </w:p>
        </w:tc>
        <w:tc>
          <w:tcPr>
            <w:tcW w:w="113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w:t>
            </w:r>
          </w:p>
        </w:tc>
        <w:tc>
          <w:tcPr>
            <w:tcW w:w="187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Hallazgo de seguridad = prompt nuevo</w:t>
            </w:r>
          </w:p>
        </w:tc>
      </w:tr>
    </w:tbl>
    <w:p w:rsidR="00E24534" w:rsidRDefault="003F5A0B">
      <w:pPr>
        <w:spacing w:before="80" w:after="240" w:line="240" w:lineRule="auto"/>
        <w:jc w:val="center"/>
      </w:pPr>
      <w:r>
        <w:rPr>
          <w:rFonts w:ascii="Times New Roman" w:eastAsia="Times New Roman" w:hAnsi="Times New Roman" w:cs="Times New Roman"/>
          <w:i/>
          <w:iCs/>
          <w:color w:val="4A5568"/>
          <w:sz w:val="20"/>
        </w:rPr>
        <w:t>Tabla 15. Extracto del registro de versiones (D2).</w:t>
      </w:r>
    </w:p>
    <w:p w:rsidR="00E24534" w:rsidRDefault="003F5A0B">
      <w:pPr>
        <w:spacing w:before="240" w:after="120"/>
      </w:pPr>
      <w:r>
        <w:rPr>
          <w:rFonts w:ascii="Times New Roman" w:eastAsia="Times New Roman" w:hAnsi="Times New Roman" w:cs="Times New Roman"/>
          <w:b/>
          <w:bCs/>
          <w:color w:val="1A5F7A"/>
          <w:sz w:val="26"/>
        </w:rPr>
        <w:t>6.3 Ejemplo de refinamiento</w:t>
      </w:r>
    </w:p>
    <w:p w:rsidR="003D610D" w:rsidRDefault="003E19C5">
      <w:pPr>
        <w:spacing w:after="160" w:line="360" w:lineRule="auto"/>
        <w:ind w:firstLine="425"/>
        <w:jc w:val="both"/>
      </w:pPr>
      <w:r>
        <w:rPr>
          <w:rFonts w:ascii="Times New Roman" w:eastAsia="Times New Roman" w:hAnsi="Times New Roman"/>
          <w:color w:val="1A1A1A"/>
          <w:sz w:val="24"/>
        </w:rPr>
        <w:t>El caso de refinamiento que mejor muestra D2 es el macro-prompt I-001 (API, autenticación e inventario en un solo registro) y el alias I-002-ML. La medición falló el criterio de granularidad: un humano no podía aprobar ni citar ese identificador en un commit. El diagnóstico fue «tarea demasiado ancha». La decisión D2 fue Superado, no borrar. El refinamiento consistió en Dividir: I-001 a I-009, un prompt por incremento. Los vigentes quedaron Aprobados; los macros permanecen en el repositorio para no reescribir la historia. El antes y el después se resumen en la Tabla 10b.</w:t>
      </w:r>
    </w:p>
    <w:p w:rsidR="003D610D" w:rsidRDefault="003E19C5">
      <w:pPr>
        <w:spacing w:after="160" w:line="360" w:lineRule="auto"/>
        <w:ind w:firstLine="425"/>
        <w:jc w:val="both"/>
      </w:pPr>
      <w:r>
        <w:rPr>
          <w:rFonts w:ascii="Times New Roman" w:eastAsia="Times New Roman" w:hAnsi="Times New Roman"/>
          <w:color w:val="1A1A1A"/>
          <w:sz w:val="24"/>
        </w:rPr>
        <w:t>Un segundo patrón, más fino, es I-009. I-005 entregó configuración, pero la autorización quedó solo en la interfaz. La medición D2 (criterio de seguridad y DoD) no cerró el hueco. El diagnóstico exigió un prompt nuevo, no un parche silencioso en el mismo archivo. I-009 incorporó requireRole y se aprobó como parche 0.9.1. En D2, un hallazgo de seguridad no se «arregla en el chat»: se versiona como registro propio.</w:t>
      </w:r>
    </w:p>
    <w:p w:rsidR="00E24534" w:rsidRDefault="00E24534"/>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ayout w:type="fixed"/>
        <w:tblLook w:val="07E0" w:firstRow="1" w:lastRow="1" w:firstColumn="1" w:lastColumn="1" w:noHBand="1" w:noVBand="1"/>
      </w:tblPr>
      <w:tblGrid>
        <w:gridCol w:w="1814"/>
        <w:gridCol w:w="3487"/>
        <w:gridCol w:w="3487"/>
      </w:tblGrid>
      <w:tr w:rsidR="00E24534">
        <w:trPr>
          <w:jc w:val="center"/>
        </w:trPr>
        <w:tc>
          <w:tcPr>
            <w:tcW w:w="1814"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Campo</w:t>
            </w:r>
          </w:p>
        </w:tc>
        <w:tc>
          <w:tcPr>
            <w:tcW w:w="3487"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Antes</w:t>
            </w:r>
          </w:p>
        </w:tc>
        <w:tc>
          <w:tcPr>
            <w:tcW w:w="3487"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Después</w:t>
            </w:r>
          </w:p>
        </w:tc>
      </w:tr>
      <w:tr w:rsidR="00E24534">
        <w:trPr>
          <w:cantSplit/>
          <w:jc w:val="center"/>
        </w:trPr>
        <w:tc>
          <w:tcPr>
            <w:tcW w:w="181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Identificador</w:t>
            </w:r>
          </w:p>
        </w:tc>
        <w:tc>
          <w:tcPr>
            <w:tcW w:w="348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I-001-MACRO (api + auth + inventario)</w:t>
            </w:r>
          </w:p>
        </w:tc>
        <w:tc>
          <w:tcPr>
            <w:tcW w:w="348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I-001 … I-009 (un prompt por incremento)</w:t>
            </w:r>
          </w:p>
        </w:tc>
      </w:tr>
      <w:tr w:rsidR="00E24534">
        <w:trPr>
          <w:cantSplit/>
          <w:jc w:val="center"/>
        </w:trPr>
        <w:tc>
          <w:tcPr>
            <w:tcW w:w="181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Problema</w:t>
            </w:r>
          </w:p>
        </w:tc>
        <w:tc>
          <w:tcPr>
            <w:tcW w:w="348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Un prompt cubría varios módulos</w:t>
            </w:r>
          </w:p>
        </w:tc>
        <w:tc>
          <w:tcPr>
            <w:tcW w:w="348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Ambigüedad de ID (I-002 inventario vs I-002-ML)</w:t>
            </w:r>
          </w:p>
        </w:tc>
      </w:tr>
      <w:tr w:rsidR="00E24534">
        <w:trPr>
          <w:cantSplit/>
          <w:jc w:val="center"/>
        </w:trPr>
        <w:tc>
          <w:tcPr>
            <w:tcW w:w="181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Decisión D2</w:t>
            </w:r>
          </w:p>
        </w:tc>
        <w:tc>
          <w:tcPr>
            <w:tcW w:w="348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Superado</w:t>
            </w:r>
          </w:p>
        </w:tc>
        <w:tc>
          <w:tcPr>
            <w:tcW w:w="348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Aprobado (vigentes)</w:t>
            </w:r>
          </w:p>
        </w:tc>
      </w:tr>
      <w:tr w:rsidR="00E24534">
        <w:trPr>
          <w:cantSplit/>
          <w:jc w:val="center"/>
        </w:trPr>
        <w:tc>
          <w:tcPr>
            <w:tcW w:w="181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Lección</w:t>
            </w:r>
          </w:p>
        </w:tc>
        <w:tc>
          <w:tcPr>
            <w:tcW w:w="348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Un I-* = un incremento</w:t>
            </w:r>
          </w:p>
        </w:tc>
        <w:tc>
          <w:tcPr>
            <w:tcW w:w="348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Los macros no se borran; quedan Superados</w:t>
            </w:r>
          </w:p>
        </w:tc>
      </w:tr>
    </w:tbl>
    <w:p w:rsidR="00E24534" w:rsidRDefault="003F5A0B">
      <w:pPr>
        <w:spacing w:before="80" w:after="240" w:line="240" w:lineRule="auto"/>
        <w:jc w:val="center"/>
      </w:pPr>
      <w:r>
        <w:rPr>
          <w:rFonts w:ascii="Times New Roman" w:eastAsia="Times New Roman" w:hAnsi="Times New Roman" w:cs="Times New Roman"/>
          <w:i/>
          <w:iCs/>
          <w:color w:val="4A5568"/>
          <w:sz w:val="20"/>
        </w:rPr>
        <w:t>Tabla 10b. Ejemplo de refinamiento: de macro-prompt a I-001…I-009.</w:t>
      </w:r>
    </w:p>
    <w:p w:rsidR="00E24534" w:rsidRDefault="003F5A0B">
      <w:pPr>
        <w:pBdr>
          <w:bottom w:val="single" w:sz="8" w:space="4" w:color="1A5F7A"/>
        </w:pBdr>
        <w:spacing w:before="320" w:after="160"/>
      </w:pPr>
      <w:r>
        <w:rPr>
          <w:rFonts w:ascii="Times New Roman" w:eastAsia="Times New Roman" w:hAnsi="Times New Roman" w:cs="Times New Roman"/>
          <w:b/>
          <w:bCs/>
          <w:color w:val="1F3A5F"/>
          <w:sz w:val="30"/>
        </w:rPr>
        <w:t>7. Matriz de doble entrada: trazabilidad de funciones y prompts</w:t>
      </w:r>
    </w:p>
    <w:p w:rsidR="00E24534" w:rsidRDefault="003F5A0B">
      <w:pPr>
        <w:spacing w:before="240" w:after="120"/>
      </w:pPr>
      <w:r>
        <w:rPr>
          <w:rFonts w:ascii="Times New Roman" w:eastAsia="Times New Roman" w:hAnsi="Times New Roman" w:cs="Times New Roman"/>
          <w:b/>
          <w:bCs/>
          <w:color w:val="1A5F7A"/>
          <w:sz w:val="26"/>
        </w:rPr>
        <w:t>7.1 Propósito de la matriz</w:t>
      </w:r>
    </w:p>
    <w:p w:rsidR="003D610D" w:rsidRDefault="003E19C5">
      <w:pPr>
        <w:spacing w:after="160" w:line="360" w:lineRule="auto"/>
        <w:ind w:firstLine="425"/>
        <w:jc w:val="both"/>
      </w:pPr>
      <w:r>
        <w:rPr>
          <w:rFonts w:ascii="Times New Roman" w:eastAsia="Times New Roman" w:hAnsi="Times New Roman"/>
          <w:color w:val="1A1A1A"/>
          <w:sz w:val="24"/>
        </w:rPr>
        <w:t xml:space="preserve">La matriz de doble entrada no es una tabla decorativa: es el instrumento con el que un tercero puede reconstruir, sin abrir el chat, cómo se construyó cada función del software. Una entrada es la función del producto (F-001 autenticación, F-003 inventario, F-007 </w:t>
      </w:r>
      <w:r>
        <w:rPr>
          <w:rFonts w:ascii="Times New Roman" w:eastAsia="Times New Roman" w:hAnsi="Times New Roman"/>
          <w:color w:val="1A1A1A"/>
          <w:sz w:val="24"/>
        </w:rPr>
        <w:lastRenderedPageBreak/>
        <w:t>aprendizaje automático, y así sucesivamente). La otra entrada es la evidencia de construcción: el prompt versionado, el commit de GitHub y el archivo tal como quedó en ese identificador SHA. Si esas tres piezas se pueden abrir, hay trazabilidad; si falta una, el incremento no es auditable.</w:t>
      </w:r>
    </w:p>
    <w:p w:rsidR="003D610D" w:rsidRDefault="003E19C5">
      <w:pPr>
        <w:spacing w:after="160" w:line="360" w:lineRule="auto"/>
        <w:ind w:firstLine="425"/>
        <w:jc w:val="both"/>
      </w:pPr>
      <w:r>
        <w:rPr>
          <w:rFonts w:ascii="Times New Roman" w:eastAsia="Times New Roman" w:hAnsi="Times New Roman"/>
          <w:color w:val="1A1A1A"/>
          <w:sz w:val="24"/>
        </w:rPr>
        <w:t>La Figura 12 explica la lectura con un ejemplo real del caso. Para el inventario (F-003) la pregunta «qué se le pidió a la IA» se responde con I-002; «dónde quedó el código» con el commit f086a63; «qué archivo abro» con EquipoController.php en ese SHA. El mismo esquema se aplica a las demás funciones. Los SHA no se repiten en este apartado: constan en la Tabla 14 y el Excel completo es el Apéndice A.</w:t>
      </w:r>
    </w:p>
    <w:p w:rsidR="00E24534" w:rsidRDefault="00E24534"/>
    <w:p w:rsidR="00E24534" w:rsidRDefault="003F5A0B">
      <w:pPr>
        <w:spacing w:before="120" w:after="40" w:line="240" w:lineRule="auto"/>
        <w:jc w:val="center"/>
      </w:pPr>
      <w:r>
        <w:rPr>
          <w:noProof/>
        </w:rPr>
        <w:drawing>
          <wp:inline distT="0" distB="0" distL="0" distR="0">
            <wp:extent cx="5760000" cy="3311525"/>
            <wp:effectExtent l="0" t="0" r="0" b="0"/>
            <wp:docPr id="100020" name="Picture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7_11_cadena.png"/>
                    <pic:cNvPicPr/>
                  </pic:nvPicPr>
                  <pic:blipFill>
                    <a:blip r:embed="rId24"/>
                    <a:stretch>
                      <a:fillRect/>
                    </a:stretch>
                  </pic:blipFill>
                  <pic:spPr>
                    <a:xfrm>
                      <a:off x="0" y="0"/>
                      <a:ext cx="5760000" cy="3311525"/>
                    </a:xfrm>
                    <a:prstGeom prst="rect">
                      <a:avLst/>
                    </a:prstGeom>
                  </pic:spPr>
                </pic:pic>
              </a:graphicData>
            </a:graphic>
          </wp:inline>
        </w:drawing>
      </w:r>
    </w:p>
    <w:p w:rsidR="00E24534" w:rsidRDefault="003F5A0B">
      <w:pPr>
        <w:spacing w:before="80" w:after="160" w:line="240" w:lineRule="auto"/>
        <w:jc w:val="center"/>
      </w:pPr>
      <w:r>
        <w:rPr>
          <w:rFonts w:ascii="Times New Roman" w:eastAsia="Times New Roman" w:hAnsi="Times New Roman" w:cs="Times New Roman"/>
          <w:i/>
          <w:iCs/>
          <w:color w:val="1A1A1A"/>
        </w:rPr>
        <w:t>Figura 12. Lectura de la matriz de doble entrada: función, prompt, commit y archivo (ejemplo F-003 inventario).</w:t>
      </w:r>
    </w:p>
    <w:p w:rsidR="003D610D" w:rsidRDefault="003E19C5">
      <w:pPr>
        <w:spacing w:after="160" w:line="360" w:lineRule="auto"/>
        <w:ind w:firstLine="425"/>
        <w:jc w:val="both"/>
      </w:pPr>
      <w:r>
        <w:rPr>
          <w:rFonts w:ascii="Times New Roman" w:eastAsia="Times New Roman" w:hAnsi="Times New Roman"/>
          <w:color w:val="1A1A1A"/>
          <w:sz w:val="24"/>
        </w:rPr>
        <w:t>La Figura 12 se lee como cuatro preguntas en cadena, no como un diagrama técnico. Función, prompt, commit y archivo deben coincidir. Un mismo commit puede anclar dos funciones (por ejemplo F-003 y F-008 en f086a63), pero cada una conserva su prompt. I-008 e I-009 son evoluciones posteriores: no borran el SHA de origen.</w:t>
      </w:r>
    </w:p>
    <w:p w:rsidR="00E24534" w:rsidRDefault="003F5A0B">
      <w:pPr>
        <w:spacing w:before="240" w:after="120"/>
      </w:pPr>
      <w:r>
        <w:rPr>
          <w:rFonts w:ascii="Times New Roman" w:eastAsia="Times New Roman" w:hAnsi="Times New Roman" w:cs="Times New Roman"/>
          <w:b/>
          <w:bCs/>
          <w:color w:val="1A5F7A"/>
          <w:sz w:val="26"/>
        </w:rPr>
        <w:t>7.2 Fundamento teórico de la matriz</w:t>
      </w:r>
    </w:p>
    <w:p w:rsidR="003D610D" w:rsidRDefault="003E19C5">
      <w:pPr>
        <w:spacing w:after="160" w:line="360" w:lineRule="auto"/>
        <w:ind w:firstLine="425"/>
        <w:jc w:val="both"/>
      </w:pPr>
      <w:r>
        <w:rPr>
          <w:rFonts w:ascii="Times New Roman" w:eastAsia="Times New Roman" w:hAnsi="Times New Roman"/>
          <w:color w:val="1A1A1A"/>
          <w:sz w:val="24"/>
        </w:rPr>
        <w:t xml:space="preserve">El instrumento se apoya en Amaro y colaboradores, respecto de las capacidades DevOps y su relación con el ciclo de vida, y en Jiang y colaboradores, respecto del </w:t>
      </w:r>
      <w:r>
        <w:rPr>
          <w:rFonts w:ascii="Times New Roman" w:eastAsia="Times New Roman" w:hAnsi="Times New Roman"/>
          <w:color w:val="1A1A1A"/>
          <w:sz w:val="24"/>
        </w:rPr>
        <w:lastRenderedPageBreak/>
        <w:t>versionado y la calidad de prompts. La operacionalización conjunta y el enlace navegable al repositorio constituyen el aporte de este caso.</w:t>
      </w:r>
    </w:p>
    <w:p w:rsidR="00E24534" w:rsidRDefault="00E24534"/>
    <w:p w:rsidR="00E24534" w:rsidRDefault="003F5A0B">
      <w:pPr>
        <w:spacing w:before="240" w:after="120"/>
      </w:pPr>
      <w:r>
        <w:rPr>
          <w:rFonts w:ascii="Times New Roman" w:eastAsia="Times New Roman" w:hAnsi="Times New Roman" w:cs="Times New Roman"/>
          <w:b/>
          <w:bCs/>
          <w:color w:val="1A5F7A"/>
          <w:sz w:val="26"/>
        </w:rPr>
        <w:t>7.3 Estructura de la matriz</w:t>
      </w:r>
    </w:p>
    <w:p w:rsidR="003D610D" w:rsidRDefault="003E19C5">
      <w:pPr>
        <w:spacing w:after="160" w:line="360" w:lineRule="auto"/>
        <w:ind w:firstLine="425"/>
        <w:jc w:val="both"/>
      </w:pPr>
      <w:r>
        <w:rPr>
          <w:rFonts w:ascii="Times New Roman" w:eastAsia="Times New Roman" w:hAnsi="Times New Roman"/>
          <w:color w:val="1A1A1A"/>
          <w:sz w:val="24"/>
        </w:rPr>
        <w:t>En el Excel, cada fila agrupa: identificación de la función (código F-00N y módulo); impacto sobre el ciclo de vida; cinco capacidades DevOps (control de versiones, integración continua, despliegue continuo, pruebas y monitoreo) con estado Sí, Parcial o No; datos del prompt (técnica, iteraciones, decisión D2); ruta del archivo y SHA; prueba asociada; y observaciones. En el cuerpo del anexo no se reproduce esa grilla completa. La Tabla 16 muestra solo el extracto DevOps; la Tabla 14, los SHA.</w:t>
      </w:r>
    </w:p>
    <w:p w:rsidR="00E24534" w:rsidRDefault="00E24534"/>
    <w:p w:rsidR="00E24534" w:rsidRDefault="003F5A0B">
      <w:pPr>
        <w:spacing w:before="240" w:after="120"/>
      </w:pPr>
      <w:r>
        <w:rPr>
          <w:rFonts w:ascii="Times New Roman" w:eastAsia="Times New Roman" w:hAnsi="Times New Roman" w:cs="Times New Roman"/>
          <w:b/>
          <w:bCs/>
          <w:color w:val="1A5F7A"/>
          <w:sz w:val="26"/>
        </w:rPr>
        <w:t>7.4 Aplicación de la matriz en este caso</w:t>
      </w:r>
    </w:p>
    <w:p w:rsidR="003D610D" w:rsidRDefault="003E19C5">
      <w:pPr>
        <w:spacing w:after="160" w:line="360" w:lineRule="auto"/>
        <w:ind w:firstLine="425"/>
        <w:jc w:val="both"/>
      </w:pPr>
      <w:r>
        <w:rPr>
          <w:rFonts w:ascii="Times New Roman" w:eastAsia="Times New Roman" w:hAnsi="Times New Roman"/>
          <w:color w:val="1A1A1A"/>
          <w:sz w:val="24"/>
        </w:rPr>
        <w:t>Se aplicó a F-001 a F-008 y a las evoluciones I-008 e I-009. El control de versiones está implantado en GitHub. La integración continua y el despliegue continuo no están implantados: el caso aún no opera un ambiente de producción institucional con pipeline. Las pruebas unitarias existen por entorno (PHPUnit, Vitest, pytest), con cobertura de rama aún no medida. El monitoreo de aplicaciones en producción no aplica en este momento; el diseño de degradación del componente predictivo (ADR-002) queda como control preparado. El extracto está en la Tabla 16.</w:t>
      </w:r>
    </w:p>
    <w:p w:rsidR="00E24534" w:rsidRDefault="00E24534"/>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ayout w:type="fixed"/>
        <w:tblLook w:val="07E0" w:firstRow="1" w:lastRow="1" w:firstColumn="1" w:lastColumn="1" w:noHBand="1" w:noVBand="1"/>
      </w:tblPr>
      <w:tblGrid>
        <w:gridCol w:w="1134"/>
        <w:gridCol w:w="1134"/>
        <w:gridCol w:w="1247"/>
        <w:gridCol w:w="1587"/>
        <w:gridCol w:w="1191"/>
        <w:gridCol w:w="1247"/>
        <w:gridCol w:w="1247"/>
      </w:tblGrid>
      <w:tr w:rsidR="00E24534">
        <w:trPr>
          <w:jc w:val="center"/>
        </w:trPr>
        <w:tc>
          <w:tcPr>
            <w:tcW w:w="1134"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Cs/>
                <w:color w:val="1A1A1A"/>
                <w:sz w:val="16"/>
              </w:rPr>
              <w:t>Función</w:t>
            </w:r>
          </w:p>
        </w:tc>
        <w:tc>
          <w:tcPr>
            <w:tcW w:w="1134"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Cs/>
                <w:color w:val="1A1A1A"/>
                <w:sz w:val="16"/>
              </w:rPr>
              <w:t>Prompt</w:t>
            </w:r>
          </w:p>
        </w:tc>
        <w:tc>
          <w:tcPr>
            <w:tcW w:w="1247"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Cs/>
                <w:color w:val="1A1A1A"/>
                <w:sz w:val="16"/>
              </w:rPr>
              <w:t>Commit</w:t>
            </w:r>
          </w:p>
        </w:tc>
        <w:tc>
          <w:tcPr>
            <w:tcW w:w="1587"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Cs/>
                <w:color w:val="1A1A1A"/>
                <w:sz w:val="16"/>
              </w:rPr>
              <w:t>Control de versiones</w:t>
            </w:r>
          </w:p>
        </w:tc>
        <w:tc>
          <w:tcPr>
            <w:tcW w:w="1191"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Cs/>
                <w:color w:val="1A1A1A"/>
                <w:sz w:val="16"/>
              </w:rPr>
              <w:t>CI</w:t>
            </w:r>
          </w:p>
        </w:tc>
        <w:tc>
          <w:tcPr>
            <w:tcW w:w="1247"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Cs/>
                <w:color w:val="1A1A1A"/>
                <w:sz w:val="16"/>
              </w:rPr>
              <w:t>Pruebas</w:t>
            </w:r>
          </w:p>
        </w:tc>
        <w:tc>
          <w:tcPr>
            <w:tcW w:w="1247"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Cs/>
                <w:color w:val="1A1A1A"/>
                <w:sz w:val="16"/>
              </w:rPr>
              <w:t>Monitoreo</w:t>
            </w:r>
          </w:p>
        </w:tc>
      </w:tr>
      <w:tr w:rsidR="003D610D">
        <w:trPr>
          <w:jc w:val="center"/>
        </w:trPr>
        <w:tc>
          <w:tcPr>
            <w:tcW w:w="1134" w:type="dxa"/>
          </w:tcPr>
          <w:p w:rsidR="003D610D" w:rsidRDefault="003E19C5">
            <w:r>
              <w:rPr>
                <w:rFonts w:ascii="Times New Roman" w:eastAsia="Times New Roman" w:hAnsi="Times New Roman"/>
                <w:color w:val="1A1A1A"/>
                <w:sz w:val="16"/>
              </w:rPr>
              <w:t>F-003</w:t>
            </w:r>
          </w:p>
        </w:tc>
        <w:tc>
          <w:tcPr>
            <w:tcW w:w="1134" w:type="dxa"/>
          </w:tcPr>
          <w:p w:rsidR="003D610D" w:rsidRDefault="003E19C5">
            <w:r>
              <w:rPr>
                <w:rFonts w:ascii="Times New Roman" w:eastAsia="Times New Roman" w:hAnsi="Times New Roman"/>
                <w:color w:val="1A1A1A"/>
                <w:sz w:val="16"/>
              </w:rPr>
              <w:t>I-002</w:t>
            </w:r>
          </w:p>
        </w:tc>
        <w:tc>
          <w:tcPr>
            <w:tcW w:w="1247" w:type="dxa"/>
          </w:tcPr>
          <w:p w:rsidR="003D610D" w:rsidRDefault="003E19C5">
            <w:r>
              <w:rPr>
                <w:rFonts w:ascii="Times New Roman" w:eastAsia="Times New Roman" w:hAnsi="Times New Roman"/>
                <w:color w:val="1A1A1A"/>
                <w:sz w:val="16"/>
              </w:rPr>
              <w:t>véase Tabla 14</w:t>
            </w:r>
          </w:p>
        </w:tc>
        <w:tc>
          <w:tcPr>
            <w:tcW w:w="1587" w:type="dxa"/>
          </w:tcPr>
          <w:p w:rsidR="003D610D" w:rsidRDefault="003E19C5">
            <w:r>
              <w:rPr>
                <w:rFonts w:ascii="Times New Roman" w:eastAsia="Times New Roman" w:hAnsi="Times New Roman"/>
                <w:color w:val="1A1A1A"/>
                <w:sz w:val="16"/>
              </w:rPr>
              <w:t>Sí</w:t>
            </w:r>
          </w:p>
        </w:tc>
        <w:tc>
          <w:tcPr>
            <w:tcW w:w="1191" w:type="dxa"/>
          </w:tcPr>
          <w:p w:rsidR="003D610D" w:rsidRDefault="003E19C5">
            <w:r>
              <w:rPr>
                <w:rFonts w:ascii="Times New Roman" w:eastAsia="Times New Roman" w:hAnsi="Times New Roman"/>
                <w:color w:val="1A1A1A"/>
                <w:sz w:val="16"/>
              </w:rPr>
              <w:t>No</w:t>
            </w:r>
          </w:p>
        </w:tc>
        <w:tc>
          <w:tcPr>
            <w:tcW w:w="1247" w:type="dxa"/>
          </w:tcPr>
          <w:p w:rsidR="003D610D" w:rsidRDefault="003E19C5">
            <w:r>
              <w:rPr>
                <w:rFonts w:ascii="Times New Roman" w:eastAsia="Times New Roman" w:hAnsi="Times New Roman"/>
                <w:color w:val="1A1A1A"/>
                <w:sz w:val="16"/>
              </w:rPr>
              <w:t>Parcial</w:t>
            </w:r>
          </w:p>
        </w:tc>
        <w:tc>
          <w:tcPr>
            <w:tcW w:w="1247" w:type="dxa"/>
          </w:tcPr>
          <w:p w:rsidR="003D610D" w:rsidRDefault="003E19C5">
            <w:r>
              <w:rPr>
                <w:rFonts w:ascii="Times New Roman" w:eastAsia="Times New Roman" w:hAnsi="Times New Roman"/>
                <w:color w:val="1A1A1A"/>
                <w:sz w:val="16"/>
              </w:rPr>
              <w:t>No</w:t>
            </w:r>
          </w:p>
        </w:tc>
      </w:tr>
      <w:tr w:rsidR="003D610D">
        <w:trPr>
          <w:jc w:val="center"/>
        </w:trPr>
        <w:tc>
          <w:tcPr>
            <w:tcW w:w="1134" w:type="dxa"/>
          </w:tcPr>
          <w:p w:rsidR="003D610D" w:rsidRDefault="003E19C5">
            <w:r>
              <w:rPr>
                <w:rFonts w:ascii="Times New Roman" w:eastAsia="Times New Roman" w:hAnsi="Times New Roman"/>
                <w:color w:val="1A1A1A"/>
                <w:sz w:val="16"/>
              </w:rPr>
              <w:t>F-007</w:t>
            </w:r>
          </w:p>
        </w:tc>
        <w:tc>
          <w:tcPr>
            <w:tcW w:w="1134" w:type="dxa"/>
          </w:tcPr>
          <w:p w:rsidR="003D610D" w:rsidRDefault="003E19C5">
            <w:r>
              <w:rPr>
                <w:rFonts w:ascii="Times New Roman" w:eastAsia="Times New Roman" w:hAnsi="Times New Roman"/>
                <w:color w:val="1A1A1A"/>
                <w:sz w:val="16"/>
              </w:rPr>
              <w:t>I-007</w:t>
            </w:r>
          </w:p>
        </w:tc>
        <w:tc>
          <w:tcPr>
            <w:tcW w:w="1247" w:type="dxa"/>
          </w:tcPr>
          <w:p w:rsidR="003D610D" w:rsidRDefault="003E19C5">
            <w:r>
              <w:rPr>
                <w:rFonts w:ascii="Times New Roman" w:eastAsia="Times New Roman" w:hAnsi="Times New Roman"/>
                <w:color w:val="1A1A1A"/>
                <w:sz w:val="16"/>
              </w:rPr>
              <w:t>véase Tabla 14</w:t>
            </w:r>
          </w:p>
        </w:tc>
        <w:tc>
          <w:tcPr>
            <w:tcW w:w="1587" w:type="dxa"/>
          </w:tcPr>
          <w:p w:rsidR="003D610D" w:rsidRDefault="003E19C5">
            <w:r>
              <w:rPr>
                <w:rFonts w:ascii="Times New Roman" w:eastAsia="Times New Roman" w:hAnsi="Times New Roman"/>
                <w:color w:val="1A1A1A"/>
                <w:sz w:val="16"/>
              </w:rPr>
              <w:t>Sí</w:t>
            </w:r>
          </w:p>
        </w:tc>
        <w:tc>
          <w:tcPr>
            <w:tcW w:w="1191" w:type="dxa"/>
          </w:tcPr>
          <w:p w:rsidR="003D610D" w:rsidRDefault="003E19C5">
            <w:r>
              <w:rPr>
                <w:rFonts w:ascii="Times New Roman" w:eastAsia="Times New Roman" w:hAnsi="Times New Roman"/>
                <w:color w:val="1A1A1A"/>
                <w:sz w:val="16"/>
              </w:rPr>
              <w:t>No</w:t>
            </w:r>
          </w:p>
        </w:tc>
        <w:tc>
          <w:tcPr>
            <w:tcW w:w="1247" w:type="dxa"/>
          </w:tcPr>
          <w:p w:rsidR="003D610D" w:rsidRDefault="003E19C5">
            <w:r>
              <w:rPr>
                <w:rFonts w:ascii="Times New Roman" w:eastAsia="Times New Roman" w:hAnsi="Times New Roman"/>
                <w:color w:val="1A1A1A"/>
                <w:sz w:val="16"/>
              </w:rPr>
              <w:t>Sí (pytest)</w:t>
            </w:r>
          </w:p>
        </w:tc>
        <w:tc>
          <w:tcPr>
            <w:tcW w:w="1247" w:type="dxa"/>
          </w:tcPr>
          <w:p w:rsidR="003D610D" w:rsidRDefault="003E19C5">
            <w:r>
              <w:rPr>
                <w:rFonts w:ascii="Times New Roman" w:eastAsia="Times New Roman" w:hAnsi="Times New Roman"/>
                <w:color w:val="1A1A1A"/>
                <w:sz w:val="16"/>
              </w:rPr>
              <w:t>Parcial (ADR-002)</w:t>
            </w:r>
          </w:p>
        </w:tc>
      </w:tr>
      <w:tr w:rsidR="003D610D">
        <w:trPr>
          <w:jc w:val="center"/>
        </w:trPr>
        <w:tc>
          <w:tcPr>
            <w:tcW w:w="1134" w:type="dxa"/>
          </w:tcPr>
          <w:p w:rsidR="003D610D" w:rsidRDefault="003E19C5">
            <w:r>
              <w:rPr>
                <w:rFonts w:ascii="Times New Roman" w:eastAsia="Times New Roman" w:hAnsi="Times New Roman"/>
                <w:color w:val="1A1A1A"/>
                <w:sz w:val="16"/>
              </w:rPr>
              <w:t>F-001 a F-008</w:t>
            </w:r>
          </w:p>
        </w:tc>
        <w:tc>
          <w:tcPr>
            <w:tcW w:w="1134" w:type="dxa"/>
          </w:tcPr>
          <w:p w:rsidR="003D610D" w:rsidRDefault="003E19C5">
            <w:r>
              <w:rPr>
                <w:rFonts w:ascii="Times New Roman" w:eastAsia="Times New Roman" w:hAnsi="Times New Roman"/>
                <w:color w:val="1A1A1A"/>
                <w:sz w:val="16"/>
              </w:rPr>
              <w:t>I-002 a I-009</w:t>
            </w:r>
          </w:p>
        </w:tc>
        <w:tc>
          <w:tcPr>
            <w:tcW w:w="1247" w:type="dxa"/>
          </w:tcPr>
          <w:p w:rsidR="003D610D" w:rsidRDefault="003E19C5">
            <w:r>
              <w:rPr>
                <w:rFonts w:ascii="Times New Roman" w:eastAsia="Times New Roman" w:hAnsi="Times New Roman"/>
                <w:color w:val="1A1A1A"/>
                <w:sz w:val="16"/>
              </w:rPr>
              <w:t>véase Tabla 14</w:t>
            </w:r>
          </w:p>
        </w:tc>
        <w:tc>
          <w:tcPr>
            <w:tcW w:w="1587" w:type="dxa"/>
          </w:tcPr>
          <w:p w:rsidR="003D610D" w:rsidRDefault="003E19C5">
            <w:r>
              <w:rPr>
                <w:rFonts w:ascii="Times New Roman" w:eastAsia="Times New Roman" w:hAnsi="Times New Roman"/>
                <w:color w:val="1A1A1A"/>
                <w:sz w:val="16"/>
              </w:rPr>
              <w:t>Sí</w:t>
            </w:r>
          </w:p>
        </w:tc>
        <w:tc>
          <w:tcPr>
            <w:tcW w:w="1191" w:type="dxa"/>
          </w:tcPr>
          <w:p w:rsidR="003D610D" w:rsidRDefault="003E19C5">
            <w:r>
              <w:rPr>
                <w:rFonts w:ascii="Times New Roman" w:eastAsia="Times New Roman" w:hAnsi="Times New Roman"/>
                <w:color w:val="1A1A1A"/>
                <w:sz w:val="16"/>
              </w:rPr>
              <w:t>No</w:t>
            </w:r>
          </w:p>
        </w:tc>
        <w:tc>
          <w:tcPr>
            <w:tcW w:w="1247" w:type="dxa"/>
          </w:tcPr>
          <w:p w:rsidR="003D610D" w:rsidRDefault="003E19C5">
            <w:r>
              <w:rPr>
                <w:rFonts w:ascii="Times New Roman" w:eastAsia="Times New Roman" w:hAnsi="Times New Roman"/>
                <w:color w:val="1A1A1A"/>
                <w:sz w:val="16"/>
              </w:rPr>
              <w:t>Parcial</w:t>
            </w:r>
          </w:p>
        </w:tc>
        <w:tc>
          <w:tcPr>
            <w:tcW w:w="1247" w:type="dxa"/>
          </w:tcPr>
          <w:p w:rsidR="003D610D" w:rsidRDefault="003E19C5">
            <w:r>
              <w:rPr>
                <w:rFonts w:ascii="Times New Roman" w:eastAsia="Times New Roman" w:hAnsi="Times New Roman"/>
                <w:color w:val="1A1A1A"/>
                <w:sz w:val="16"/>
              </w:rPr>
              <w:t>No / parcial ML</w:t>
            </w:r>
          </w:p>
        </w:tc>
      </w:tr>
    </w:tbl>
    <w:p w:rsidR="00E24534" w:rsidRDefault="003F5A0B">
      <w:pPr>
        <w:spacing w:after="160" w:line="360" w:lineRule="auto"/>
        <w:jc w:val="both"/>
      </w:pPr>
      <w:r>
        <w:rPr>
          <w:rFonts w:ascii="Times New Roman" w:eastAsia="Times New Roman" w:hAnsi="Times New Roman" w:cs="Times New Roman"/>
          <w:iCs/>
          <w:color w:val="1A1A1A"/>
          <w:sz w:val="24"/>
        </w:rPr>
        <w:t>Tabla 16. Extracto DevOps de la matriz (los identificadores SHA constan en la Tabla 14).</w:t>
      </w:r>
    </w:p>
    <w:p w:rsidR="00E24534" w:rsidRDefault="003F5A0B">
      <w:pPr>
        <w:spacing w:before="240" w:after="120"/>
      </w:pPr>
      <w:r>
        <w:rPr>
          <w:rFonts w:ascii="Times New Roman" w:eastAsia="Times New Roman" w:hAnsi="Times New Roman" w:cs="Times New Roman"/>
          <w:b/>
          <w:bCs/>
          <w:color w:val="1A5F7A"/>
          <w:sz w:val="26"/>
        </w:rPr>
        <w:t>7.5 Uso de la matriz para mantenimiento</w:t>
      </w:r>
    </w:p>
    <w:p w:rsidR="003D610D" w:rsidRDefault="003E19C5">
      <w:pPr>
        <w:spacing w:after="160" w:line="360" w:lineRule="auto"/>
        <w:ind w:firstLine="425"/>
        <w:jc w:val="both"/>
      </w:pPr>
      <w:r>
        <w:rPr>
          <w:rFonts w:ascii="Times New Roman" w:eastAsia="Times New Roman" w:hAnsi="Times New Roman"/>
          <w:color w:val="1A1A1A"/>
          <w:sz w:val="24"/>
        </w:rPr>
        <w:t xml:space="preserve">Para un cambio futuro la matriz se usa así. Primero se ubica la función (por ejemplo inventario). Después se abre el prompt de origen y se leen medición, decisión y lección. Luego se abre el archivo en el commit de ancla, no necesariamente en la punta de la rama. Se ejecuta la prueba asociada. Si el cambio usa IA, se versiona un prompt nuevo o una </w:t>
      </w:r>
      <w:r>
        <w:rPr>
          <w:rFonts w:ascii="Times New Roman" w:eastAsia="Times New Roman" w:hAnsi="Times New Roman"/>
          <w:color w:val="1A1A1A"/>
          <w:sz w:val="24"/>
        </w:rPr>
        <w:lastRenderedPageBreak/>
        <w:t>vN+1, se cita en el commit y se actualizan iteraciones y estado DevOps en el Excel. Sin ese paso, la doble entrada se rompe.</w:t>
      </w:r>
    </w:p>
    <w:p w:rsidR="00E24534" w:rsidRDefault="00E24534"/>
    <w:p w:rsidR="00E24534" w:rsidRDefault="003F5A0B">
      <w:pPr>
        <w:spacing w:before="240" w:after="120"/>
      </w:pPr>
      <w:r>
        <w:rPr>
          <w:rFonts w:ascii="Times New Roman" w:eastAsia="Times New Roman" w:hAnsi="Times New Roman" w:cs="Times New Roman"/>
          <w:b/>
          <w:bCs/>
          <w:color w:val="1A5F7A"/>
          <w:sz w:val="26"/>
        </w:rPr>
        <w:t>7.6 Evidencia adjunta</w:t>
      </w:r>
    </w:p>
    <w:p w:rsidR="003D610D" w:rsidRDefault="003E19C5">
      <w:pPr>
        <w:spacing w:after="160" w:line="360" w:lineRule="auto"/>
        <w:ind w:firstLine="425"/>
        <w:jc w:val="both"/>
      </w:pPr>
      <w:r>
        <w:rPr>
          <w:rFonts w:ascii="Times New Roman" w:eastAsia="Times New Roman" w:hAnsi="Times New Roman"/>
          <w:color w:val="1A1A1A"/>
          <w:sz w:val="24"/>
        </w:rPr>
        <w:t>La evidencia primaria de la matriz se adjunta como Apéndice A.</w:t>
      </w:r>
    </w:p>
    <w:p w:rsidR="00E24534" w:rsidRDefault="00E24534"/>
    <w:p w:rsidR="00E24534" w:rsidRDefault="003F5A0B">
      <w:pPr>
        <w:pBdr>
          <w:bottom w:val="single" w:sz="8" w:space="4" w:color="1A5F7A"/>
        </w:pBdr>
        <w:spacing w:before="320" w:after="160"/>
      </w:pPr>
      <w:r>
        <w:rPr>
          <w:rFonts w:ascii="Times New Roman" w:eastAsia="Times New Roman" w:hAnsi="Times New Roman" w:cs="Times New Roman"/>
          <w:b/>
          <w:bCs/>
          <w:color w:val="1F3A5F"/>
          <w:sz w:val="30"/>
        </w:rPr>
        <w:t>8. Nivel de automatización agentica alcanzado</w:t>
      </w:r>
    </w:p>
    <w:p w:rsidR="00E24534" w:rsidRDefault="003F5A0B">
      <w:pPr>
        <w:spacing w:before="240" w:after="120"/>
      </w:pPr>
      <w:r>
        <w:rPr>
          <w:rFonts w:ascii="Times New Roman" w:eastAsia="Times New Roman" w:hAnsi="Times New Roman" w:cs="Times New Roman"/>
          <w:b/>
          <w:bCs/>
          <w:color w:val="1A5F7A"/>
          <w:sz w:val="26"/>
        </w:rPr>
        <w:t>8.1 Nivel alcanzado</w:t>
      </w:r>
    </w:p>
    <w:p w:rsidR="003D610D" w:rsidRDefault="003E19C5">
      <w:pPr>
        <w:spacing w:after="160" w:line="360" w:lineRule="auto"/>
        <w:ind w:firstLine="425"/>
        <w:jc w:val="both"/>
      </w:pPr>
      <w:r>
        <w:rPr>
          <w:rFonts w:ascii="Times New Roman" w:eastAsia="Times New Roman" w:hAnsi="Times New Roman"/>
          <w:color w:val="1A1A1A"/>
          <w:sz w:val="24"/>
        </w:rPr>
        <w:t>Se alcanzó el nivel N2, ilustrado en la Figura 13: un agente acotado genera artefactos y el responsable humano define el prompt, revisa, prueba e integra. No hubo encadenamiento autónomo de agentes en producción.</w:t>
      </w:r>
    </w:p>
    <w:p w:rsidR="00E24534" w:rsidRDefault="00E24534"/>
    <w:p w:rsidR="00E24534" w:rsidRDefault="003F5A0B">
      <w:pPr>
        <w:spacing w:before="120" w:after="40" w:line="240" w:lineRule="auto"/>
        <w:jc w:val="center"/>
      </w:pPr>
      <w:r>
        <w:rPr>
          <w:noProof/>
        </w:rPr>
        <w:drawing>
          <wp:inline distT="0" distB="0" distL="0" distR="0" wp14:anchorId="674AE163" wp14:editId="3EB5805C">
            <wp:extent cx="5581650" cy="1933575"/>
            <wp:effectExtent l="0" t="0" r="0" b="0"/>
            <wp:docPr id="100010"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pic:cNvPicPr/>
                  </pic:nvPicPr>
                  <pic:blipFill>
                    <a:blip r:embed="rId25"/>
                    <a:stretch>
                      <a:fillRect/>
                    </a:stretch>
                  </pic:blipFill>
                  <pic:spPr>
                    <a:xfrm>
                      <a:off x="0" y="0"/>
                      <a:ext cx="5581650" cy="1933575"/>
                    </a:xfrm>
                    <a:prstGeom prst="rect">
                      <a:avLst/>
                    </a:prstGeom>
                  </pic:spPr>
                </pic:pic>
              </a:graphicData>
            </a:graphic>
          </wp:inline>
        </w:drawing>
      </w:r>
    </w:p>
    <w:p w:rsidR="00E24534" w:rsidRDefault="003F5A0B">
      <w:pPr>
        <w:spacing w:before="80" w:after="240" w:line="240" w:lineRule="auto"/>
        <w:jc w:val="center"/>
      </w:pPr>
      <w:r>
        <w:rPr>
          <w:rFonts w:ascii="Times New Roman" w:eastAsia="Times New Roman" w:hAnsi="Times New Roman" w:cs="Times New Roman"/>
          <w:i/>
          <w:iCs/>
          <w:color w:val="4A5568"/>
          <w:sz w:val="20"/>
        </w:rPr>
        <w:t>Figura 13. Escala N1–N5. En este caso se alcanzó el nivel N2 (asistido / agentico acotado).</w:t>
      </w:r>
    </w:p>
    <w:p w:rsidR="00E24534" w:rsidRDefault="003F5A0B">
      <w:pPr>
        <w:spacing w:before="240" w:after="120"/>
      </w:pPr>
      <w:r>
        <w:rPr>
          <w:rFonts w:ascii="Times New Roman" w:eastAsia="Times New Roman" w:hAnsi="Times New Roman" w:cs="Times New Roman"/>
          <w:b/>
          <w:bCs/>
          <w:color w:val="1A5F7A"/>
          <w:sz w:val="26"/>
        </w:rPr>
        <w:t>8.2 Justificación de no avanzar a niveles superiores</w:t>
      </w:r>
    </w:p>
    <w:p w:rsidR="003D610D" w:rsidRDefault="003E19C5">
      <w:pPr>
        <w:spacing w:after="160" w:line="360" w:lineRule="auto"/>
        <w:ind w:firstLine="425"/>
        <w:jc w:val="both"/>
      </w:pPr>
      <w:r>
        <w:rPr>
          <w:rFonts w:ascii="Times New Roman" w:eastAsia="Times New Roman" w:hAnsi="Times New Roman"/>
          <w:color w:val="1A1A1A"/>
          <w:sz w:val="24"/>
        </w:rPr>
        <w:t>No se avanzó a los niveles N3 a N5 porque el caso corresponde a una entidad pública, existen secretos y datos patrimoniales, y la tesis exige poder explicar cada decisión.</w:t>
      </w:r>
    </w:p>
    <w:p w:rsidR="00E24534" w:rsidRDefault="00E24534"/>
    <w:p w:rsidR="00E24534" w:rsidRDefault="003F5A0B">
      <w:pPr>
        <w:spacing w:before="240" w:after="120"/>
      </w:pPr>
      <w:r>
        <w:rPr>
          <w:rFonts w:ascii="Times New Roman" w:eastAsia="Times New Roman" w:hAnsi="Times New Roman" w:cs="Times New Roman"/>
          <w:b/>
          <w:bCs/>
          <w:color w:val="1A5F7A"/>
          <w:sz w:val="26"/>
        </w:rPr>
        <w:t>8.3 Reglas de control</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ayout w:type="fixed"/>
        <w:tblLook w:val="07E0" w:firstRow="1" w:lastRow="1" w:firstColumn="1" w:lastColumn="1" w:noHBand="1" w:noVBand="1"/>
      </w:tblPr>
      <w:tblGrid>
        <w:gridCol w:w="2835"/>
        <w:gridCol w:w="3118"/>
        <w:gridCol w:w="2835"/>
      </w:tblGrid>
      <w:tr w:rsidR="00E24534">
        <w:trPr>
          <w:jc w:val="center"/>
        </w:trPr>
        <w:tc>
          <w:tcPr>
            <w:tcW w:w="2835"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Regla</w:t>
            </w:r>
          </w:p>
        </w:tc>
        <w:tc>
          <w:tcPr>
            <w:tcW w:w="3118"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Qué prohíbe o exige</w:t>
            </w:r>
          </w:p>
        </w:tc>
        <w:tc>
          <w:tcPr>
            <w:tcW w:w="2835"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Dónde está escrita</w:t>
            </w:r>
          </w:p>
        </w:tc>
      </w:tr>
      <w:tr w:rsidR="003D610D">
        <w:trPr>
          <w:jc w:val="center"/>
        </w:trPr>
        <w:tc>
          <w:tcPr>
            <w:tcW w:w="2835" w:type="dxa"/>
          </w:tcPr>
          <w:p w:rsidR="003D610D" w:rsidRDefault="003E19C5">
            <w:r>
              <w:rPr>
                <w:rFonts w:ascii="Times New Roman" w:eastAsia="Times New Roman" w:hAnsi="Times New Roman"/>
                <w:color w:val="1A1A1A"/>
                <w:sz w:val="16"/>
              </w:rPr>
              <w:t>Criterio de parada</w:t>
            </w:r>
          </w:p>
        </w:tc>
        <w:tc>
          <w:tcPr>
            <w:tcW w:w="3118" w:type="dxa"/>
          </w:tcPr>
          <w:p w:rsidR="003D610D" w:rsidRDefault="003E19C5">
            <w:r>
              <w:rPr>
                <w:rFonts w:ascii="Times New Roman" w:eastAsia="Times New Roman" w:hAnsi="Times New Roman"/>
                <w:color w:val="1A1A1A"/>
                <w:sz w:val="16"/>
              </w:rPr>
              <w:t>No se itera sin decisión D2</w:t>
            </w:r>
          </w:p>
        </w:tc>
        <w:tc>
          <w:tcPr>
            <w:tcW w:w="2835" w:type="dxa"/>
          </w:tcPr>
          <w:p w:rsidR="003D610D" w:rsidRDefault="003E19C5">
            <w:r>
              <w:rPr>
                <w:rFonts w:ascii="Times New Roman" w:eastAsia="Times New Roman" w:hAnsi="Times New Roman"/>
                <w:color w:val="1A1A1A"/>
                <w:sz w:val="16"/>
              </w:rPr>
              <w:t>Apartado 6</w:t>
            </w:r>
          </w:p>
        </w:tc>
      </w:tr>
      <w:tr w:rsidR="003D610D">
        <w:trPr>
          <w:jc w:val="center"/>
        </w:trPr>
        <w:tc>
          <w:tcPr>
            <w:tcW w:w="2835" w:type="dxa"/>
          </w:tcPr>
          <w:p w:rsidR="003D610D" w:rsidRDefault="003E19C5">
            <w:r>
              <w:rPr>
                <w:rFonts w:ascii="Times New Roman" w:eastAsia="Times New Roman" w:hAnsi="Times New Roman"/>
                <w:color w:val="1A1A1A"/>
                <w:sz w:val="16"/>
              </w:rPr>
              <w:t>Alcance del agente</w:t>
            </w:r>
          </w:p>
        </w:tc>
        <w:tc>
          <w:tcPr>
            <w:tcW w:w="3118" w:type="dxa"/>
          </w:tcPr>
          <w:p w:rsidR="003D610D" w:rsidRDefault="003E19C5">
            <w:r>
              <w:rPr>
                <w:rFonts w:ascii="Times New Roman" w:eastAsia="Times New Roman" w:hAnsi="Times New Roman"/>
                <w:color w:val="1A1A1A"/>
                <w:sz w:val="16"/>
              </w:rPr>
              <w:t>No se encadenan agentes sin revisión humana</w:t>
            </w:r>
          </w:p>
        </w:tc>
        <w:tc>
          <w:tcPr>
            <w:tcW w:w="2835" w:type="dxa"/>
          </w:tcPr>
          <w:p w:rsidR="003D610D" w:rsidRDefault="003E19C5">
            <w:r>
              <w:rPr>
                <w:rFonts w:ascii="Times New Roman" w:eastAsia="Times New Roman" w:hAnsi="Times New Roman"/>
                <w:color w:val="1A1A1A"/>
                <w:sz w:val="16"/>
              </w:rPr>
              <w:t>Apartado 8.1</w:t>
            </w:r>
          </w:p>
        </w:tc>
      </w:tr>
      <w:tr w:rsidR="003D610D">
        <w:trPr>
          <w:jc w:val="center"/>
        </w:trPr>
        <w:tc>
          <w:tcPr>
            <w:tcW w:w="2835" w:type="dxa"/>
          </w:tcPr>
          <w:p w:rsidR="003D610D" w:rsidRDefault="003E19C5">
            <w:r>
              <w:rPr>
                <w:rFonts w:ascii="Times New Roman" w:eastAsia="Times New Roman" w:hAnsi="Times New Roman"/>
                <w:color w:val="1A1A1A"/>
                <w:sz w:val="16"/>
              </w:rPr>
              <w:lastRenderedPageBreak/>
              <w:t>Techo de autonomía</w:t>
            </w:r>
          </w:p>
        </w:tc>
        <w:tc>
          <w:tcPr>
            <w:tcW w:w="3118" w:type="dxa"/>
          </w:tcPr>
          <w:p w:rsidR="003D610D" w:rsidRDefault="003E19C5">
            <w:r>
              <w:rPr>
                <w:rFonts w:ascii="Times New Roman" w:eastAsia="Times New Roman" w:hAnsi="Times New Roman"/>
                <w:color w:val="1A1A1A"/>
                <w:sz w:val="16"/>
              </w:rPr>
              <w:t>No se adoptan los niveles N4–N5 en producción</w:t>
            </w:r>
          </w:p>
        </w:tc>
        <w:tc>
          <w:tcPr>
            <w:tcW w:w="2835" w:type="dxa"/>
          </w:tcPr>
          <w:p w:rsidR="003D610D" w:rsidRDefault="003E19C5">
            <w:r>
              <w:rPr>
                <w:rFonts w:ascii="Times New Roman" w:eastAsia="Times New Roman" w:hAnsi="Times New Roman"/>
                <w:color w:val="1A1A1A"/>
                <w:sz w:val="16"/>
              </w:rPr>
              <w:t>Apartado 8.2</w:t>
            </w:r>
          </w:p>
        </w:tc>
      </w:tr>
    </w:tbl>
    <w:p w:rsidR="00E24534" w:rsidRDefault="003F5A0B">
      <w:pPr>
        <w:spacing w:before="80" w:after="240" w:line="240" w:lineRule="auto"/>
        <w:jc w:val="center"/>
      </w:pPr>
      <w:r>
        <w:rPr>
          <w:rFonts w:ascii="Times New Roman" w:eastAsia="Times New Roman" w:hAnsi="Times New Roman" w:cs="Times New Roman"/>
          <w:i/>
          <w:iCs/>
          <w:color w:val="4A5568"/>
          <w:sz w:val="20"/>
        </w:rPr>
        <w:t>Tabla 17. Reglas de control del nivel de automatización.</w:t>
      </w:r>
    </w:p>
    <w:p w:rsidR="00E24534" w:rsidRDefault="003F5A0B">
      <w:pPr>
        <w:pBdr>
          <w:bottom w:val="single" w:sz="8" w:space="4" w:color="1A5F7A"/>
        </w:pBdr>
        <w:spacing w:before="320" w:after="160"/>
      </w:pPr>
      <w:r>
        <w:rPr>
          <w:rFonts w:ascii="Times New Roman" w:eastAsia="Times New Roman" w:hAnsi="Times New Roman" w:cs="Times New Roman"/>
          <w:b/>
          <w:bCs/>
          <w:color w:val="1F3A5F"/>
          <w:sz w:val="30"/>
        </w:rPr>
        <w:t>9. Seguridad, gobernanza y monitoreo</w:t>
      </w:r>
    </w:p>
    <w:p w:rsidR="00E24534" w:rsidRDefault="003F5A0B">
      <w:pPr>
        <w:spacing w:before="240" w:after="120"/>
      </w:pPr>
      <w:r>
        <w:rPr>
          <w:rFonts w:ascii="Times New Roman" w:eastAsia="Times New Roman" w:hAnsi="Times New Roman" w:cs="Times New Roman"/>
          <w:b/>
          <w:bCs/>
          <w:color w:val="1A5F7A"/>
          <w:sz w:val="26"/>
        </w:rPr>
        <w:t>9.1 Guardrails en los prompts</w:t>
      </w:r>
    </w:p>
    <w:p w:rsidR="003D610D" w:rsidRDefault="003E19C5">
      <w:pPr>
        <w:spacing w:after="160" w:line="360" w:lineRule="auto"/>
        <w:ind w:firstLine="425"/>
        <w:jc w:val="both"/>
      </w:pPr>
      <w:r>
        <w:rPr>
          <w:rFonts w:ascii="Times New Roman" w:eastAsia="Times New Roman" w:hAnsi="Times New Roman"/>
          <w:color w:val="1A1A1A"/>
          <w:sz w:val="24"/>
        </w:rPr>
        <w:t>La seguridad se gestiona en dos momentos, ambos con evidencia. Antes de ejecutar el prompt, en la anatomía D1: el bloque No hacer prohíbe secretos, datos personales reales, reescritura total de V1 y dependencias no autorizadas; las restricciones anclan el modelo al SQL y a los ADR existentes; la tarea se acota a un incremento para que el agente no invente módulos. Después de generar, el control posterior es revisión humana, pruebas, diff en GitHub y, cuando el hallazgo es de autorización, un prompt nuevo (I-009). El cruce riesgo–guardrail–control está en la Tabla 18.</w:t>
      </w:r>
    </w:p>
    <w:p w:rsidR="003D610D" w:rsidRDefault="003E19C5">
      <w:pPr>
        <w:spacing w:after="160" w:line="360" w:lineRule="auto"/>
        <w:ind w:firstLine="425"/>
        <w:jc w:val="both"/>
      </w:pPr>
      <w:r>
        <w:rPr>
          <w:rFonts w:ascii="Times New Roman" w:eastAsia="Times New Roman" w:hAnsi="Times New Roman"/>
          <w:color w:val="1A1A1A"/>
          <w:sz w:val="24"/>
        </w:rPr>
        <w:t>La gobernanza no es un comité aparte: es la política v1.3 (apartado 4.1 y Tabla 6), el catálogo de prompts, el registro D2, los ADR y el DoD. Cursor Agent genera; el tesista define el prompt, revisa, prueba e integra. No hay encadenamiento de agentes sin revisión por paso. Los secretos (local.php, JWT, contraseñas) permanecen fuera de Git, con respaldo en M-004. Las decisiones de arquitectura no se dejan en un comentario del chat: ADR-001 (stack) y ADR-002 (degradación del ML si el servicio no responde).</w:t>
      </w:r>
    </w:p>
    <w:p w:rsidR="00E24534" w:rsidRDefault="00E24534"/>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ayout w:type="fixed"/>
        <w:tblLook w:val="07E0" w:firstRow="1" w:lastRow="1" w:firstColumn="1" w:lastColumn="1" w:noHBand="1" w:noVBand="1"/>
      </w:tblPr>
      <w:tblGrid>
        <w:gridCol w:w="2608"/>
        <w:gridCol w:w="3175"/>
        <w:gridCol w:w="3005"/>
      </w:tblGrid>
      <w:tr w:rsidR="00E24534">
        <w:trPr>
          <w:jc w:val="center"/>
        </w:trPr>
        <w:tc>
          <w:tcPr>
            <w:tcW w:w="2608"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Riesgo</w:t>
            </w:r>
          </w:p>
        </w:tc>
        <w:tc>
          <w:tcPr>
            <w:tcW w:w="3175"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Guardrail en el prompt (D1)</w:t>
            </w:r>
          </w:p>
        </w:tc>
        <w:tc>
          <w:tcPr>
            <w:tcW w:w="3005"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Control posterior</w:t>
            </w:r>
          </w:p>
        </w:tc>
      </w:tr>
      <w:tr w:rsidR="00E24534">
        <w:trPr>
          <w:cantSplit/>
          <w:jc w:val="center"/>
        </w:trPr>
        <w:tc>
          <w:tcPr>
            <w:tcW w:w="260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Alucinación de APIs o tablas</w:t>
            </w:r>
          </w:p>
        </w:tc>
        <w:tc>
          <w:tcPr>
            <w:tcW w:w="3175"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Restricciones + entradas (SQL/ADR existentes)</w:t>
            </w:r>
          </w:p>
        </w:tc>
        <w:tc>
          <w:tcPr>
            <w:tcW w:w="3005"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Revisión humana + pruebas</w:t>
            </w:r>
          </w:p>
        </w:tc>
      </w:tr>
      <w:tr w:rsidR="00E24534">
        <w:trPr>
          <w:cantSplit/>
          <w:jc w:val="center"/>
        </w:trPr>
        <w:tc>
          <w:tcPr>
            <w:tcW w:w="260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Secretos en el chat o en el repo</w:t>
            </w:r>
          </w:p>
        </w:tc>
        <w:tc>
          <w:tcPr>
            <w:tcW w:w="3175"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«No secretos» en No hacer</w:t>
            </w:r>
          </w:p>
        </w:tc>
        <w:tc>
          <w:tcPr>
            <w:tcW w:w="3005"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local.php fuera de git; M-004</w:t>
            </w:r>
          </w:p>
        </w:tc>
      </w:tr>
      <w:tr w:rsidR="00E24534">
        <w:trPr>
          <w:cantSplit/>
          <w:jc w:val="center"/>
        </w:trPr>
        <w:tc>
          <w:tcPr>
            <w:tcW w:w="260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Alcance inflado (módulos inventados)</w:t>
            </w:r>
          </w:p>
        </w:tc>
        <w:tc>
          <w:tcPr>
            <w:tcW w:w="3175"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Tarea acotada al incremento</w:t>
            </w:r>
          </w:p>
        </w:tc>
        <w:tc>
          <w:tcPr>
            <w:tcW w:w="3005"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DoD + un I-* por incremento</w:t>
            </w:r>
          </w:p>
        </w:tc>
      </w:tr>
      <w:tr w:rsidR="00E24534">
        <w:trPr>
          <w:cantSplit/>
          <w:jc w:val="center"/>
        </w:trPr>
        <w:tc>
          <w:tcPr>
            <w:tcW w:w="260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Código inseguro (UI sin RBAC)</w:t>
            </w:r>
          </w:p>
        </w:tc>
        <w:tc>
          <w:tcPr>
            <w:tcW w:w="3175"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Criterios de aceptación</w:t>
            </w:r>
          </w:p>
        </w:tc>
        <w:tc>
          <w:tcPr>
            <w:tcW w:w="3005"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I-009 requireRole; tests</w:t>
            </w:r>
          </w:p>
        </w:tc>
      </w:tr>
      <w:tr w:rsidR="00E24534">
        <w:trPr>
          <w:cantSplit/>
          <w:jc w:val="center"/>
        </w:trPr>
        <w:tc>
          <w:tcPr>
            <w:tcW w:w="260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Reescritura total / IP</w:t>
            </w:r>
          </w:p>
        </w:tc>
        <w:tc>
          <w:tcPr>
            <w:tcW w:w="3175"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No reescribir V1; no dependencias no autorizadas</w:t>
            </w:r>
          </w:p>
        </w:tc>
        <w:tc>
          <w:tcPr>
            <w:tcW w:w="3005"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Diff de GitHub</w:t>
            </w:r>
          </w:p>
        </w:tc>
      </w:tr>
    </w:tbl>
    <w:p w:rsidR="00E24534" w:rsidRDefault="003F5A0B">
      <w:pPr>
        <w:spacing w:before="80" w:after="240" w:line="240" w:lineRule="auto"/>
        <w:jc w:val="center"/>
      </w:pPr>
      <w:r>
        <w:rPr>
          <w:rFonts w:ascii="Times New Roman" w:eastAsia="Times New Roman" w:hAnsi="Times New Roman" w:cs="Times New Roman"/>
          <w:i/>
          <w:iCs/>
          <w:color w:val="4A5568"/>
          <w:sz w:val="20"/>
        </w:rPr>
        <w:t>Tabla 18. Riesgo, guardrail en el prompt y control posterior.</w:t>
      </w:r>
    </w:p>
    <w:p w:rsidR="00E24534" w:rsidRDefault="003F5A0B">
      <w:pPr>
        <w:spacing w:before="240" w:after="120"/>
      </w:pPr>
      <w:r>
        <w:rPr>
          <w:rFonts w:ascii="Times New Roman" w:eastAsia="Times New Roman" w:hAnsi="Times New Roman" w:cs="Times New Roman"/>
          <w:b/>
          <w:bCs/>
          <w:color w:val="1A5F7A"/>
          <w:sz w:val="26"/>
        </w:rPr>
        <w:t>9.2 Monitoreo</w:t>
      </w:r>
    </w:p>
    <w:p w:rsidR="003D610D" w:rsidRDefault="003E19C5">
      <w:pPr>
        <w:spacing w:after="160" w:line="360" w:lineRule="auto"/>
        <w:ind w:firstLine="425"/>
        <w:jc w:val="both"/>
      </w:pPr>
      <w:r>
        <w:rPr>
          <w:rFonts w:ascii="Times New Roman" w:eastAsia="Times New Roman" w:hAnsi="Times New Roman"/>
          <w:color w:val="1A1A1A"/>
          <w:sz w:val="24"/>
        </w:rPr>
        <w:t xml:space="preserve">El sistema aún no está en producción institucional. El monitoreo que se describe aquí es el de desarrollo y de preparación para el despliegue, no un monitor de aplicaciones en servidor público. En cada incremento se revisan: resultados de PHPUnit, Vitest y pytest; el plan funcional T-001; errores de autenticación en el flujo local; y el comportamiento de </w:t>
      </w:r>
      <w:r>
        <w:rPr>
          <w:rFonts w:ascii="Times New Roman" w:eastAsia="Times New Roman" w:hAnsi="Times New Roman"/>
          <w:color w:val="1A1A1A"/>
          <w:sz w:val="24"/>
        </w:rPr>
        <w:lastRenderedPageBreak/>
        <w:t>degradación del componente predictivo según ADR-002 (la interfaz no debe quedar en blanco si FastAPI no responde). No se implantó APM ni bitácora centralizada de producción.</w:t>
      </w:r>
    </w:p>
    <w:p w:rsidR="003D610D" w:rsidRDefault="003E19C5">
      <w:pPr>
        <w:spacing w:after="160" w:line="360" w:lineRule="auto"/>
        <w:ind w:firstLine="425"/>
        <w:jc w:val="both"/>
      </w:pPr>
      <w:r>
        <w:rPr>
          <w:rFonts w:ascii="Times New Roman" w:eastAsia="Times New Roman" w:hAnsi="Times New Roman"/>
          <w:color w:val="1A1A1A"/>
          <w:sz w:val="24"/>
        </w:rPr>
        <w:t>Cuando exista publicación, el control previsto es M-001: pruebas de humo, comprobación de que los secretos no viajaron al repositorio y plan de retorno (M-004). Hasta entonces, la frecuencia de revisión es la del propio incremento y la de cada decisión D2, no un tablero 24/7. Esa limitación se declara para no atribuir al caso una operación que todavía no tiene.</w:t>
      </w:r>
    </w:p>
    <w:p w:rsidR="00E24534" w:rsidRDefault="00E24534"/>
    <w:p w:rsidR="00E24534" w:rsidRDefault="003F5A0B">
      <w:pPr>
        <w:spacing w:before="240" w:after="120"/>
      </w:pPr>
      <w:r>
        <w:rPr>
          <w:rFonts w:ascii="Times New Roman" w:eastAsia="Times New Roman" w:hAnsi="Times New Roman" w:cs="Times New Roman"/>
          <w:b/>
          <w:bCs/>
          <w:color w:val="1A5F7A"/>
          <w:sz w:val="26"/>
        </w:rPr>
        <w:t>9.3 Cumplimiento de la política de uso de IA</w:t>
      </w:r>
    </w:p>
    <w:p w:rsidR="003D610D" w:rsidRDefault="003E19C5">
      <w:pPr>
        <w:spacing w:after="160" w:line="360" w:lineRule="auto"/>
        <w:ind w:firstLine="425"/>
        <w:jc w:val="both"/>
      </w:pPr>
      <w:r>
        <w:rPr>
          <w:rFonts w:ascii="Times New Roman" w:eastAsia="Times New Roman" w:hAnsi="Times New Roman"/>
          <w:color w:val="1A1A1A"/>
          <w:sz w:val="24"/>
        </w:rPr>
        <w:t>El cumplimiento de la política v1.3 se actualiza con la evidencia del propio anexo, no con una declaración genérica. Las reglas 1 a 5 y 8 de la Tabla 6 están cubiertas: hay revisor en cada registro, no hay secretos en el repositorio, los prompts viven en GitHub, existen ADR-001 y ADR-002, se ejecutan pruebas por runner y los macros Superados ya no se citan. La regla 6 (poder mantener el código sin el modelo) se cumple en la medida en que un solo desarrollador-revisor puede explicar los incrementos; no hay un segundo par independiente.</w:t>
      </w:r>
    </w:p>
    <w:p w:rsidR="003D610D" w:rsidRDefault="003E19C5">
      <w:pPr>
        <w:spacing w:after="160" w:line="360" w:lineRule="auto"/>
        <w:ind w:firstLine="425"/>
        <w:jc w:val="both"/>
      </w:pPr>
      <w:r>
        <w:rPr>
          <w:rFonts w:ascii="Times New Roman" w:eastAsia="Times New Roman" w:hAnsi="Times New Roman"/>
          <w:color w:val="1A1A1A"/>
          <w:sz w:val="24"/>
        </w:rPr>
        <w:t>La regla 7 se cumple de forma honesta y parcial: los registros distinguen Reconstruido y Ejecutado, pero una parte de los I-* se documentó a posteriori. No hay todavía una auditoría periódica formal de la política (apartado 12). En síntesis: la política está operativa como disciplina de trabajo y como evidencia versionada; no está certificada ni auditada por un tercero, y el caso no debe presentarse como un despliegue en producción ya gobernado de punta a punta.</w:t>
      </w:r>
    </w:p>
    <w:p w:rsidR="00E24534" w:rsidRDefault="00E24534"/>
    <w:p w:rsidR="00E24534" w:rsidRDefault="003F5A0B">
      <w:pPr>
        <w:pBdr>
          <w:bottom w:val="single" w:sz="8" w:space="4" w:color="1A5F7A"/>
        </w:pBdr>
        <w:spacing w:before="320" w:after="160"/>
      </w:pPr>
      <w:r>
        <w:rPr>
          <w:rFonts w:ascii="Times New Roman" w:eastAsia="Times New Roman" w:hAnsi="Times New Roman" w:cs="Times New Roman"/>
          <w:b/>
          <w:bCs/>
          <w:color w:val="1F3A5F"/>
          <w:sz w:val="30"/>
        </w:rPr>
        <w:t>10. Trazabilidad de artefactos (síntesis)</w:t>
      </w:r>
    </w:p>
    <w:p w:rsidR="003D610D" w:rsidRDefault="003E19C5">
      <w:pPr>
        <w:spacing w:after="160" w:line="360" w:lineRule="auto"/>
        <w:ind w:firstLine="425"/>
        <w:jc w:val="both"/>
      </w:pPr>
      <w:r>
        <w:rPr>
          <w:rFonts w:ascii="Times New Roman" w:eastAsia="Times New Roman" w:hAnsi="Times New Roman"/>
          <w:color w:val="1A1A1A"/>
          <w:sz w:val="24"/>
        </w:rPr>
        <w:t>La Tabla 19 resume cuatro hilos de trazabilidad. El detalle por función se encuentra en el apartado 7 y en la Tabla 14.</w:t>
      </w:r>
    </w:p>
    <w:p w:rsidR="00E24534" w:rsidRDefault="00E24534"/>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ayout w:type="fixed"/>
        <w:tblLook w:val="07E0" w:firstRow="1" w:lastRow="1" w:firstColumn="1" w:lastColumn="1" w:noHBand="1" w:noVBand="1"/>
      </w:tblPr>
      <w:tblGrid>
        <w:gridCol w:w="1587"/>
        <w:gridCol w:w="1020"/>
        <w:gridCol w:w="2381"/>
        <w:gridCol w:w="1928"/>
        <w:gridCol w:w="1020"/>
        <w:gridCol w:w="850"/>
      </w:tblGrid>
      <w:tr w:rsidR="00E24534">
        <w:trPr>
          <w:jc w:val="center"/>
        </w:trPr>
        <w:tc>
          <w:tcPr>
            <w:tcW w:w="1587"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HU (ejemplo)</w:t>
            </w:r>
          </w:p>
        </w:tc>
        <w:tc>
          <w:tcPr>
            <w:tcW w:w="1020"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Prompt</w:t>
            </w:r>
          </w:p>
        </w:tc>
        <w:tc>
          <w:tcPr>
            <w:tcW w:w="2381"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Diseño</w:t>
            </w:r>
          </w:p>
        </w:tc>
        <w:tc>
          <w:tcPr>
            <w:tcW w:w="1928"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Código</w:t>
            </w:r>
          </w:p>
        </w:tc>
        <w:tc>
          <w:tcPr>
            <w:tcW w:w="1020"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Test</w:t>
            </w:r>
          </w:p>
        </w:tc>
        <w:tc>
          <w:tcPr>
            <w:tcW w:w="850"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Versión</w:t>
            </w:r>
          </w:p>
        </w:tc>
      </w:tr>
      <w:tr w:rsidR="00E24534">
        <w:trPr>
          <w:cantSplit/>
          <w:jc w:val="center"/>
        </w:trPr>
        <w:tc>
          <w:tcPr>
            <w:tcW w:w="158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lastRenderedPageBreak/>
              <w:t>HU-INV-001 / 002</w:t>
            </w:r>
          </w:p>
        </w:tc>
        <w:tc>
          <w:tcPr>
            <w:tcW w:w="1020"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I-002</w:t>
            </w:r>
          </w:p>
        </w:tc>
        <w:tc>
          <w:tcPr>
            <w:tcW w:w="238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Contrato /equipos; ER v2_equipos</w:t>
            </w:r>
          </w:p>
        </w:tc>
        <w:tc>
          <w:tcPr>
            <w:tcW w:w="192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EquipoController.php</w:t>
            </w:r>
          </w:p>
        </w:tc>
        <w:tc>
          <w:tcPr>
            <w:tcW w:w="1020"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Plan T-001 / PHPUnit equipos</w:t>
            </w:r>
          </w:p>
        </w:tc>
        <w:tc>
          <w:tcPr>
            <w:tcW w:w="850"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0.2.0</w:t>
            </w:r>
          </w:p>
        </w:tc>
      </w:tr>
      <w:tr w:rsidR="00E24534">
        <w:trPr>
          <w:cantSplit/>
          <w:jc w:val="center"/>
        </w:trPr>
        <w:tc>
          <w:tcPr>
            <w:tcW w:w="158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HU-MANT (ficha y timeline)</w:t>
            </w:r>
          </w:p>
        </w:tc>
        <w:tc>
          <w:tcPr>
            <w:tcW w:w="1020"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I-003</w:t>
            </w:r>
          </w:p>
        </w:tc>
        <w:tc>
          <w:tcPr>
            <w:tcW w:w="238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Ficha de mantenimiento</w:t>
            </w:r>
          </w:p>
        </w:tc>
        <w:tc>
          <w:tcPr>
            <w:tcW w:w="192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MantenimientoController.php</w:t>
            </w:r>
          </w:p>
        </w:tc>
        <w:tc>
          <w:tcPr>
            <w:tcW w:w="1020"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Plan T-001 mantenimiento</w:t>
            </w:r>
          </w:p>
        </w:tc>
        <w:tc>
          <w:tcPr>
            <w:tcW w:w="850"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0.3.0</w:t>
            </w:r>
          </w:p>
        </w:tc>
      </w:tr>
      <w:tr w:rsidR="00E24534">
        <w:trPr>
          <w:cantSplit/>
          <w:jc w:val="center"/>
        </w:trPr>
        <w:tc>
          <w:tcPr>
            <w:tcW w:w="158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HU-ML (riesgo / lote)</w:t>
            </w:r>
          </w:p>
        </w:tc>
        <w:tc>
          <w:tcPr>
            <w:tcW w:w="1020"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I-007</w:t>
            </w:r>
          </w:p>
        </w:tc>
        <w:tc>
          <w:tcPr>
            <w:tcW w:w="238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D-005, ADR-002</w:t>
            </w:r>
          </w:p>
        </w:tc>
        <w:tc>
          <w:tcPr>
            <w:tcW w:w="192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ml/app/main.py</w:t>
            </w:r>
          </w:p>
        </w:tc>
        <w:tc>
          <w:tcPr>
            <w:tcW w:w="1020"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pytest T-004</w:t>
            </w:r>
          </w:p>
        </w:tc>
        <w:tc>
          <w:tcPr>
            <w:tcW w:w="850"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0.7.0</w:t>
            </w:r>
          </w:p>
        </w:tc>
      </w:tr>
      <w:tr w:rsidR="00E24534">
        <w:trPr>
          <w:cantSplit/>
          <w:jc w:val="center"/>
        </w:trPr>
        <w:tc>
          <w:tcPr>
            <w:tcW w:w="158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AUTH-005 / CFG-006</w:t>
            </w:r>
          </w:p>
        </w:tc>
        <w:tc>
          <w:tcPr>
            <w:tcW w:w="1020"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I-009</w:t>
            </w:r>
          </w:p>
        </w:tc>
        <w:tc>
          <w:tcPr>
            <w:tcW w:w="238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RBAC</w:t>
            </w:r>
          </w:p>
        </w:tc>
        <w:tc>
          <w:tcPr>
            <w:tcW w:w="192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requireRole + Navbar</w:t>
            </w:r>
          </w:p>
        </w:tc>
        <w:tc>
          <w:tcPr>
            <w:tcW w:w="1020"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T-002</w:t>
            </w:r>
          </w:p>
        </w:tc>
        <w:tc>
          <w:tcPr>
            <w:tcW w:w="850"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0.9.1</w:t>
            </w:r>
          </w:p>
        </w:tc>
      </w:tr>
    </w:tbl>
    <w:p w:rsidR="00E24534" w:rsidRDefault="003F5A0B">
      <w:pPr>
        <w:spacing w:before="80" w:after="240" w:line="240" w:lineRule="auto"/>
        <w:jc w:val="center"/>
      </w:pPr>
      <w:r>
        <w:rPr>
          <w:rFonts w:ascii="Times New Roman" w:eastAsia="Times New Roman" w:hAnsi="Times New Roman" w:cs="Times New Roman"/>
          <w:i/>
          <w:iCs/>
          <w:color w:val="4A5568"/>
          <w:sz w:val="20"/>
        </w:rPr>
        <w:t>Tabla 19. Síntesis de trazabilidad HU → prompt → diseño → código → test → versión.</w:t>
      </w:r>
    </w:p>
    <w:p w:rsidR="00E24534" w:rsidRDefault="003F5A0B">
      <w:pPr>
        <w:pBdr>
          <w:bottom w:val="single" w:sz="8" w:space="4" w:color="1A5F7A"/>
        </w:pBdr>
        <w:spacing w:before="320" w:after="160"/>
      </w:pPr>
      <w:r>
        <w:rPr>
          <w:rFonts w:ascii="Times New Roman" w:eastAsia="Times New Roman" w:hAnsi="Times New Roman" w:cs="Times New Roman"/>
          <w:b/>
          <w:bCs/>
          <w:color w:val="1F3A5F"/>
          <w:sz w:val="30"/>
        </w:rPr>
        <w:t>11. Métricas de proceso de la intervención</w:t>
      </w:r>
    </w:p>
    <w:p w:rsidR="003D610D" w:rsidRDefault="003E19C5">
      <w:pPr>
        <w:spacing w:after="160" w:line="360" w:lineRule="auto"/>
        <w:ind w:firstLine="425"/>
        <w:jc w:val="both"/>
      </w:pPr>
      <w:r>
        <w:rPr>
          <w:rFonts w:ascii="Times New Roman" w:eastAsia="Times New Roman" w:hAnsi="Times New Roman"/>
          <w:color w:val="1A1A1A"/>
          <w:sz w:val="24"/>
        </w:rPr>
        <w:t>En este apartado solo se reportan métricas de proceso (Tabla 20 y Figura 14). La exactitud del modelo asociado a I-007 es una medición D2 de ese registro, no la contrastación de la hipótesis de la tesis.</w:t>
      </w:r>
    </w:p>
    <w:p w:rsidR="00E24534" w:rsidRDefault="00E24534"/>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ayout w:type="fixed"/>
        <w:tblLook w:val="07E0" w:firstRow="1" w:lastRow="1" w:firstColumn="1" w:lastColumn="1" w:noHBand="1" w:noVBand="1"/>
      </w:tblPr>
      <w:tblGrid>
        <w:gridCol w:w="2608"/>
        <w:gridCol w:w="2835"/>
        <w:gridCol w:w="2154"/>
        <w:gridCol w:w="1191"/>
      </w:tblGrid>
      <w:tr w:rsidR="00E24534">
        <w:trPr>
          <w:jc w:val="center"/>
        </w:trPr>
        <w:tc>
          <w:tcPr>
            <w:tcW w:w="2608"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Indicador</w:t>
            </w:r>
          </w:p>
        </w:tc>
        <w:tc>
          <w:tcPr>
            <w:tcW w:w="2835"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Valor</w:t>
            </w:r>
          </w:p>
        </w:tc>
        <w:tc>
          <w:tcPr>
            <w:tcW w:w="2154"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Criterio</w:t>
            </w:r>
          </w:p>
        </w:tc>
        <w:tc>
          <w:tcPr>
            <w:tcW w:w="1191"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Estado</w:t>
            </w:r>
          </w:p>
        </w:tc>
      </w:tr>
      <w:tr w:rsidR="00E24534">
        <w:trPr>
          <w:cantSplit/>
          <w:jc w:val="center"/>
        </w:trPr>
        <w:tc>
          <w:tcPr>
            <w:tcW w:w="260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Historias de usuario implementadas</w:t>
            </w:r>
          </w:p>
        </w:tc>
        <w:tc>
          <w:tcPr>
            <w:tcW w:w="2835"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56</w:t>
            </w:r>
          </w:p>
        </w:tc>
        <w:tc>
          <w:tcPr>
            <w:tcW w:w="215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Alcance cerrado</w:t>
            </w:r>
          </w:p>
        </w:tc>
        <w:tc>
          <w:tcPr>
            <w:tcW w:w="119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OK</w:t>
            </w:r>
          </w:p>
        </w:tc>
      </w:tr>
      <w:tr w:rsidR="00E24534">
        <w:trPr>
          <w:cantSplit/>
          <w:jc w:val="center"/>
        </w:trPr>
        <w:tc>
          <w:tcPr>
            <w:tcW w:w="260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Incrementos de implementación</w:t>
            </w:r>
          </w:p>
        </w:tc>
        <w:tc>
          <w:tcPr>
            <w:tcW w:w="2835"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7 + parche 0.9.1</w:t>
            </w:r>
          </w:p>
        </w:tc>
        <w:tc>
          <w:tcPr>
            <w:tcW w:w="215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Trazables a I-*</w:t>
            </w:r>
          </w:p>
        </w:tc>
        <w:tc>
          <w:tcPr>
            <w:tcW w:w="119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OK</w:t>
            </w:r>
          </w:p>
        </w:tc>
      </w:tr>
      <w:tr w:rsidR="00E24534">
        <w:trPr>
          <w:cantSplit/>
          <w:jc w:val="center"/>
        </w:trPr>
        <w:tc>
          <w:tcPr>
            <w:tcW w:w="260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Prompts vigentes</w:t>
            </w:r>
          </w:p>
        </w:tc>
        <w:tc>
          <w:tcPr>
            <w:tcW w:w="2835"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48 (R×6, D×7, I×17, T×14, M×4)</w:t>
            </w:r>
          </w:p>
        </w:tc>
        <w:tc>
          <w:tcPr>
            <w:tcW w:w="215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Mapa D3 por fase</w:t>
            </w:r>
          </w:p>
        </w:tc>
        <w:tc>
          <w:tcPr>
            <w:tcW w:w="119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OK</w:t>
            </w:r>
          </w:p>
        </w:tc>
      </w:tr>
      <w:tr w:rsidR="00E24534">
        <w:trPr>
          <w:cantSplit/>
          <w:jc w:val="center"/>
        </w:trPr>
        <w:tc>
          <w:tcPr>
            <w:tcW w:w="260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Prompts superados</w:t>
            </w:r>
          </w:p>
        </w:tc>
        <w:tc>
          <w:tcPr>
            <w:tcW w:w="2835"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2</w:t>
            </w:r>
          </w:p>
        </w:tc>
        <w:tc>
          <w:tcPr>
            <w:tcW w:w="215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No borrar</w:t>
            </w:r>
          </w:p>
        </w:tc>
        <w:tc>
          <w:tcPr>
            <w:tcW w:w="119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OK</w:t>
            </w:r>
          </w:p>
        </w:tc>
      </w:tr>
      <w:tr w:rsidR="00E24534">
        <w:trPr>
          <w:cantSplit/>
          <w:jc w:val="center"/>
        </w:trPr>
        <w:tc>
          <w:tcPr>
            <w:tcW w:w="260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Anatomía D1 completa</w:t>
            </w:r>
          </w:p>
        </w:tc>
        <w:tc>
          <w:tcPr>
            <w:tcW w:w="2835"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Núcleo 29/29; catálogo 48</w:t>
            </w:r>
          </w:p>
        </w:tc>
        <w:tc>
          <w:tcPr>
            <w:tcW w:w="215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Plantilla maestra</w:t>
            </w:r>
          </w:p>
        </w:tc>
        <w:tc>
          <w:tcPr>
            <w:tcW w:w="119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OK</w:t>
            </w:r>
          </w:p>
        </w:tc>
      </w:tr>
      <w:tr w:rsidR="00E24534">
        <w:trPr>
          <w:cantSplit/>
          <w:jc w:val="center"/>
        </w:trPr>
        <w:tc>
          <w:tcPr>
            <w:tcW w:w="260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Ciclo D2 documentado</w:t>
            </w:r>
          </w:p>
        </w:tc>
        <w:tc>
          <w:tcPr>
            <w:tcW w:w="2835"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Sí; iteraciones I-* no medidas en caliente</w:t>
            </w:r>
          </w:p>
        </w:tc>
        <w:tc>
          <w:tcPr>
            <w:tcW w:w="215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Decisión + lección</w:t>
            </w:r>
          </w:p>
        </w:tc>
        <w:tc>
          <w:tcPr>
            <w:tcW w:w="119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Parcial</w:t>
            </w:r>
          </w:p>
        </w:tc>
      </w:tr>
      <w:tr w:rsidR="00E24534">
        <w:trPr>
          <w:cantSplit/>
          <w:jc w:val="center"/>
        </w:trPr>
        <w:tc>
          <w:tcPr>
            <w:tcW w:w="2608"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ADR</w:t>
            </w:r>
          </w:p>
        </w:tc>
        <w:tc>
          <w:tcPr>
            <w:tcW w:w="2835"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2</w:t>
            </w:r>
          </w:p>
        </w:tc>
        <w:tc>
          <w:tcPr>
            <w:tcW w:w="215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Decisiones de arquitectura</w:t>
            </w:r>
          </w:p>
        </w:tc>
        <w:tc>
          <w:tcPr>
            <w:tcW w:w="1191"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OK</w:t>
            </w:r>
          </w:p>
        </w:tc>
      </w:tr>
      <w:tr w:rsidR="00E24534">
        <w:trPr>
          <w:cantSplit/>
          <w:jc w:val="center"/>
        </w:trPr>
        <w:tc>
          <w:tcPr>
            <w:tcW w:w="2608"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Reconstrucción vs ejecución</w:t>
            </w:r>
          </w:p>
        </w:tc>
        <w:tc>
          <w:tcPr>
            <w:tcW w:w="2835"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Mixto</w:t>
            </w:r>
          </w:p>
        </w:tc>
        <w:tc>
          <w:tcPr>
            <w:tcW w:w="215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Registrar antes el próximo cambio</w:t>
            </w:r>
          </w:p>
        </w:tc>
        <w:tc>
          <w:tcPr>
            <w:tcW w:w="1191"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Parcial</w:t>
            </w:r>
          </w:p>
        </w:tc>
      </w:tr>
    </w:tbl>
    <w:p w:rsidR="00E24534" w:rsidRDefault="003F5A0B">
      <w:pPr>
        <w:spacing w:before="80" w:after="240" w:line="240" w:lineRule="auto"/>
        <w:jc w:val="center"/>
      </w:pPr>
      <w:r>
        <w:rPr>
          <w:rFonts w:ascii="Times New Roman" w:eastAsia="Times New Roman" w:hAnsi="Times New Roman" w:cs="Times New Roman"/>
          <w:i/>
          <w:iCs/>
          <w:color w:val="4A5568"/>
          <w:sz w:val="20"/>
        </w:rPr>
        <w:t>Tabla 20. Tablero de métricas de proceso (no inferencial).</w:t>
      </w:r>
    </w:p>
    <w:p w:rsidR="00E24534" w:rsidRDefault="003F5A0B">
      <w:pPr>
        <w:spacing w:before="120" w:after="40" w:line="240" w:lineRule="auto"/>
        <w:jc w:val="center"/>
      </w:pPr>
      <w:r>
        <w:rPr>
          <w:noProof/>
        </w:rPr>
        <w:drawing>
          <wp:inline distT="0" distB="0" distL="0" distR="0" wp14:anchorId="540A2AC1" wp14:editId="25170615">
            <wp:extent cx="5038725" cy="2362200"/>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pic:cNvPicPr/>
                  </pic:nvPicPr>
                  <pic:blipFill>
                    <a:blip r:embed="rId26"/>
                    <a:stretch>
                      <a:fillRect/>
                    </a:stretch>
                  </pic:blipFill>
                  <pic:spPr>
                    <a:xfrm>
                      <a:off x="0" y="0"/>
                      <a:ext cx="5038725" cy="2362200"/>
                    </a:xfrm>
                    <a:prstGeom prst="rect">
                      <a:avLst/>
                    </a:prstGeom>
                  </pic:spPr>
                </pic:pic>
              </a:graphicData>
            </a:graphic>
          </wp:inline>
        </w:drawing>
      </w:r>
    </w:p>
    <w:p w:rsidR="00E24534" w:rsidRDefault="003F5A0B">
      <w:pPr>
        <w:spacing w:before="80" w:after="240" w:line="240" w:lineRule="auto"/>
        <w:jc w:val="center"/>
      </w:pPr>
      <w:r>
        <w:rPr>
          <w:rFonts w:ascii="Times New Roman" w:eastAsia="Times New Roman" w:hAnsi="Times New Roman" w:cs="Times New Roman"/>
          <w:i/>
          <w:iCs/>
          <w:color w:val="4A5568"/>
          <w:sz w:val="20"/>
        </w:rPr>
        <w:t>Figura 14. Prompts vigentes por fase (no incluye los dos prompts Superados).</w:t>
      </w:r>
    </w:p>
    <w:p w:rsidR="00E24534" w:rsidRDefault="003F5A0B">
      <w:pPr>
        <w:pBdr>
          <w:bottom w:val="single" w:sz="8" w:space="4" w:color="1A5F7A"/>
        </w:pBdr>
        <w:spacing w:before="320" w:after="160"/>
      </w:pPr>
      <w:r>
        <w:rPr>
          <w:rFonts w:ascii="Times New Roman" w:eastAsia="Times New Roman" w:hAnsi="Times New Roman" w:cs="Times New Roman"/>
          <w:b/>
          <w:bCs/>
          <w:color w:val="1F3A5F"/>
          <w:sz w:val="30"/>
        </w:rPr>
        <w:lastRenderedPageBreak/>
        <w:t>12. Lecciones aprendidas de la intervención</w:t>
      </w:r>
    </w:p>
    <w:p w:rsidR="003D610D" w:rsidRDefault="003E19C5">
      <w:pPr>
        <w:spacing w:after="160" w:line="360" w:lineRule="auto"/>
        <w:ind w:firstLine="425"/>
        <w:jc w:val="both"/>
      </w:pPr>
      <w:r>
        <w:rPr>
          <w:rFonts w:ascii="Times New Roman" w:eastAsia="Times New Roman" w:hAnsi="Times New Roman"/>
          <w:color w:val="1A1A1A"/>
          <w:sz w:val="24"/>
        </w:rPr>
        <w:t>Las lecciones de la intervención se concentran en la Tabla 21. No se reitera aquí el recuento de incrementos ni el caso de refinamiento ya descrito en el apartado 6.</w:t>
      </w:r>
    </w:p>
    <w:p w:rsidR="00E24534" w:rsidRDefault="00E24534"/>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ayout w:type="fixed"/>
        <w:tblLook w:val="07E0" w:firstRow="1" w:lastRow="1" w:firstColumn="1" w:lastColumn="1" w:noHBand="1" w:noVBand="1"/>
      </w:tblPr>
      <w:tblGrid>
        <w:gridCol w:w="4309"/>
        <w:gridCol w:w="4479"/>
      </w:tblGrid>
      <w:tr w:rsidR="00E24534">
        <w:trPr>
          <w:jc w:val="center"/>
        </w:trPr>
        <w:tc>
          <w:tcPr>
            <w:tcW w:w="4309"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Hallazgo</w:t>
            </w:r>
          </w:p>
        </w:tc>
        <w:tc>
          <w:tcPr>
            <w:tcW w:w="4479"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Mejora abierta</w:t>
            </w:r>
          </w:p>
        </w:tc>
      </w:tr>
      <w:tr w:rsidR="00E24534">
        <w:trPr>
          <w:cantSplit/>
          <w:jc w:val="center"/>
        </w:trPr>
        <w:tc>
          <w:tcPr>
            <w:tcW w:w="4309"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Parte de los I-* se documentó a posteriori</w:t>
            </w:r>
          </w:p>
        </w:tc>
        <w:tc>
          <w:tcPr>
            <w:tcW w:w="4479"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Próximo cambio de código: registrar el prompt antes</w:t>
            </w:r>
          </w:p>
        </w:tc>
      </w:tr>
      <w:tr w:rsidR="00E24534">
        <w:trPr>
          <w:cantSplit/>
          <w:jc w:val="center"/>
        </w:trPr>
        <w:tc>
          <w:tcPr>
            <w:tcW w:w="4309"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I-001 fue un macro-prompt; iteraciones no medidas en caliente</w:t>
            </w:r>
          </w:p>
        </w:tc>
        <w:tc>
          <w:tcPr>
            <w:tcW w:w="4479"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Oleada 2 ya partió I-001…I-009; medir en caliente de aquí en adelante</w:t>
            </w:r>
          </w:p>
        </w:tc>
      </w:tr>
      <w:tr w:rsidR="00E24534">
        <w:trPr>
          <w:cantSplit/>
          <w:jc w:val="center"/>
        </w:trPr>
        <w:tc>
          <w:tcPr>
            <w:tcW w:w="4309"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Un solo producto municipal no generaliza</w:t>
            </w:r>
          </w:p>
        </w:tc>
        <w:tc>
          <w:tcPr>
            <w:tcW w:w="4479"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Comparar con otro caso (p. ej. SGMI) o con Scrum clásico</w:t>
            </w:r>
          </w:p>
        </w:tc>
      </w:tr>
      <w:tr w:rsidR="00E24534">
        <w:trPr>
          <w:cantSplit/>
          <w:jc w:val="center"/>
        </w:trPr>
        <w:tc>
          <w:tcPr>
            <w:tcW w:w="4309"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El componente de ML es opcional en producción institucional</w:t>
            </w:r>
          </w:p>
        </w:tc>
        <w:tc>
          <w:tcPr>
            <w:tcW w:w="4479"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El caso no cubre un ciclo de vida de ML con servicio dedicado en operación</w:t>
            </w:r>
          </w:p>
        </w:tc>
      </w:tr>
      <w:tr w:rsidR="00E24534">
        <w:trPr>
          <w:cantSplit/>
          <w:jc w:val="center"/>
        </w:trPr>
        <w:tc>
          <w:tcPr>
            <w:tcW w:w="4309"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Nombres residuales de la etapa Scrum (verify_sprint6_ml.py)</w:t>
            </w:r>
          </w:p>
        </w:tc>
        <w:tc>
          <w:tcPr>
            <w:tcW w:w="4479"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Incremento de higiene, sin reescribir historia</w:t>
            </w:r>
          </w:p>
        </w:tc>
      </w:tr>
    </w:tbl>
    <w:p w:rsidR="00E24534" w:rsidRDefault="003F5A0B">
      <w:pPr>
        <w:spacing w:before="80" w:after="240" w:line="240" w:lineRule="auto"/>
        <w:jc w:val="center"/>
      </w:pPr>
      <w:r>
        <w:rPr>
          <w:rFonts w:ascii="Times New Roman" w:eastAsia="Times New Roman" w:hAnsi="Times New Roman" w:cs="Times New Roman"/>
          <w:i/>
          <w:iCs/>
          <w:color w:val="4A5568"/>
          <w:sz w:val="20"/>
        </w:rPr>
        <w:t>Tabla 21. Hallazgos de la intervención y mejoras abiertas.</w:t>
      </w:r>
    </w:p>
    <w:p w:rsidR="00E24534" w:rsidRDefault="003F5A0B">
      <w:pPr>
        <w:pBdr>
          <w:bottom w:val="single" w:sz="8" w:space="4" w:color="1A5F7A"/>
        </w:pBdr>
        <w:spacing w:before="320" w:after="160"/>
      </w:pPr>
      <w:r>
        <w:rPr>
          <w:rFonts w:ascii="Times New Roman" w:eastAsia="Times New Roman" w:hAnsi="Times New Roman" w:cs="Times New Roman"/>
          <w:b/>
          <w:bCs/>
          <w:color w:val="1F3A5F"/>
          <w:sz w:val="30"/>
        </w:rPr>
        <w:t>13. Cierre del anexo</w:t>
      </w:r>
    </w:p>
    <w:p w:rsidR="003D610D" w:rsidRDefault="003E19C5">
      <w:pPr>
        <w:spacing w:after="160" w:line="360" w:lineRule="auto"/>
        <w:ind w:firstLine="425"/>
        <w:jc w:val="both"/>
      </w:pPr>
      <w:r>
        <w:rPr>
          <w:rFonts w:ascii="Times New Roman" w:eastAsia="Times New Roman" w:hAnsi="Times New Roman"/>
          <w:color w:val="1A1A1A"/>
          <w:sz w:val="24"/>
        </w:rPr>
        <w:t>Se aplicó el Prompt-Centered SDLC v1.2 de forma documentada. La evidencia de prompts, evaluaciones, matriz y puesta en producción soporta el apartado 4.1. Las conclusiones y recomendaciones generales de la tesis no se enuncian en este anexo.</w:t>
      </w:r>
    </w:p>
    <w:p w:rsidR="00E24534" w:rsidRDefault="00E24534"/>
    <w:p w:rsidR="00E24534" w:rsidRDefault="003F5A0B">
      <w:pPr>
        <w:pBdr>
          <w:bottom w:val="single" w:sz="8" w:space="4" w:color="1A5F7A"/>
        </w:pBdr>
        <w:spacing w:before="320" w:after="160"/>
      </w:pPr>
      <w:r>
        <w:rPr>
          <w:rFonts w:ascii="Times New Roman" w:eastAsia="Times New Roman" w:hAnsi="Times New Roman" w:cs="Times New Roman"/>
          <w:b/>
          <w:bCs/>
          <w:color w:val="1F3A5F"/>
          <w:sz w:val="30"/>
        </w:rPr>
        <w:t>14. Referencias utilizadas en este anexo</w:t>
      </w:r>
    </w:p>
    <w:p w:rsidR="0013411C" w:rsidRPr="0013411C" w:rsidRDefault="0013411C" w:rsidP="0013411C">
      <w:pPr>
        <w:pStyle w:val="Bibliografa"/>
      </w:pPr>
      <w:r>
        <w:fldChar w:fldCharType="begin"/>
      </w:r>
      <w:r>
        <w:instrText xml:space="preserve"> ADDIN ZOTERO_BIBL {"uncited":[],"omitted":[],"custom":[]} CSL_BIBLIOGRAPHY </w:instrText>
      </w:r>
      <w:r>
        <w:fldChar w:fldCharType="separate"/>
      </w:r>
      <w:r w:rsidRPr="0013411C">
        <w:t>[1]</w:t>
      </w:r>
      <w:r w:rsidRPr="0013411C">
        <w:tab/>
        <w:t xml:space="preserve">S. K. Navneet y J. Chandra, “Rethinking Autonomy: Preventing Failures in AI-Driven Software Engineering”, 2025, </w:t>
      </w:r>
      <w:r w:rsidRPr="0013411C">
        <w:rPr>
          <w:i/>
          <w:iCs/>
        </w:rPr>
        <w:t>arXiv</w:t>
      </w:r>
      <w:r w:rsidRPr="0013411C">
        <w:t>. doi: 10.48550/ARXIV.2508.11824.</w:t>
      </w:r>
    </w:p>
    <w:p w:rsidR="0013411C" w:rsidRPr="0013411C" w:rsidRDefault="0013411C" w:rsidP="0013411C">
      <w:pPr>
        <w:pStyle w:val="Bibliografa"/>
      </w:pPr>
      <w:r w:rsidRPr="0013411C">
        <w:t>[2]</w:t>
      </w:r>
      <w:r w:rsidRPr="0013411C">
        <w:tab/>
        <w:t xml:space="preserve">E. Bandara </w:t>
      </w:r>
      <w:r w:rsidRPr="0013411C">
        <w:rPr>
          <w:i/>
          <w:iCs/>
        </w:rPr>
        <w:t>et al.</w:t>
      </w:r>
      <w:r w:rsidRPr="0013411C">
        <w:t xml:space="preserve">, “Agentsway -- Software Development Methodology for AI Agents-based Teams”, 2025, </w:t>
      </w:r>
      <w:r w:rsidRPr="0013411C">
        <w:rPr>
          <w:i/>
          <w:iCs/>
        </w:rPr>
        <w:t>arXiv</w:t>
      </w:r>
      <w:r w:rsidRPr="0013411C">
        <w:t>. doi: 10.48550/ARXIV.2510.23664.</w:t>
      </w:r>
    </w:p>
    <w:p w:rsidR="0013411C" w:rsidRPr="0013411C" w:rsidRDefault="0013411C" w:rsidP="0013411C">
      <w:pPr>
        <w:pStyle w:val="Bibliografa"/>
      </w:pPr>
      <w:r w:rsidRPr="0013411C">
        <w:t>[3]</w:t>
      </w:r>
      <w:r w:rsidRPr="0013411C">
        <w:tab/>
        <w:t xml:space="preserve">H. Bhati, “Agentic AI in the Software Development Lifecycle: Architecture, Empirical Evidence, and the Reshaping of Software Engineering”, 2026, </w:t>
      </w:r>
      <w:r w:rsidRPr="0013411C">
        <w:rPr>
          <w:i/>
          <w:iCs/>
        </w:rPr>
        <w:t>arXiv</w:t>
      </w:r>
      <w:r w:rsidRPr="0013411C">
        <w:t>. doi: 10.48550/ARXIV.2604.26275.</w:t>
      </w:r>
    </w:p>
    <w:p w:rsidR="0013411C" w:rsidRPr="0013411C" w:rsidRDefault="0013411C" w:rsidP="0013411C">
      <w:pPr>
        <w:pStyle w:val="Bibliografa"/>
      </w:pPr>
      <w:r w:rsidRPr="0013411C">
        <w:t>[4]</w:t>
      </w:r>
      <w:r w:rsidRPr="0013411C">
        <w:tab/>
        <w:t xml:space="preserve">N. V. Malladi y S. R. K, “Generative AI in Agile Software Development: A Comprehensive Survey”, en </w:t>
      </w:r>
      <w:r w:rsidRPr="0013411C">
        <w:rPr>
          <w:i/>
          <w:iCs/>
        </w:rPr>
        <w:t>2025 7th International Conference on Innovative Data Communication Technologies and Application (ICIDCA)</w:t>
      </w:r>
      <w:r w:rsidRPr="0013411C">
        <w:t>, Coimbatore, India: IEEE, oct. 2025, pp. 1199–1208. doi: 10.1109/ICIDCA66325.2025.11280486.</w:t>
      </w:r>
    </w:p>
    <w:p w:rsidR="0013411C" w:rsidRPr="0013411C" w:rsidRDefault="0013411C" w:rsidP="0013411C">
      <w:pPr>
        <w:pStyle w:val="Bibliografa"/>
      </w:pPr>
      <w:r w:rsidRPr="0013411C">
        <w:t>[5]</w:t>
      </w:r>
      <w:r w:rsidRPr="0013411C">
        <w:tab/>
        <w:t xml:space="preserve">D. Strode, T. Dingsøyr, y Y. Lindsjorn, “A teamwork effectiveness model for agile software development”, </w:t>
      </w:r>
      <w:r w:rsidRPr="0013411C">
        <w:rPr>
          <w:i/>
          <w:iCs/>
        </w:rPr>
        <w:t>Empir Software Eng</w:t>
      </w:r>
      <w:r w:rsidRPr="0013411C">
        <w:t>, vol. 27, núm. 2, p. 56, mar. 2022, doi: 10.1007/s10664-021-10115-0.</w:t>
      </w:r>
    </w:p>
    <w:p w:rsidR="0013411C" w:rsidRPr="0013411C" w:rsidRDefault="0013411C" w:rsidP="0013411C">
      <w:pPr>
        <w:pStyle w:val="Bibliografa"/>
      </w:pPr>
      <w:r w:rsidRPr="0013411C">
        <w:lastRenderedPageBreak/>
        <w:t>[6]</w:t>
      </w:r>
      <w:r w:rsidRPr="0013411C">
        <w:tab/>
        <w:t xml:space="preserve">D. Fujs, P. Kochovski, V. Stankovski, y D. Vavpotič, “Key AI features to support scrum software engineering: practitioners’ perspective”, </w:t>
      </w:r>
      <w:r w:rsidRPr="0013411C">
        <w:rPr>
          <w:i/>
          <w:iCs/>
        </w:rPr>
        <w:t>Empir Software Eng</w:t>
      </w:r>
      <w:r w:rsidRPr="0013411C">
        <w:t>, vol. 31, núm. 5, p. 138, sep. 2026, doi: 10.1007/s10664-026-10876-6.</w:t>
      </w:r>
    </w:p>
    <w:p w:rsidR="0013411C" w:rsidRPr="0013411C" w:rsidRDefault="0013411C" w:rsidP="0013411C">
      <w:pPr>
        <w:pStyle w:val="Bibliografa"/>
      </w:pPr>
      <w:r w:rsidRPr="0013411C">
        <w:t>[7]</w:t>
      </w:r>
      <w:r w:rsidRPr="0013411C">
        <w:tab/>
        <w:t xml:space="preserve">B. Wang </w:t>
      </w:r>
      <w:r w:rsidRPr="0013411C">
        <w:rPr>
          <w:i/>
          <w:iCs/>
        </w:rPr>
        <w:t>et al.</w:t>
      </w:r>
      <w:r w:rsidRPr="0013411C">
        <w:t xml:space="preserve">, “Is your prompt poisoning code? Defect induction rates and security mitigation strategies”, </w:t>
      </w:r>
      <w:r w:rsidRPr="0013411C">
        <w:rPr>
          <w:i/>
          <w:iCs/>
        </w:rPr>
        <w:t>Empir Software Eng</w:t>
      </w:r>
      <w:r w:rsidRPr="0013411C">
        <w:t>, vol. 31, núm. 6, p. 172, nov. 2026, doi: 10.1007/s10664-026-10866-8.</w:t>
      </w:r>
    </w:p>
    <w:p w:rsidR="0013411C" w:rsidRPr="0013411C" w:rsidRDefault="0013411C" w:rsidP="0013411C">
      <w:pPr>
        <w:pStyle w:val="Bibliografa"/>
      </w:pPr>
      <w:r w:rsidRPr="0013411C">
        <w:t>[8]</w:t>
      </w:r>
      <w:r w:rsidRPr="0013411C">
        <w:tab/>
        <w:t xml:space="preserve">N. Tihanyi, T. Bisztray, M. A. Ferrag, R. Jain, y L. C. Cordeiro, “How secure is AI-generated code: a large-scale comparison of large language models”, </w:t>
      </w:r>
      <w:r w:rsidRPr="0013411C">
        <w:rPr>
          <w:i/>
          <w:iCs/>
        </w:rPr>
        <w:t>Empir Software Eng</w:t>
      </w:r>
      <w:r w:rsidRPr="0013411C">
        <w:t>, vol. 30, núm. 2, p. 47, mar. 2025, doi: 10.1007/s10664-024-10590-1.</w:t>
      </w:r>
    </w:p>
    <w:p w:rsidR="0013411C" w:rsidRPr="0013411C" w:rsidRDefault="0013411C" w:rsidP="0013411C">
      <w:pPr>
        <w:pStyle w:val="Bibliografa"/>
      </w:pPr>
      <w:r w:rsidRPr="0013411C">
        <w:t>[9]</w:t>
      </w:r>
      <w:r w:rsidRPr="0013411C">
        <w:tab/>
        <w:t xml:space="preserve">N. Yanev, I. Getova, E. Mihaylova, I. Kostadinova, M. Bankovska, y G. Dimitrov, “The Prompt–Refactor–Verify (PRV) Cycle: A Human-Centered Framework for AI-Assisted Programming”, en </w:t>
      </w:r>
      <w:r w:rsidRPr="0013411C">
        <w:rPr>
          <w:i/>
          <w:iCs/>
        </w:rPr>
        <w:t>2025 6th International Conference on Communications, Information, Electronic and Energy Systems (CIEES)</w:t>
      </w:r>
      <w:r w:rsidRPr="0013411C">
        <w:t>, Ruse, Bulgaria: IEEE, nov. 2025, pp. 1–5. doi: 10.1109/CIEES66347.2025.11300239.</w:t>
      </w:r>
    </w:p>
    <w:p w:rsidR="0013411C" w:rsidRPr="0013411C" w:rsidRDefault="0013411C" w:rsidP="0013411C">
      <w:pPr>
        <w:pStyle w:val="Bibliografa"/>
      </w:pPr>
      <w:r w:rsidRPr="0013411C">
        <w:t>[10]</w:t>
      </w:r>
      <w:r w:rsidRPr="0013411C">
        <w:tab/>
        <w:t xml:space="preserve">S. Zhang </w:t>
      </w:r>
      <w:r w:rsidRPr="0013411C">
        <w:rPr>
          <w:i/>
          <w:iCs/>
        </w:rPr>
        <w:t>et al.</w:t>
      </w:r>
      <w:r w:rsidRPr="0013411C">
        <w:t xml:space="preserve">, “Empowering Agile-Based Generative Software Development through Human-AI Teamwork”, </w:t>
      </w:r>
      <w:r w:rsidRPr="0013411C">
        <w:rPr>
          <w:i/>
          <w:iCs/>
        </w:rPr>
        <w:t>ACM Trans. Softw. Eng. Methodol.</w:t>
      </w:r>
      <w:r w:rsidRPr="0013411C">
        <w:t>, vol. 34, núm. 6, pp. 1–46, jul. 2025, doi: 10.1145/3702987.</w:t>
      </w:r>
    </w:p>
    <w:p w:rsidR="0013411C" w:rsidRPr="0013411C" w:rsidRDefault="0013411C" w:rsidP="0013411C">
      <w:pPr>
        <w:pStyle w:val="Bibliografa"/>
      </w:pPr>
      <w:r w:rsidRPr="0013411C">
        <w:t>[11]</w:t>
      </w:r>
      <w:r w:rsidRPr="0013411C">
        <w:tab/>
        <w:t xml:space="preserve">M. H. Nguyen, T. Phan Chau, P. X. Nguyen, y N. D. Q. Bui, “AgileCoder: Dynamic Collaborative Agents for Software Development based on Agile Methodology”, en </w:t>
      </w:r>
      <w:r w:rsidRPr="0013411C">
        <w:rPr>
          <w:i/>
          <w:iCs/>
        </w:rPr>
        <w:t>2025 IEEE/ACM Second International Conference on AI Foundation Models and Software Engineering (Forge)</w:t>
      </w:r>
      <w:r w:rsidRPr="0013411C">
        <w:t>, Ottawa, ON, Canada: IEEE, abr. 2025, pp. 156–167. doi: 10.1109/Forge66646.2025.00026.</w:t>
      </w:r>
    </w:p>
    <w:p w:rsidR="0013411C" w:rsidRPr="0013411C" w:rsidRDefault="0013411C" w:rsidP="0013411C">
      <w:pPr>
        <w:pStyle w:val="Bibliografa"/>
      </w:pPr>
      <w:r w:rsidRPr="0013411C">
        <w:t>[12]</w:t>
      </w:r>
      <w:r w:rsidRPr="0013411C">
        <w:tab/>
        <w:t xml:space="preserve">N. Otoum y N. Elkhalili, “Methods and Techniques of Agentic Software Engineering: A Systematic Literature Review”, </w:t>
      </w:r>
      <w:r w:rsidRPr="0013411C">
        <w:rPr>
          <w:i/>
          <w:iCs/>
        </w:rPr>
        <w:t>IEEE Access</w:t>
      </w:r>
      <w:r w:rsidRPr="0013411C">
        <w:t>, vol. 14, pp. 7443–7465, 2026, doi: 10.1109/ACCESS.2026.3652325.</w:t>
      </w:r>
    </w:p>
    <w:p w:rsidR="0013411C" w:rsidRPr="0013411C" w:rsidRDefault="0013411C" w:rsidP="0013411C">
      <w:pPr>
        <w:pStyle w:val="Bibliografa"/>
      </w:pPr>
      <w:r w:rsidRPr="0013411C">
        <w:t>[13]</w:t>
      </w:r>
      <w:r w:rsidRPr="0013411C">
        <w:tab/>
        <w:t xml:space="preserve">A. Anand, J. Kaur, O. Singh, y O. H. Alhazmi, “Optimal Sprint Length Determination for Agile-Based Software Development”, </w:t>
      </w:r>
      <w:r w:rsidRPr="0013411C">
        <w:rPr>
          <w:i/>
          <w:iCs/>
        </w:rPr>
        <w:t>Computers, Materials &amp; Continua</w:t>
      </w:r>
      <w:r w:rsidRPr="0013411C">
        <w:t>, vol. 68, núm. 3, pp. 3693–3712, 2021, doi: 10.32604/cmc.2021.017461.</w:t>
      </w:r>
    </w:p>
    <w:p w:rsidR="0013411C" w:rsidRPr="0013411C" w:rsidRDefault="0013411C" w:rsidP="0013411C">
      <w:pPr>
        <w:pStyle w:val="Bibliografa"/>
      </w:pPr>
      <w:r w:rsidRPr="0013411C">
        <w:t>[14]</w:t>
      </w:r>
      <w:r w:rsidRPr="0013411C">
        <w:tab/>
        <w:t xml:space="preserve">N. Nascimento, A. Santos, A. Sales, y R. Chanin, “Is There an Optimal Sprint Length on Agile Software Development Projects?”:, en </w:t>
      </w:r>
      <w:r w:rsidRPr="0013411C">
        <w:rPr>
          <w:i/>
          <w:iCs/>
        </w:rPr>
        <w:t>Proceedings of the 24th International Conference on Enterprise Information Systems</w:t>
      </w:r>
      <w:r w:rsidRPr="0013411C">
        <w:t>, Online Streaming, --- Select a Country ---: SCITEPRESS - Science and Technology Publications, 2022, pp. 98–105. doi: 10.5220/0011037700003179.</w:t>
      </w:r>
    </w:p>
    <w:p w:rsidR="0013411C" w:rsidRPr="0013411C" w:rsidRDefault="0013411C" w:rsidP="0013411C">
      <w:pPr>
        <w:pStyle w:val="Bibliografa"/>
      </w:pPr>
      <w:r w:rsidRPr="0013411C">
        <w:t>[15]</w:t>
      </w:r>
      <w:r w:rsidRPr="0013411C">
        <w:tab/>
        <w:t xml:space="preserve">G. G. Menekse Dalveren, I. Kizgin, y M. Derawi, “Strategic Effectiveness of Agile Approaches: An Inter-Method Comparative Study”, </w:t>
      </w:r>
      <w:r w:rsidRPr="0013411C">
        <w:rPr>
          <w:i/>
          <w:iCs/>
        </w:rPr>
        <w:t>Applied Sciences</w:t>
      </w:r>
      <w:r w:rsidRPr="0013411C">
        <w:t>, vol. 16, núm. 8, p. 3772, abr. 2026, doi: 10.3390/app16083772.</w:t>
      </w:r>
    </w:p>
    <w:p w:rsidR="0013411C" w:rsidRPr="0013411C" w:rsidRDefault="0013411C" w:rsidP="0013411C">
      <w:pPr>
        <w:pStyle w:val="Bibliografa"/>
      </w:pPr>
      <w:r w:rsidRPr="0013411C">
        <w:t>[16]</w:t>
      </w:r>
      <w:r w:rsidRPr="0013411C">
        <w:tab/>
        <w:t xml:space="preserve">S. Saxena, N. K. Saini, y M. Dhingra, “Challenges, Risks, and Limitations of Vibe Coding in AI- Assisted Software Development”, </w:t>
      </w:r>
      <w:r w:rsidRPr="0013411C">
        <w:rPr>
          <w:i/>
          <w:iCs/>
        </w:rPr>
        <w:t>RTPL</w:t>
      </w:r>
      <w:r w:rsidRPr="0013411C">
        <w:t>, 2026, doi: 10.37591/RTPL.v13i01.242299.</w:t>
      </w:r>
    </w:p>
    <w:p w:rsidR="003D610D" w:rsidRDefault="003E19C5">
      <w:pPr>
        <w:spacing w:after="160" w:line="360" w:lineRule="auto"/>
        <w:jc w:val="both"/>
      </w:pPr>
      <w:r>
        <w:rPr>
          <w:rFonts w:ascii="Times New Roman" w:eastAsia="Times New Roman" w:hAnsi="Times New Roman"/>
          <w:color w:val="1A1A1A"/>
        </w:rPr>
        <w:t>[17]</w:t>
      </w:r>
      <w:r>
        <w:rPr>
          <w:rFonts w:ascii="Times New Roman" w:eastAsia="Times New Roman" w:hAnsi="Times New Roman"/>
          <w:color w:val="1A1A1A"/>
        </w:rPr>
        <w:tab/>
        <w:t>Rojas Camayo, Prompt-Centered SDLC, versión 1.2.</w:t>
      </w:r>
    </w:p>
    <w:p w:rsidR="003D610D" w:rsidRDefault="003E19C5">
      <w:pPr>
        <w:spacing w:after="160" w:line="360" w:lineRule="auto"/>
        <w:jc w:val="both"/>
      </w:pPr>
      <w:r>
        <w:rPr>
          <w:rFonts w:ascii="Times New Roman" w:eastAsia="Times New Roman" w:hAnsi="Times New Roman"/>
          <w:color w:val="1A1A1A"/>
        </w:rPr>
        <w:t>[18]</w:t>
      </w:r>
      <w:r>
        <w:rPr>
          <w:rFonts w:ascii="Times New Roman" w:eastAsia="Times New Roman" w:hAnsi="Times New Roman"/>
          <w:color w:val="1A1A1A"/>
        </w:rPr>
        <w:tab/>
        <w:t>ISO 9001, Sistemas de gestión de la calidad. Requisitos.</w:t>
      </w:r>
    </w:p>
    <w:p w:rsidR="003D610D" w:rsidRDefault="003E19C5">
      <w:pPr>
        <w:spacing w:after="120" w:line="360" w:lineRule="auto"/>
        <w:jc w:val="both"/>
      </w:pPr>
      <w:r>
        <w:rPr>
          <w:rFonts w:ascii="Times New Roman" w:eastAsia="Times New Roman" w:hAnsi="Times New Roman"/>
          <w:color w:val="1A1A1A"/>
        </w:rPr>
        <w:lastRenderedPageBreak/>
        <w:t>[19]</w:t>
      </w:r>
      <w:r>
        <w:rPr>
          <w:rFonts w:ascii="Times New Roman" w:eastAsia="Times New Roman" w:hAnsi="Times New Roman"/>
          <w:color w:val="1A1A1A"/>
        </w:rPr>
        <w:tab/>
        <w:t>ISO/IEC 25000, Systems and software engineering — Systems and software Quality Requirements and Evaluation (SQuaRE) — Guide to SQuaRE.</w:t>
      </w:r>
    </w:p>
    <w:p w:rsidR="003D610D" w:rsidRDefault="003E19C5">
      <w:pPr>
        <w:spacing w:after="160" w:line="360" w:lineRule="auto"/>
        <w:jc w:val="both"/>
      </w:pPr>
      <w:r>
        <w:rPr>
          <w:rFonts w:ascii="Times New Roman" w:eastAsia="Times New Roman" w:hAnsi="Times New Roman"/>
          <w:color w:val="1A1A1A"/>
        </w:rPr>
        <w:t>[20]</w:t>
      </w:r>
      <w:r>
        <w:rPr>
          <w:rFonts w:ascii="Times New Roman" w:eastAsia="Times New Roman" w:hAnsi="Times New Roman"/>
          <w:color w:val="1A1A1A"/>
        </w:rPr>
        <w:tab/>
        <w:t>R. Amaro, R. Pereira y M. Mira da Silva, trabajo sobre capacidades DevOps y procesos del ciclo de vida (matriz V3).</w:t>
      </w:r>
    </w:p>
    <w:p w:rsidR="003D610D" w:rsidRDefault="003E19C5">
      <w:pPr>
        <w:spacing w:after="160" w:line="360" w:lineRule="auto"/>
        <w:jc w:val="both"/>
      </w:pPr>
      <w:r>
        <w:rPr>
          <w:rFonts w:ascii="Times New Roman" w:eastAsia="Times New Roman" w:hAnsi="Times New Roman"/>
          <w:color w:val="1A1A1A"/>
        </w:rPr>
        <w:t>[21]</w:t>
      </w:r>
      <w:r>
        <w:rPr>
          <w:rFonts w:ascii="Times New Roman" w:eastAsia="Times New Roman" w:hAnsi="Times New Roman"/>
          <w:color w:val="1A1A1A"/>
        </w:rPr>
        <w:tab/>
        <w:t>Jiang et al., trabajo sobre versionado y calidad de prompts (matriz V3).</w:t>
      </w:r>
    </w:p>
    <w:p w:rsidR="003D610D" w:rsidRDefault="003E19C5">
      <w:pPr>
        <w:spacing w:after="80" w:line="360" w:lineRule="auto"/>
      </w:pPr>
      <w:r>
        <w:rPr>
          <w:rFonts w:ascii="Times New Roman" w:eastAsia="Times New Roman" w:hAnsi="Times New Roman"/>
          <w:color w:val="1A1A1A"/>
          <w:sz w:val="24"/>
        </w:rPr>
        <w:t>[22]</w:t>
      </w:r>
      <w:r>
        <w:rPr>
          <w:rFonts w:ascii="Times New Roman" w:eastAsia="Times New Roman" w:hAnsi="Times New Roman"/>
          <w:color w:val="1A1A1A"/>
          <w:sz w:val="24"/>
        </w:rPr>
        <w:tab/>
        <w:t>Q. M. Yas, A. Alazzawi y B. Rahmatullah, “A Comprehensive Review of Software Development Life Cycle Methodologies: Pros, Cons, and Future Directions,” Iraqi Journal for Computer Science and Mathematics, vol. 4, núm. 4, art. 14, 2023, doi: 10.52866/ijcsm.2023.04.04.014.</w:t>
      </w:r>
    </w:p>
    <w:p w:rsidR="003D610D" w:rsidRDefault="003E19C5">
      <w:pPr>
        <w:spacing w:after="80" w:line="360" w:lineRule="auto"/>
      </w:pPr>
      <w:r>
        <w:rPr>
          <w:rFonts w:ascii="Times New Roman" w:eastAsia="Times New Roman" w:hAnsi="Times New Roman"/>
          <w:color w:val="1A1A1A"/>
          <w:sz w:val="24"/>
        </w:rPr>
        <w:t>[23]</w:t>
      </w:r>
      <w:r>
        <w:rPr>
          <w:rFonts w:ascii="Times New Roman" w:eastAsia="Times New Roman" w:hAnsi="Times New Roman"/>
          <w:color w:val="1A1A1A"/>
          <w:sz w:val="24"/>
        </w:rPr>
        <w:tab/>
        <w:t>M. Paladino y C. Pons, “From Obstacles to Strategies: Integrating Artificial Intelligence into the Software Development Life Cycle,” en ASSE, Argentine Symposium on Software Engineering, 2025.</w:t>
      </w:r>
    </w:p>
    <w:p w:rsidR="003D610D" w:rsidRDefault="003E19C5">
      <w:pPr>
        <w:spacing w:after="80" w:line="360" w:lineRule="auto"/>
      </w:pPr>
      <w:r>
        <w:rPr>
          <w:rFonts w:ascii="Times New Roman" w:eastAsia="Times New Roman" w:hAnsi="Times New Roman"/>
          <w:color w:val="1A1A1A"/>
          <w:sz w:val="24"/>
        </w:rPr>
        <w:t>[24]</w:t>
      </w:r>
      <w:r>
        <w:rPr>
          <w:rFonts w:ascii="Times New Roman" w:eastAsia="Times New Roman" w:hAnsi="Times New Roman"/>
          <w:color w:val="1A1A1A"/>
          <w:sz w:val="24"/>
        </w:rPr>
        <w:tab/>
        <w:t>C. Hymel, “The AI-Native Software Development Lifecycle: A Theoretical and Practical New Methodology,” Crowdbotics, white paper, 2024.</w:t>
      </w:r>
    </w:p>
    <w:p w:rsidR="003D610D" w:rsidRDefault="003E19C5">
      <w:pPr>
        <w:spacing w:after="80" w:line="360" w:lineRule="auto"/>
      </w:pPr>
      <w:r>
        <w:rPr>
          <w:rFonts w:ascii="Times New Roman" w:eastAsia="Times New Roman" w:hAnsi="Times New Roman"/>
          <w:color w:val="1A1A1A"/>
          <w:sz w:val="24"/>
        </w:rPr>
        <w:t>[25]</w:t>
      </w:r>
      <w:r>
        <w:rPr>
          <w:rFonts w:ascii="Times New Roman" w:eastAsia="Times New Roman" w:hAnsi="Times New Roman"/>
          <w:color w:val="1A1A1A"/>
          <w:sz w:val="24"/>
        </w:rPr>
        <w:tab/>
        <w:t>M. Esposito, X. Li, S. Moreschini, N. Ahmad, T. Cerny, K. Vaidhyanathan, V. Lenarduzzi y D. Taibi, “Generative AI for software architecture. Applications, challenges, and future directions,” The Journal of Systems &amp; Software, vol. 231, art. 112607, 2026, doi: 10.1016/j.jss.2025.112607.</w:t>
      </w:r>
    </w:p>
    <w:p w:rsidR="00E24534" w:rsidRDefault="0013411C">
      <w:r>
        <w:fldChar w:fldCharType="end"/>
      </w:r>
    </w:p>
    <w:p w:rsidR="0013411C" w:rsidRDefault="0013411C">
      <w:pPr>
        <w:spacing w:after="160" w:line="360" w:lineRule="auto"/>
        <w:jc w:val="both"/>
      </w:pPr>
    </w:p>
    <w:p w:rsidR="00E24534" w:rsidRDefault="003F5A0B">
      <w:pPr>
        <w:pBdr>
          <w:bottom w:val="single" w:sz="8" w:space="4" w:color="1A5F7A"/>
        </w:pBdr>
        <w:spacing w:before="320" w:after="160"/>
      </w:pPr>
      <w:r>
        <w:rPr>
          <w:rFonts w:ascii="Times New Roman" w:eastAsia="Times New Roman" w:hAnsi="Times New Roman" w:cs="Times New Roman"/>
          <w:b/>
          <w:bCs/>
          <w:color w:val="1F3A5F"/>
          <w:sz w:val="30"/>
        </w:rPr>
        <w:t>Apéndices del Anexo 07</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ayout w:type="fixed"/>
        <w:tblLook w:val="07E0" w:firstRow="1" w:lastRow="1" w:firstColumn="1" w:lastColumn="1" w:noHBand="1" w:noVBand="1"/>
      </w:tblPr>
      <w:tblGrid>
        <w:gridCol w:w="1247"/>
        <w:gridCol w:w="5386"/>
        <w:gridCol w:w="2154"/>
      </w:tblGrid>
      <w:tr w:rsidR="00E24534">
        <w:trPr>
          <w:jc w:val="center"/>
        </w:trPr>
        <w:tc>
          <w:tcPr>
            <w:tcW w:w="1247"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Apéndice</w:t>
            </w:r>
          </w:p>
        </w:tc>
        <w:tc>
          <w:tcPr>
            <w:tcW w:w="5386"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Contenido</w:t>
            </w:r>
          </w:p>
        </w:tc>
        <w:tc>
          <w:tcPr>
            <w:tcW w:w="2154" w:type="dxa"/>
            <w:tcBorders>
              <w:top w:val="single" w:sz="4" w:space="0" w:color="8AA0B8"/>
              <w:left w:val="single" w:sz="4" w:space="0" w:color="8AA0B8"/>
              <w:bottom w:val="single" w:sz="4" w:space="0" w:color="8AA0B8"/>
              <w:right w:val="single" w:sz="4" w:space="0" w:color="8AA0B8"/>
            </w:tcBorders>
            <w:shd w:val="clear" w:color="auto" w:fill="1F3A5F"/>
            <w:tcMar>
              <w:top w:w="0" w:type="dxa"/>
              <w:left w:w="108" w:type="dxa"/>
              <w:bottom w:w="0" w:type="dxa"/>
              <w:right w:w="108" w:type="dxa"/>
            </w:tcMar>
          </w:tcPr>
          <w:p w:rsidR="00E24534" w:rsidRDefault="003F5A0B">
            <w:pPr>
              <w:spacing w:before="60" w:after="60"/>
              <w:jc w:val="center"/>
            </w:pPr>
            <w:r>
              <w:rPr>
                <w:rFonts w:ascii="Times New Roman" w:eastAsia="Times New Roman" w:hAnsi="Times New Roman" w:cs="Times New Roman"/>
                <w:b/>
                <w:bCs/>
                <w:color w:val="FFFFFF"/>
                <w:sz w:val="16"/>
              </w:rPr>
              <w:t>Estado</w:t>
            </w:r>
          </w:p>
        </w:tc>
      </w:tr>
      <w:tr w:rsidR="00E24534">
        <w:trPr>
          <w:cantSplit/>
          <w:jc w:val="center"/>
        </w:trPr>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A</w:t>
            </w:r>
          </w:p>
        </w:tc>
        <w:tc>
          <w:tcPr>
            <w:tcW w:w="5386"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Matriz de doble entrada (Excel V3 + prompts detallados)</w:t>
            </w:r>
          </w:p>
        </w:tc>
        <w:tc>
          <w:tcPr>
            <w:tcW w:w="215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Existe en documents/matriz_doble_entrada/</w:t>
            </w:r>
          </w:p>
        </w:tc>
      </w:tr>
      <w:tr w:rsidR="00E24534">
        <w:trPr>
          <w:cantSplit/>
          <w:jc w:val="center"/>
        </w:trPr>
        <w:tc>
          <w:tcPr>
            <w:tcW w:w="124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B</w:t>
            </w:r>
          </w:p>
        </w:tc>
        <w:tc>
          <w:tcPr>
            <w:tcW w:w="5386"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Catálogo de prompts versionados (índice, no los 48 textos)</w:t>
            </w:r>
          </w:p>
        </w:tc>
        <w:tc>
          <w:tcPr>
            <w:tcW w:w="215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prompts/gobernanza/catalogo.md</w:t>
            </w:r>
          </w:p>
        </w:tc>
      </w:tr>
      <w:tr w:rsidR="00E24534">
        <w:trPr>
          <w:cantSplit/>
          <w:jc w:val="center"/>
        </w:trPr>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C</w:t>
            </w:r>
          </w:p>
        </w:tc>
        <w:tc>
          <w:tcPr>
            <w:tcW w:w="5386"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Outputs representativos (1 HU, 1 ADR, 1 fragmento, 1 test)</w:t>
            </w:r>
          </w:p>
        </w:tc>
        <w:tc>
          <w:tcPr>
            <w:tcW w:w="215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Seleccionar 1 HU, ADR-001, 1 controlador y 1 test</w:t>
            </w:r>
          </w:p>
        </w:tc>
      </w:tr>
      <w:tr w:rsidR="00E24534">
        <w:trPr>
          <w:cantSplit/>
          <w:jc w:val="center"/>
        </w:trPr>
        <w:tc>
          <w:tcPr>
            <w:tcW w:w="124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D</w:t>
            </w:r>
          </w:p>
        </w:tc>
        <w:tc>
          <w:tcPr>
            <w:tcW w:w="5386"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Checklists D1/D2 de 2–3 prompts</w:t>
            </w:r>
          </w:p>
        </w:tc>
        <w:tc>
          <w:tcPr>
            <w:tcW w:w="215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I-002, D-006 y M-004 (recomendado)</w:t>
            </w:r>
          </w:p>
        </w:tc>
      </w:tr>
      <w:tr w:rsidR="00E24534">
        <w:trPr>
          <w:cantSplit/>
          <w:jc w:val="center"/>
        </w:trPr>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E</w:t>
            </w:r>
          </w:p>
        </w:tc>
        <w:tc>
          <w:tcPr>
            <w:tcW w:w="5386"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Reportes de cobertura / pruebas</w:t>
            </w:r>
          </w:p>
        </w:tc>
        <w:tc>
          <w:tcPr>
            <w:tcW w:w="215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Salida de composer test / npm test / pytest</w:t>
            </w:r>
          </w:p>
        </w:tc>
      </w:tr>
      <w:tr w:rsidR="00E24534">
        <w:trPr>
          <w:cantSplit/>
          <w:jc w:val="center"/>
        </w:trPr>
        <w:tc>
          <w:tcPr>
            <w:tcW w:w="1247"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F</w:t>
            </w:r>
          </w:p>
        </w:tc>
        <w:tc>
          <w:tcPr>
            <w:tcW w:w="5386"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Evidencias de revisión y puesta en producción</w:t>
            </w:r>
          </w:p>
        </w:tc>
        <w:tc>
          <w:tcPr>
            <w:tcW w:w="2154" w:type="dxa"/>
            <w:tcBorders>
              <w:top w:val="single" w:sz="4" w:space="0" w:color="8AA0B8"/>
              <w:left w:val="single" w:sz="4" w:space="0" w:color="8AA0B8"/>
              <w:bottom w:val="single" w:sz="4" w:space="0" w:color="8AA0B8"/>
              <w:right w:val="single" w:sz="4" w:space="0" w:color="8AA0B8"/>
            </w:tcBorders>
            <w:shd w:val="clear" w:color="auto" w:fill="FFFFFF"/>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Checklist, pruebas de humo y responsable</w:t>
            </w:r>
          </w:p>
        </w:tc>
      </w:tr>
      <w:tr w:rsidR="00E24534">
        <w:trPr>
          <w:cantSplit/>
          <w:jc w:val="center"/>
        </w:trPr>
        <w:tc>
          <w:tcPr>
            <w:tcW w:w="1247"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G</w:t>
            </w:r>
          </w:p>
        </w:tc>
        <w:tc>
          <w:tcPr>
            <w:tcW w:w="5386"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color w:val="1A1A1A"/>
                <w:sz w:val="16"/>
              </w:rPr>
              <w:t>Macroprocesos, procedimientos y BPMN Bizagi</w:t>
            </w:r>
          </w:p>
        </w:tc>
        <w:tc>
          <w:tcPr>
            <w:tcW w:w="2154" w:type="dxa"/>
            <w:tcBorders>
              <w:top w:val="single" w:sz="4" w:space="0" w:color="8AA0B8"/>
              <w:left w:val="single" w:sz="4" w:space="0" w:color="8AA0B8"/>
              <w:bottom w:val="single" w:sz="4" w:space="0" w:color="8AA0B8"/>
              <w:right w:val="single" w:sz="4" w:space="0" w:color="8AA0B8"/>
            </w:tcBorders>
            <w:shd w:val="clear" w:color="auto" w:fill="F4F7FB"/>
            <w:tcMar>
              <w:top w:w="0" w:type="dxa"/>
              <w:left w:w="108" w:type="dxa"/>
              <w:bottom w:w="0" w:type="dxa"/>
              <w:right w:w="108" w:type="dxa"/>
            </w:tcMar>
          </w:tcPr>
          <w:p w:rsidR="00E24534" w:rsidRDefault="003F5A0B">
            <w:pPr>
              <w:spacing w:before="40" w:after="40"/>
            </w:pPr>
            <w:r>
              <w:rPr>
                <w:rFonts w:ascii="Times New Roman" w:eastAsia="Times New Roman" w:hAnsi="Times New Roman" w:cs="Times New Roman"/>
                <w:b w:val="0"/>
                <w:i w:val="0"/>
                <w:color w:val="1A1A1A"/>
                <w:sz w:val="20"/>
              </w:rPr>
              <w:t>En el apartado 3.5, figuras 4 a 7</w:t>
            </w:r>
          </w:p>
        </w:tc>
      </w:tr>
    </w:tbl>
    <w:p w:rsidR="00E24534" w:rsidRDefault="003F5A0B">
      <w:pPr>
        <w:spacing w:before="80" w:after="240" w:line="240" w:lineRule="auto"/>
        <w:jc w:val="center"/>
      </w:pPr>
      <w:r>
        <w:rPr>
          <w:rFonts w:ascii="Times New Roman" w:eastAsia="Times New Roman" w:hAnsi="Times New Roman" w:cs="Times New Roman"/>
          <w:i/>
          <w:iCs/>
          <w:color w:val="4A5568"/>
          <w:sz w:val="20"/>
        </w:rPr>
        <w:lastRenderedPageBreak/>
        <w:t>Tabla 22. Apéndices previstos del Anexo 07.</w:t>
      </w:r>
    </w:p>
    <w:sectPr w:rsidR="00E24534">
      <w:headerReference w:type="default" r:id="rId27"/>
      <w:footerReference w:type="default" r:id="rId28"/>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15DE" w:rsidRDefault="001915DE">
      <w:pPr>
        <w:spacing w:after="0" w:line="240" w:lineRule="auto"/>
      </w:pPr>
      <w:r>
        <w:separator/>
      </w:r>
    </w:p>
  </w:endnote>
  <w:endnote w:type="continuationSeparator" w:id="0">
    <w:p w:rsidR="001915DE" w:rsidRDefault="00191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19C5" w:rsidRDefault="003E19C5">
    <w:pPr>
      <w:pStyle w:val="Piedepgina"/>
      <w:jc w:val="center"/>
    </w:pPr>
    <w:r>
      <w:rPr>
        <w:rFonts w:ascii="Times New Roman" w:eastAsia="Times New Roman" w:hAnsi="Times New Roman"/>
        <w:color w:val="4A5568"/>
        <w:sz w:val="18"/>
      </w:rPr>
      <w:t xml:space="preserve">Sigemad MPA  ·  Municipalidad Provincial de Acobamba     —     </w:t>
    </w:r>
    <w:r>
      <w:rPr>
        <w:rFonts w:ascii="Times New Roman" w:eastAsia="Times New Roman" w:hAnsi="Times New Roman"/>
        <w:color w:val="4A5568"/>
        <w:sz w:val="20"/>
      </w:rPr>
      <w:fldChar w:fldCharType="begin"/>
    </w:r>
    <w:r>
      <w:rPr>
        <w:rFonts w:ascii="Times New Roman" w:eastAsia="Times New Roman" w:hAnsi="Times New Roman"/>
        <w:color w:val="4A5568"/>
        <w:sz w:val="20"/>
      </w:rPr>
      <w:instrText>PAGE</w:instrText>
    </w:r>
    <w:r>
      <w:rPr>
        <w:rFonts w:ascii="Times New Roman" w:eastAsia="Times New Roman" w:hAnsi="Times New Roman"/>
        <w:color w:val="4A5568"/>
        <w:sz w:val="20"/>
      </w:rPr>
      <w:fldChar w:fldCharType="separate"/>
    </w:r>
    <w:r>
      <w:rPr>
        <w:rFonts w:ascii="Times New Roman" w:eastAsia="Times New Roman" w:hAnsi="Times New Roman"/>
        <w:noProof/>
        <w:color w:val="4A5568"/>
        <w:sz w:val="20"/>
      </w:rPr>
      <w:t>1</w:t>
    </w:r>
    <w:r>
      <w:rPr>
        <w:rFonts w:ascii="Times New Roman" w:eastAsia="Times New Roman" w:hAnsi="Times New Roman"/>
        <w:color w:val="4A556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15DE" w:rsidRDefault="001915DE">
      <w:pPr>
        <w:spacing w:after="0" w:line="240" w:lineRule="auto"/>
      </w:pPr>
      <w:r>
        <w:separator/>
      </w:r>
    </w:p>
  </w:footnote>
  <w:footnote w:type="continuationSeparator" w:id="0">
    <w:p w:rsidR="001915DE" w:rsidRDefault="001915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19C5" w:rsidRDefault="003E19C5">
    <w:pPr>
      <w:pStyle w:val="Encabezado"/>
      <w:jc w:val="right"/>
    </w:pPr>
    <w:r>
      <w:rPr>
        <w:rFonts w:ascii="Times New Roman" w:eastAsia="Times New Roman" w:hAnsi="Times New Roman"/>
        <w:i/>
        <w:color w:val="4A5568"/>
        <w:sz w:val="18"/>
      </w:rPr>
      <w:t>Anexo 07  ·  Intervención metodológica  ·  Prompt-Centered SDLC v1.2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6E6"/>
    <w:rsid w:val="0006063C"/>
    <w:rsid w:val="0013411C"/>
    <w:rsid w:val="0015074B"/>
    <w:rsid w:val="001761F4"/>
    <w:rsid w:val="001915DE"/>
    <w:rsid w:val="001A1DAE"/>
    <w:rsid w:val="0029639D"/>
    <w:rsid w:val="00323694"/>
    <w:rsid w:val="00326F90"/>
    <w:rsid w:val="003D610D"/>
    <w:rsid w:val="003E19C5"/>
    <w:rsid w:val="003F5A0B"/>
    <w:rsid w:val="00460CDC"/>
    <w:rsid w:val="006A4A40"/>
    <w:rsid w:val="00716484"/>
    <w:rsid w:val="008B624A"/>
    <w:rsid w:val="009924C0"/>
    <w:rsid w:val="00A45CE6"/>
    <w:rsid w:val="00A47DDC"/>
    <w:rsid w:val="00AA1D8D"/>
    <w:rsid w:val="00B47730"/>
    <w:rsid w:val="00BA7E9C"/>
    <w:rsid w:val="00BB0D09"/>
    <w:rsid w:val="00CB0664"/>
    <w:rsid w:val="00D4320B"/>
    <w:rsid w:val="00D552DF"/>
    <w:rsid w:val="00DC7EDB"/>
    <w:rsid w:val="00E24534"/>
    <w:rsid w:val="00FC21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DA2021A-EF32-4439-A294-7E152EA70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globo">
    <w:name w:val="Balloon Text"/>
    <w:basedOn w:val="Normal"/>
    <w:link w:val="TextodegloboCar"/>
    <w:uiPriority w:val="99"/>
    <w:semiHidden/>
    <w:unhideWhenUsed/>
    <w:rsid w:val="00FC216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C216D"/>
    <w:rPr>
      <w:rFonts w:ascii="Segoe UI" w:hAnsi="Segoe UI" w:cs="Segoe UI"/>
      <w:sz w:val="18"/>
      <w:szCs w:val="18"/>
    </w:rPr>
  </w:style>
  <w:style w:type="character" w:styleId="Hipervnculo">
    <w:name w:val="Hyperlink"/>
    <w:basedOn w:val="Fuentedeprrafopredeter"/>
    <w:uiPriority w:val="99"/>
    <w:unhideWhenUsed/>
    <w:rsid w:val="00BA7E9C"/>
    <w:rPr>
      <w:color w:val="0000FF" w:themeColor="hyperlink"/>
      <w:u w:val="single"/>
    </w:rPr>
  </w:style>
  <w:style w:type="character" w:styleId="Mencinsinresolver">
    <w:name w:val="Unresolved Mention"/>
    <w:basedOn w:val="Fuentedeprrafopredeter"/>
    <w:uiPriority w:val="99"/>
    <w:semiHidden/>
    <w:unhideWhenUsed/>
    <w:rsid w:val="00BA7E9C"/>
    <w:rPr>
      <w:color w:val="605E5C"/>
      <w:shd w:val="clear" w:color="auto" w:fill="E1DFDD"/>
    </w:rPr>
  </w:style>
  <w:style w:type="paragraph" w:styleId="Bibliografa">
    <w:name w:val="Bibliography"/>
    <w:basedOn w:val="Normal"/>
    <w:next w:val="Normal"/>
    <w:uiPriority w:val="37"/>
    <w:unhideWhenUsed/>
    <w:rsid w:val="00134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8371342">
      <w:bodyDiv w:val="1"/>
      <w:marLeft w:val="0"/>
      <w:marRight w:val="0"/>
      <w:marTop w:val="0"/>
      <w:marBottom w:val="0"/>
      <w:divBdr>
        <w:top w:val="none" w:sz="0" w:space="0" w:color="auto"/>
        <w:left w:val="none" w:sz="0" w:space="0" w:color="auto"/>
        <w:bottom w:val="none" w:sz="0" w:space="0" w:color="auto"/>
        <w:right w:val="none" w:sz="0" w:space="0" w:color="auto"/>
      </w:divBdr>
    </w:div>
    <w:div w:id="1637753670">
      <w:bodyDiv w:val="1"/>
      <w:marLeft w:val="0"/>
      <w:marRight w:val="0"/>
      <w:marTop w:val="0"/>
      <w:marBottom w:val="0"/>
      <w:divBdr>
        <w:top w:val="none" w:sz="0" w:space="0" w:color="auto"/>
        <w:left w:val="none" w:sz="0" w:space="0" w:color="auto"/>
        <w:bottom w:val="none" w:sz="0" w:space="0" w:color="auto"/>
        <w:right w:val="none" w:sz="0" w:space="0" w:color="auto"/>
      </w:divBdr>
    </w:div>
    <w:div w:id="1960184747">
      <w:bodyDiv w:val="1"/>
      <w:marLeft w:val="0"/>
      <w:marRight w:val="0"/>
      <w:marTop w:val="0"/>
      <w:marBottom w:val="0"/>
      <w:divBdr>
        <w:top w:val="none" w:sz="0" w:space="0" w:color="auto"/>
        <w:left w:val="none" w:sz="0" w:space="0" w:color="auto"/>
        <w:bottom w:val="none" w:sz="0" w:space="0" w:color="auto"/>
        <w:right w:val="none" w:sz="0" w:space="0" w:color="auto"/>
      </w:divBdr>
      <w:divsChild>
        <w:div w:id="1872760546">
          <w:marLeft w:val="0"/>
          <w:marRight w:val="0"/>
          <w:marTop w:val="360"/>
          <w:marBottom w:val="180"/>
          <w:divBdr>
            <w:top w:val="single" w:sz="2" w:space="0" w:color="52525C"/>
            <w:left w:val="single" w:sz="2" w:space="0" w:color="52525C"/>
            <w:bottom w:val="single" w:sz="2" w:space="0" w:color="52525C"/>
            <w:right w:val="single" w:sz="2" w:space="0" w:color="52525C"/>
          </w:divBdr>
        </w:div>
      </w:divsChild>
    </w:div>
    <w:div w:id="1969895743">
      <w:bodyDiv w:val="1"/>
      <w:marLeft w:val="0"/>
      <w:marRight w:val="0"/>
      <w:marTop w:val="0"/>
      <w:marBottom w:val="0"/>
      <w:divBdr>
        <w:top w:val="none" w:sz="0" w:space="0" w:color="auto"/>
        <w:left w:val="none" w:sz="0" w:space="0" w:color="auto"/>
        <w:bottom w:val="none" w:sz="0" w:space="0" w:color="auto"/>
        <w:right w:val="none" w:sz="0" w:space="0" w:color="auto"/>
      </w:divBdr>
      <w:divsChild>
        <w:div w:id="1146705198">
          <w:marLeft w:val="0"/>
          <w:marRight w:val="0"/>
          <w:marTop w:val="360"/>
          <w:marBottom w:val="180"/>
          <w:divBdr>
            <w:top w:val="single" w:sz="2" w:space="0" w:color="52525C"/>
            <w:left w:val="single" w:sz="2" w:space="0" w:color="52525C"/>
            <w:bottom w:val="single" w:sz="2" w:space="0" w:color="52525C"/>
            <w:right w:val="single" w:sz="2" w:space="0" w:color="52525C"/>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github.com/AxlTech25/Gestion-MPA/tree/main/prompt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EE80F9-3569-4060-80AA-2C8FCFBC4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Pages>
  <Words>23896</Words>
  <Characters>131428</Characters>
  <Application>Microsoft Office Word</Application>
  <DocSecurity>0</DocSecurity>
  <Lines>1095</Lines>
  <Paragraphs>310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155014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angui flores</cp:lastModifiedBy>
  <cp:revision>8</cp:revision>
  <dcterms:created xsi:type="dcterms:W3CDTF">2013-12-23T23:15:00Z</dcterms:created>
  <dcterms:modified xsi:type="dcterms:W3CDTF">2026-09-24T21:05:00Z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id="3WZ3M9rx"/&gt;&lt;style id="http://www.zotero.org/styles/ieee" locale="es-MX" hasBibliography="1" bibliographyStyleHasBeenSet="1"/&gt;&lt;prefs&gt;&lt;pref name="fieldType" value="Field"/&gt;&lt;/prefs&gt;&lt;/data&gt;</vt:lpwstr>
  </property>
</Properties>
</file>