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50"/>
        <w:jc w:val="center"/>
      </w:pPr>
      <w:r>
        <w:rPr>
          <w:rFonts w:ascii="Arial" w:cs="Arial" w:eastAsia="Arial" w:hAnsi="Arial"/>
          <w:b/>
          <w:bCs/>
          <w:color w:val="1F4E79"/>
          <w:sz w:val="22"/>
          <w:szCs w:val="22"/>
        </w:rPr>
        <w:t xml:space="preserve">UNIVERSIDAD CONTINENTAL</w:t>
      </w:r>
    </w:p>
    <w:p>
      <w:pPr>
        <w:spacing w:after="240"/>
        <w:jc w:val="center"/>
      </w:pPr>
      <w:r>
        <w:rPr>
          <w:rFonts w:ascii="Arial" w:cs="Arial" w:eastAsia="Arial" w:hAnsi="Arial"/>
          <w:color w:val="404040"/>
          <w:sz w:val="15"/>
          <w:szCs w:val="15"/>
        </w:rPr>
        <w:t xml:space="preserve">Escuela Académico Profesional de Ingeniería de Sistemas e Informática</w:t>
      </w:r>
    </w:p>
    <w:p>
      <w:pPr>
        <w:pBdr>
          <w:bottom w:val="single" w:color="1F4E79" w:sz="12" w:space="1"/>
        </w:pBdr>
        <w:spacing w:after="80" w:before="120"/>
        <w:jc w:val="center"/>
      </w:pPr>
      <w:r>
        <w:rPr>
          <w:rFonts w:ascii="Arial" w:cs="Arial" w:eastAsia="Arial" w:hAnsi="Arial"/>
          <w:b/>
          <w:bCs/>
          <w:color w:val="1F4E79"/>
          <w:sz w:val="36"/>
          <w:szCs w:val="36"/>
        </w:rPr>
        <w:t xml:space="preserve">ANEXO 7</w:t>
      </w:r>
    </w:p>
    <w:p>
      <w:pPr>
        <w:spacing w:after="40" w:before="120"/>
        <w:jc w:val="center"/>
      </w:pPr>
      <w:r>
        <w:rPr>
          <w:rFonts w:ascii="Arial" w:cs="Arial" w:eastAsia="Arial" w:hAnsi="Arial"/>
          <w:b/>
          <w:bCs/>
          <w:color w:val="2E75B6"/>
          <w:sz w:val="24"/>
          <w:szCs w:val="24"/>
        </w:rPr>
        <w:t xml:space="preserve">Intervención metodológica</w:t>
      </w:r>
    </w:p>
    <w:p>
      <w:pPr>
        <w:spacing w:after="160"/>
        <w:jc w:val="center"/>
      </w:pPr>
      <w:r>
        <w:rPr>
          <w:rFonts w:ascii="Arial" w:cs="Arial" w:eastAsia="Arial" w:hAnsi="Arial"/>
          <w:color w:val="404040"/>
          <w:sz w:val="20"/>
          <w:szCs w:val="20"/>
        </w:rPr>
        <w:t xml:space="preserve">Aplicación del Prompt-Centered SDLC</w:t>
      </w:r>
    </w:p>
    <w:p>
      <w:pPr>
        <w:shd w:fill="D6E3F0" w:val="clear"/>
        <w:spacing w:after="40" w:before="80"/>
        <w:jc w:val="center"/>
      </w:pPr>
      <w:r>
        <w:rPr>
          <w:rFonts w:ascii="Arial" w:cs="Arial" w:eastAsia="Arial" w:hAnsi="Arial"/>
          <w:b/>
          <w:bCs/>
          <w:color w:val="1F4E79"/>
          <w:sz w:val="17"/>
          <w:szCs w:val="17"/>
        </w:rPr>
        <w:t xml:space="preserve">Caso: Sistema para Municipalidad de Huancavelica</w:t>
      </w:r>
    </w:p>
    <w:p>
      <w:pPr>
        <w:spacing w:before="200"/>
      </w:pPr>
    </w:p>
    <w:p>
      <w:pPr>
        <w:jc w:val="center"/>
      </w:pPr>
      <w:r>
        <w:rPr>
          <w:rFonts w:ascii="Arial" w:cs="Arial" w:eastAsia="Arial" w:hAnsi="Arial"/>
          <w:i/>
          <w:iCs/>
          <w:color w:val="555555"/>
          <w:sz w:val="16"/>
          <w:szCs w:val="16"/>
        </w:rPr>
        <w:t xml:space="preserve">Este anexo documenta la aplicación operativa de la metodología</w:t>
      </w:r>
    </w:p>
    <w:p>
      <w:pPr>
        <w:jc w:val="center"/>
      </w:pPr>
      <w:r>
        <w:rPr>
          <w:rFonts w:ascii="Arial" w:cs="Arial" w:eastAsia="Arial" w:hAnsi="Arial"/>
          <w:i/>
          <w:iCs/>
          <w:color w:val="555555"/>
          <w:sz w:val="16"/>
          <w:szCs w:val="16"/>
        </w:rPr>
        <w:t xml:space="preserve">y constituye evidencia de soporte del Capítulo 4 (Resultados y discusión).</w:t>
      </w:r>
    </w:p>
    <w:p>
      <w:pPr>
        <w:spacing w:before="100"/>
        <w:jc w:val="center"/>
      </w:pPr>
      <w:r>
        <w:rPr>
          <w:rFonts w:ascii="Arial" w:cs="Arial" w:eastAsia="Arial" w:hAnsi="Arial"/>
          <w:color w:val="777777"/>
          <w:sz w:val="14"/>
          <w:szCs w:val="14"/>
        </w:rPr>
        <w:t xml:space="preserve">Cajas grises = qué redactar. Cajas azules = qué tipo de cita corresponde.</w:t>
      </w:r>
    </w:p>
    <w:p>
      <w:r>
        <w:br w:type="page"/>
      </w:r>
    </w:p>
    <w:p>
      <w:pPr>
        <w:pStyle w:val="Heading1"/>
        <w:spacing w:after="140" w:before="280"/>
      </w:pPr>
      <w:r>
        <w:rPr>
          <w:rFonts w:ascii="Arial" w:cs="Arial" w:eastAsia="Arial" w:hAnsi="Arial"/>
          <w:b/>
          <w:bCs/>
          <w:color w:val="1F4E79"/>
          <w:sz w:val="28"/>
          <w:szCs w:val="28"/>
        </w:rPr>
        <w:t xml:space="preserve">Nota de propósito y vínculo con la tesis</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de forma explícita que este Anexo 7 documenta la intervención metodológica (aplicación del Prompt-Centered SDLC en el desarrollo del sistema para la Municipalidad de Huancavelica) y que la evidencia aquí contenida (prompts versionados, evaluación D2, matriz de doble entrada, trazabilidad y métricas de proceso) alimenta el Capítulo 4 – Resultados y discusión, donde se presentan el análisis estadístico y la discusión de hallazgos. Aclarar que las conclusiones generales de la tesis y las recomendaciones finales no se desarrollan en este anexo.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la fuente primaria de la metodología (Rojas Camayo, Prompt-Centered SDLC versión 1.2) al presentar el anexo.</w:t>
      </w:r>
    </w:p>
    <w:p>
      <w:pPr>
        <w:pStyle w:val="Heading1"/>
        <w:spacing w:after="140" w:before="280"/>
      </w:pPr>
      <w:r>
        <w:rPr>
          <w:rFonts w:ascii="Arial" w:cs="Arial" w:eastAsia="Arial" w:hAnsi="Arial"/>
          <w:b/>
          <w:bCs/>
          <w:color w:val="1F4E79"/>
          <w:sz w:val="28"/>
          <w:szCs w:val="28"/>
        </w:rPr>
        <w:t xml:space="preserve">Contenido del anexo</w:t>
      </w:r>
    </w:p>
    <w:p>
      <w:pPr>
        <w:spacing w:after="90" w:before="30" w:line="276"/>
      </w:pPr>
      <w:r>
        <w:rPr>
          <w:rFonts w:ascii="Arial" w:cs="Arial" w:eastAsia="Arial" w:hAnsi="Arial"/>
          <w:sz w:val="20"/>
          <w:szCs w:val="20"/>
        </w:rPr>
        <w:t xml:space="preserve">1. Introducción a la intervención metodológica</w:t>
      </w:r>
    </w:p>
    <w:p>
      <w:pPr>
        <w:spacing w:after="90" w:before="30" w:line="276"/>
      </w:pPr>
      <w:r>
        <w:rPr>
          <w:rFonts w:ascii="Arial" w:cs="Arial" w:eastAsia="Arial" w:hAnsi="Arial"/>
          <w:sz w:val="20"/>
          <w:szCs w:val="20"/>
        </w:rPr>
        <w:t xml:space="preserve">2. Justificación de la elección del Prompt-Centered SDLC</w:t>
      </w:r>
    </w:p>
    <w:p>
      <w:pPr>
        <w:spacing w:after="90" w:before="30" w:line="276"/>
      </w:pPr>
      <w:r>
        <w:rPr>
          <w:rFonts w:ascii="Arial" w:cs="Arial" w:eastAsia="Arial" w:hAnsi="Arial"/>
          <w:sz w:val="20"/>
          <w:szCs w:val="20"/>
        </w:rPr>
        <w:t xml:space="preserve">3. Descripción del proyecto de software</w:t>
      </w:r>
    </w:p>
    <w:p>
      <w:pPr>
        <w:spacing w:after="90" w:before="30" w:line="276"/>
      </w:pPr>
      <w:r>
        <w:rPr>
          <w:rFonts w:ascii="Arial" w:cs="Arial" w:eastAsia="Arial" w:hAnsi="Arial"/>
          <w:sz w:val="20"/>
          <w:szCs w:val="20"/>
        </w:rPr>
        <w:t xml:space="preserve">4. Preparación y entrada mínima del proyecto</w:t>
      </w:r>
    </w:p>
    <w:p>
      <w:pPr>
        <w:spacing w:after="90" w:before="30" w:line="276"/>
      </w:pPr>
      <w:r>
        <w:rPr>
          <w:rFonts w:ascii="Arial" w:cs="Arial" w:eastAsia="Arial" w:hAnsi="Arial"/>
          <w:sz w:val="20"/>
          <w:szCs w:val="20"/>
        </w:rPr>
        <w:t xml:space="preserve">5. Aplicación por fases del SDLC</w:t>
      </w:r>
    </w:p>
    <w:p>
      <w:pPr>
        <w:spacing w:after="90" w:before="30" w:line="276"/>
      </w:pPr>
      <w:r>
        <w:rPr>
          <w:rFonts w:ascii="Arial" w:cs="Arial" w:eastAsia="Arial" w:hAnsi="Arial"/>
          <w:sz w:val="20"/>
          <w:szCs w:val="20"/>
        </w:rPr>
        <w:t xml:space="preserve">6. Evaluación, refinamiento y versionado de prompts</w:t>
      </w:r>
    </w:p>
    <w:p>
      <w:pPr>
        <w:spacing w:after="90" w:before="30" w:line="276"/>
      </w:pPr>
      <w:r>
        <w:rPr>
          <w:rFonts w:ascii="Arial" w:cs="Arial" w:eastAsia="Arial" w:hAnsi="Arial"/>
          <w:sz w:val="20"/>
          <w:szCs w:val="20"/>
        </w:rPr>
        <w:t xml:space="preserve">7. Matriz de doble entrada: trazabilidad de funciones y prompts</w:t>
      </w:r>
    </w:p>
    <w:p>
      <w:pPr>
        <w:spacing w:after="90" w:before="30" w:line="276"/>
      </w:pPr>
      <w:r>
        <w:rPr>
          <w:rFonts w:ascii="Arial" w:cs="Arial" w:eastAsia="Arial" w:hAnsi="Arial"/>
          <w:sz w:val="20"/>
          <w:szCs w:val="20"/>
        </w:rPr>
        <w:t xml:space="preserve">8. Nivel de automatización agentica alcanzado</w:t>
      </w:r>
    </w:p>
    <w:p>
      <w:pPr>
        <w:spacing w:after="90" w:before="30" w:line="276"/>
      </w:pPr>
      <w:r>
        <w:rPr>
          <w:rFonts w:ascii="Arial" w:cs="Arial" w:eastAsia="Arial" w:hAnsi="Arial"/>
          <w:sz w:val="20"/>
          <w:szCs w:val="20"/>
        </w:rPr>
        <w:t xml:space="preserve">9. Seguridad, gobernanza y monitoreo</w:t>
      </w:r>
    </w:p>
    <w:p>
      <w:pPr>
        <w:spacing w:after="90" w:before="30" w:line="276"/>
      </w:pPr>
      <w:r>
        <w:rPr>
          <w:rFonts w:ascii="Arial" w:cs="Arial" w:eastAsia="Arial" w:hAnsi="Arial"/>
          <w:sz w:val="20"/>
          <w:szCs w:val="20"/>
        </w:rPr>
        <w:t xml:space="preserve">10. Trazabilidad de artefactos (síntesis)</w:t>
      </w:r>
    </w:p>
    <w:p>
      <w:pPr>
        <w:spacing w:after="90" w:before="30" w:line="276"/>
      </w:pPr>
      <w:r>
        <w:rPr>
          <w:rFonts w:ascii="Arial" w:cs="Arial" w:eastAsia="Arial" w:hAnsi="Arial"/>
          <w:sz w:val="20"/>
          <w:szCs w:val="20"/>
        </w:rPr>
        <w:t xml:space="preserve">11. Métricas de proceso de la intervención</w:t>
      </w:r>
    </w:p>
    <w:p>
      <w:pPr>
        <w:spacing w:after="90" w:before="30" w:line="276"/>
      </w:pPr>
      <w:r>
        <w:rPr>
          <w:rFonts w:ascii="Arial" w:cs="Arial" w:eastAsia="Arial" w:hAnsi="Arial"/>
          <w:sz w:val="20"/>
          <w:szCs w:val="20"/>
        </w:rPr>
        <w:t xml:space="preserve">12. Lecciones aprendidas de la intervención</w:t>
      </w:r>
    </w:p>
    <w:p>
      <w:pPr>
        <w:spacing w:after="90" w:before="30" w:line="276"/>
      </w:pPr>
      <w:r>
        <w:rPr>
          <w:rFonts w:ascii="Arial" w:cs="Arial" w:eastAsia="Arial" w:hAnsi="Arial"/>
          <w:sz w:val="20"/>
          <w:szCs w:val="20"/>
        </w:rPr>
        <w:t xml:space="preserve">13. Cierre del anexo</w:t>
      </w:r>
    </w:p>
    <w:p>
      <w:pPr>
        <w:spacing w:after="90" w:before="30" w:line="276"/>
      </w:pPr>
      <w:r>
        <w:rPr>
          <w:rFonts w:ascii="Arial" w:cs="Arial" w:eastAsia="Arial" w:hAnsi="Arial"/>
          <w:sz w:val="20"/>
          <w:szCs w:val="20"/>
        </w:rPr>
        <w:t xml:space="preserve">14. Referencias utilizadas en este anexo</w:t>
      </w:r>
    </w:p>
    <w:p>
      <w:pPr>
        <w:spacing w:after="90" w:before="30" w:line="276"/>
      </w:pPr>
      <w:r>
        <w:rPr>
          <w:rFonts w:ascii="Arial" w:cs="Arial" w:eastAsia="Arial" w:hAnsi="Arial"/>
          <w:sz w:val="20"/>
          <w:szCs w:val="20"/>
        </w:rPr>
        <w:t xml:space="preserve">Apéndices del anexo (si aplica)</w:t>
      </w:r>
    </w:p>
    <w:p>
      <w:r>
        <w:br w:type="page"/>
      </w:r>
    </w:p>
    <w:p>
      <w:pPr>
        <w:pStyle w:val="Heading1"/>
        <w:spacing w:after="140" w:before="280"/>
      </w:pPr>
      <w:r>
        <w:rPr>
          <w:rFonts w:ascii="Arial" w:cs="Arial" w:eastAsia="Arial" w:hAnsi="Arial"/>
          <w:b/>
          <w:bCs/>
          <w:color w:val="1F4E79"/>
          <w:sz w:val="28"/>
          <w:szCs w:val="28"/>
        </w:rPr>
        <w:t xml:space="preserve">1. Introducción a la intervención metodológica</w:t>
      </w:r>
    </w:p>
    <w:p>
      <w:pPr>
        <w:pStyle w:val="Heading2"/>
        <w:spacing w:after="100" w:before="220"/>
      </w:pPr>
      <w:r>
        <w:rPr>
          <w:rFonts w:ascii="Arial" w:cs="Arial" w:eastAsia="Arial" w:hAnsi="Arial"/>
          <w:b/>
          <w:bCs/>
          <w:color w:val="2E75B6"/>
          <w:sz w:val="23"/>
          <w:szCs w:val="23"/>
        </w:rPr>
        <w:t xml:space="preserve">1.1 Propósito de este anexo</w:t>
      </w:r>
    </w:p>
    <w:p>
      <w:pPr>
        <w:pBdr>
          <w:left w:val="single" w:color="1F4E79" w:sz="16"/>
        </w:pBdr>
        <w:shd w:fill="F5F5F5" w:val="clear"/>
        <w:spacing w:after="90" w:before="35" w:line="276"/>
        <w:ind w:left="70"/>
      </w:pPr>
      <w:r>
        <w:rPr>
          <w:rFonts w:ascii="Arial" w:cs="Arial" w:eastAsia="Arial" w:hAnsi="Arial"/>
          <w:color w:val="333333"/>
          <w:sz w:val="19"/>
          <w:szCs w:val="19"/>
        </w:rPr>
        <w:t xml:space="preserve">Redactar qué se documenta en este anexo, qué metodología y versión se aplicó, sobre qué sistema se aplicó, y qué se busca evidenciar (aplicación completa, trazabilidad, soporte al Capítulo 4).</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 de la fuente primaria Prompt-Centered SDLC (Rojas Camayo, versión 1.2).</w:t>
      </w:r>
    </w:p>
    <w:p>
      <w:pPr>
        <w:pStyle w:val="Heading2"/>
        <w:spacing w:after="100" w:before="220"/>
      </w:pPr>
      <w:r>
        <w:rPr>
          <w:rFonts w:ascii="Arial" w:cs="Arial" w:eastAsia="Arial" w:hAnsi="Arial"/>
          <w:b/>
          <w:bCs/>
          <w:color w:val="2E75B6"/>
          <w:sz w:val="23"/>
          <w:szCs w:val="23"/>
        </w:rPr>
        <w:t xml:space="preserve">1.2 Objetivos de la intervención</w:t>
      </w:r>
    </w:p>
    <w:p>
      <w:pPr>
        <w:pStyle w:val="Heading3"/>
        <w:spacing w:after="80" w:before="150"/>
      </w:pPr>
      <w:r>
        <w:rPr>
          <w:rFonts w:ascii="Arial" w:cs="Arial" w:eastAsia="Arial" w:hAnsi="Arial"/>
          <w:b/>
          <w:bCs/>
          <w:color w:val="404040"/>
          <w:sz w:val="21"/>
          <w:szCs w:val="21"/>
        </w:rPr>
        <w:t xml:space="preserve">1.2.1 Objetivo general</w:t>
      </w:r>
    </w:p>
    <w:p>
      <w:pPr>
        <w:pBdr>
          <w:left w:val="single" w:color="1F4E79" w:sz="16"/>
        </w:pBdr>
        <w:shd w:fill="F5F5F5" w:val="clear"/>
        <w:spacing w:after="90" w:before="35" w:line="276"/>
        <w:ind w:left="70"/>
      </w:pPr>
      <w:r>
        <w:rPr>
          <w:rFonts w:ascii="Arial" w:cs="Arial" w:eastAsia="Arial" w:hAnsi="Arial"/>
          <w:color w:val="333333"/>
          <w:sz w:val="19"/>
          <w:szCs w:val="19"/>
        </w:rPr>
        <w:t xml:space="preserve">Enunciar el objetivo general de la intervención en este caso concreto (aplicación de la metodología desde requisitos hasta despliegue, con evidencia documentada).</w:t>
      </w:r>
    </w:p>
    <w:p>
      <w:pPr>
        <w:pStyle w:val="Heading3"/>
        <w:spacing w:after="80" w:before="150"/>
      </w:pPr>
      <w:r>
        <w:rPr>
          <w:rFonts w:ascii="Arial" w:cs="Arial" w:eastAsia="Arial" w:hAnsi="Arial"/>
          <w:b/>
          <w:bCs/>
          <w:color w:val="404040"/>
          <w:sz w:val="21"/>
          <w:szCs w:val="21"/>
        </w:rPr>
        <w:t xml:space="preserve">1.2.2 Objetivos específicos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4 a 6 objetivos específicos verificables: anatomía del prompt por fase, versionado y registro, evaluación D2, matriz de doble entrada, nivel de automatización, guardrails de seguridad, trazabilidad extremo a extremo.</w:t>
      </w:r>
    </w:p>
    <w:p>
      <w:pPr>
        <w:pStyle w:val="Heading2"/>
        <w:spacing w:after="100" w:before="220"/>
      </w:pPr>
      <w:r>
        <w:rPr>
          <w:rFonts w:ascii="Arial" w:cs="Arial" w:eastAsia="Arial" w:hAnsi="Arial"/>
          <w:b/>
          <w:bCs/>
          <w:color w:val="2E75B6"/>
          <w:sz w:val="23"/>
          <w:szCs w:val="23"/>
        </w:rPr>
        <w:t xml:space="preserve">1.3 Alcance</w:t>
      </w:r>
    </w:p>
    <w:p>
      <w:pPr>
        <w:pBdr>
          <w:left w:val="single" w:color="1F4E79" w:sz="16"/>
        </w:pBdr>
        <w:shd w:fill="F5F5F5" w:val="clear"/>
        <w:spacing w:after="90" w:before="35" w:line="276"/>
        <w:ind w:left="70"/>
      </w:pPr>
      <w:r>
        <w:rPr>
          <w:rFonts w:ascii="Arial" w:cs="Arial" w:eastAsia="Arial" w:hAnsi="Arial"/>
          <w:color w:val="333333"/>
          <w:sz w:val="19"/>
          <w:szCs w:val="19"/>
        </w:rPr>
        <w:t xml:space="preserve">Definir qué está incluido (fases SDLC, LLMs usados, revisión humana, registro de prompts, matriz de doble entrada) y qué queda fuera (modelos propios, niveles N4–N5 salvo justificación, módulos no prioritarios).</w:t>
      </w:r>
    </w:p>
    <w:p>
      <w:pPr>
        <w:pStyle w:val="Heading2"/>
        <w:spacing w:after="100" w:before="220"/>
      </w:pPr>
      <w:r>
        <w:rPr>
          <w:rFonts w:ascii="Arial" w:cs="Arial" w:eastAsia="Arial" w:hAnsi="Arial"/>
          <w:b/>
          <w:bCs/>
          <w:color w:val="2E75B6"/>
          <w:sz w:val="23"/>
          <w:szCs w:val="23"/>
        </w:rPr>
        <w:t xml:space="preserve">1.4 Marco metodológico de referencia</w:t>
      </w:r>
    </w:p>
    <w:p>
      <w:pPr>
        <w:pBdr>
          <w:left w:val="single" w:color="1F4E79" w:sz="16"/>
        </w:pBdr>
        <w:shd w:fill="F5F5F5" w:val="clear"/>
        <w:spacing w:after="90" w:before="35" w:line="276"/>
        <w:ind w:left="70"/>
      </w:pPr>
      <w:r>
        <w:rPr>
          <w:rFonts w:ascii="Arial" w:cs="Arial" w:eastAsia="Arial" w:hAnsi="Arial"/>
          <w:color w:val="333333"/>
          <w:sz w:val="19"/>
          <w:szCs w:val="19"/>
        </w:rPr>
        <w:t xml:space="preserve">Presentar las cinco dimensiones D1–D5 del Prompt-Centered SDLC y qué producto o evidencia generó cada una en esta intervención. Incluir mención de la matriz de doble entrada como instrumento de trazabilidad (vinculada a D3 y a mantenimiento).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Rojas Camayo. Si se menciona el cuerpo de conocimiento de ingeniería de software, citar SWEBOK.</w:t>
      </w:r>
    </w:p>
    <w:p>
      <w:pPr>
        <w:pStyle w:val="Heading1"/>
        <w:spacing w:after="140" w:before="280"/>
      </w:pPr>
      <w:r>
        <w:rPr>
          <w:rFonts w:ascii="Arial" w:cs="Arial" w:eastAsia="Arial" w:hAnsi="Arial"/>
          <w:b/>
          <w:bCs/>
          <w:color w:val="1F4E79"/>
          <w:sz w:val="28"/>
          <w:szCs w:val="28"/>
        </w:rPr>
        <w:t xml:space="preserve">2. Justificación de la elección del Prompt-Centered SDLC</w:t>
      </w:r>
    </w:p>
    <w:p>
      <w:pPr>
        <w:pStyle w:val="Heading2"/>
        <w:spacing w:after="100" w:before="220"/>
      </w:pPr>
      <w:r>
        <w:rPr>
          <w:rFonts w:ascii="Arial" w:cs="Arial" w:eastAsia="Arial" w:hAnsi="Arial"/>
          <w:b/>
          <w:bCs/>
          <w:color w:val="2E75B6"/>
          <w:sz w:val="23"/>
          <w:szCs w:val="23"/>
        </w:rPr>
        <w:t xml:space="preserve">2.1 Problema metodológico</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el problema del uso artesanal o no estructurado de IA en el SDLC (falta de trazabilidad, criterios de aceptación, gobernanza) y por qué en un contexto de tesis y de software para entidad pública se requiere un proceso auditable.</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uno o dos artículos que documenten problemas del uso no estructurado de GenAI en desarrollo de software.</w:t>
      </w:r>
    </w:p>
    <w:p>
      <w:pPr>
        <w:pStyle w:val="Heading2"/>
        <w:spacing w:after="100" w:before="220"/>
      </w:pPr>
      <w:r>
        <w:rPr>
          <w:rFonts w:ascii="Arial" w:cs="Arial" w:eastAsia="Arial" w:hAnsi="Arial"/>
          <w:b/>
          <w:bCs/>
          <w:color w:val="2E75B6"/>
          <w:sz w:val="23"/>
          <w:szCs w:val="23"/>
        </w:rPr>
        <w:t xml:space="preserve">2.2 Posicionamiento frente a estándares</w:t>
      </w:r>
    </w:p>
    <w:p>
      <w:pPr>
        <w:pStyle w:val="Heading3"/>
        <w:spacing w:after="80" w:before="150"/>
      </w:pPr>
      <w:r>
        <w:rPr>
          <w:rFonts w:ascii="Arial" w:cs="Arial" w:eastAsia="Arial" w:hAnsi="Arial"/>
          <w:b/>
          <w:bCs/>
          <w:color w:val="404040"/>
          <w:sz w:val="21"/>
          <w:szCs w:val="21"/>
        </w:rPr>
        <w:t xml:space="preserve">2.2.1 ISO/IEC/IEEE 12207</w:t>
      </w:r>
    </w:p>
    <w:p>
      <w:pPr>
        <w:pBdr>
          <w:left w:val="single" w:color="1F4E79" w:sz="16"/>
        </w:pBdr>
        <w:shd w:fill="F5F5F5" w:val="clear"/>
        <w:spacing w:after="90" w:before="35" w:line="276"/>
        <w:ind w:left="70"/>
      </w:pPr>
      <w:r>
        <w:rPr>
          <w:rFonts w:ascii="Arial" w:cs="Arial" w:eastAsia="Arial" w:hAnsi="Arial"/>
          <w:color w:val="333333"/>
          <w:sz w:val="19"/>
          <w:szCs w:val="19"/>
        </w:rPr>
        <w:t xml:space="preserve">Explicar que la norma establece el marco de procesos del ciclo de vida. Mapear las fases del Prompt-Centered SDLC usadas en el proyecto con los procesos técnicos de la 12207. Indicar que la metodología se superpone a este marco.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 obligatoria de ISO/IEC/IEEE 12207 (versión disponible).</w:t>
      </w:r>
    </w:p>
    <w:p>
      <w:pPr>
        <w:pStyle w:val="Heading3"/>
        <w:spacing w:after="80" w:before="150"/>
      </w:pPr>
      <w:r>
        <w:rPr>
          <w:rFonts w:ascii="Arial" w:cs="Arial" w:eastAsia="Arial" w:hAnsi="Arial"/>
          <w:b/>
          <w:bCs/>
          <w:color w:val="404040"/>
          <w:sz w:val="21"/>
          <w:szCs w:val="21"/>
        </w:rPr>
        <w:t xml:space="preserve">2.2.2 ISO/IEC 29110</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que, por tratarse de un equipo pequeño (VSE), se considera también el perfil de la serie 29110.</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 de ISO/IEC 29110 (Basic profile u overview).</w:t>
      </w:r>
    </w:p>
    <w:p>
      <w:pPr>
        <w:pStyle w:val="Heading3"/>
        <w:spacing w:after="80" w:before="150"/>
      </w:pPr>
      <w:r>
        <w:rPr>
          <w:rFonts w:ascii="Arial" w:cs="Arial" w:eastAsia="Arial" w:hAnsi="Arial"/>
          <w:b/>
          <w:bCs/>
          <w:color w:val="404040"/>
          <w:sz w:val="21"/>
          <w:szCs w:val="21"/>
        </w:rPr>
        <w:t xml:space="preserve">2.2.3 Otros estándares o cuerpos de conocimiento</w:t>
      </w:r>
    </w:p>
    <w:p>
      <w:pPr>
        <w:pBdr>
          <w:left w:val="single" w:color="1F4E79" w:sz="16"/>
        </w:pBdr>
        <w:shd w:fill="F5F5F5" w:val="clear"/>
        <w:spacing w:after="90" w:before="35" w:line="276"/>
        <w:ind w:left="70"/>
      </w:pPr>
      <w:r>
        <w:rPr>
          <w:rFonts w:ascii="Arial" w:cs="Arial" w:eastAsia="Arial" w:hAnsi="Arial"/>
          <w:color w:val="333333"/>
          <w:sz w:val="19"/>
          <w:szCs w:val="19"/>
        </w:rPr>
        <w:t xml:space="preserve">Si se menciona SWEBOK, CMMI o libro clásico de ingeniería de software de la universidad, indicarlo y justificar.</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SWEBOK y/o el libro correspondiente si se usa.</w:t>
      </w:r>
    </w:p>
    <w:p>
      <w:pPr>
        <w:pStyle w:val="Heading2"/>
        <w:spacing w:after="100" w:before="220"/>
      </w:pPr>
      <w:r>
        <w:rPr>
          <w:rFonts w:ascii="Arial" w:cs="Arial" w:eastAsia="Arial" w:hAnsi="Arial"/>
          <w:b/>
          <w:bCs/>
          <w:color w:val="2E75B6"/>
          <w:sz w:val="23"/>
          <w:szCs w:val="23"/>
        </w:rPr>
        <w:t xml:space="preserve">2.3 Posicionamiento frente a la literatura de IA en el SDLC</w:t>
      </w:r>
    </w:p>
    <w:p>
      <w:pPr>
        <w:pBdr>
          <w:left w:val="single" w:color="1F4E79" w:sz="16"/>
        </w:pBdr>
        <w:shd w:fill="F5F5F5" w:val="clear"/>
        <w:spacing w:after="90" w:before="35" w:line="276"/>
        <w:ind w:left="70"/>
      </w:pPr>
      <w:r>
        <w:rPr>
          <w:rFonts w:ascii="Arial" w:cs="Arial" w:eastAsia="Arial" w:hAnsi="Arial"/>
          <w:color w:val="333333"/>
          <w:sz w:val="19"/>
          <w:szCs w:val="19"/>
        </w:rPr>
        <w:t xml:space="preserve">Introducir que existen propuestas científicas de integración de GenAI/LLMs en el SDLC y que a continuación se contrastan con el Prompt-Centered SDLC.</w:t>
      </w:r>
    </w:p>
    <w:p>
      <w:pPr>
        <w:pStyle w:val="Heading3"/>
        <w:spacing w:after="80" w:before="150"/>
      </w:pPr>
      <w:r>
        <w:rPr>
          <w:rFonts w:ascii="Arial" w:cs="Arial" w:eastAsia="Arial" w:hAnsi="Arial"/>
          <w:b/>
          <w:bCs/>
          <w:color w:val="404040"/>
          <w:sz w:val="21"/>
          <w:szCs w:val="21"/>
        </w:rPr>
        <w:t xml:space="preserve">2.3.1 Primera fuente científica</w:t>
      </w:r>
    </w:p>
    <w:p>
      <w:pPr>
        <w:pBdr>
          <w:left w:val="single" w:color="1F4E79" w:sz="16"/>
        </w:pBdr>
        <w:shd w:fill="F5F5F5" w:val="clear"/>
        <w:spacing w:after="90" w:before="35" w:line="276"/>
        <w:ind w:left="70"/>
      </w:pPr>
      <w:r>
        <w:rPr>
          <w:rFonts w:ascii="Arial" w:cs="Arial" w:eastAsia="Arial" w:hAnsi="Arial"/>
          <w:color w:val="333333"/>
          <w:sz w:val="19"/>
          <w:szCs w:val="19"/>
        </w:rPr>
        <w:t xml:space="preserve">Para el primer artículo: autores, año, qué propone, fases que cubre, similitudes y diferencias respecto al Prompt-Centered SDLC.</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 completa del primer artículo sobre metodología/enfoque con IA.</w:t>
      </w:r>
    </w:p>
    <w:p>
      <w:pPr>
        <w:pStyle w:val="Heading3"/>
        <w:spacing w:after="80" w:before="150"/>
      </w:pPr>
      <w:r>
        <w:rPr>
          <w:rFonts w:ascii="Arial" w:cs="Arial" w:eastAsia="Arial" w:hAnsi="Arial"/>
          <w:b/>
          <w:bCs/>
          <w:color w:val="404040"/>
          <w:sz w:val="21"/>
          <w:szCs w:val="21"/>
        </w:rPr>
        <w:t xml:space="preserve">2.3.2 Segunda fuente científica</w:t>
      </w:r>
    </w:p>
    <w:p>
      <w:pPr>
        <w:pBdr>
          <w:left w:val="single" w:color="1F4E79" w:sz="16"/>
        </w:pBdr>
        <w:shd w:fill="F5F5F5" w:val="clear"/>
        <w:spacing w:after="90" w:before="35" w:line="276"/>
        <w:ind w:left="70"/>
      </w:pPr>
      <w:r>
        <w:rPr>
          <w:rFonts w:ascii="Arial" w:cs="Arial" w:eastAsia="Arial" w:hAnsi="Arial"/>
          <w:color w:val="333333"/>
          <w:sz w:val="19"/>
          <w:szCs w:val="19"/>
        </w:rPr>
        <w:t xml:space="preserve">Mismo esquema para el segundo artículo.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 completa del segundo artículo.</w:t>
      </w:r>
    </w:p>
    <w:p>
      <w:pPr>
        <w:pStyle w:val="Heading3"/>
        <w:spacing w:after="80" w:before="150"/>
      </w:pPr>
      <w:r>
        <w:rPr>
          <w:rFonts w:ascii="Arial" w:cs="Arial" w:eastAsia="Arial" w:hAnsi="Arial"/>
          <w:b/>
          <w:bCs/>
          <w:color w:val="404040"/>
          <w:sz w:val="21"/>
          <w:szCs w:val="21"/>
        </w:rPr>
        <w:t xml:space="preserve">2.3.3 Tercera fuente científica</w:t>
      </w:r>
    </w:p>
    <w:p>
      <w:pPr>
        <w:pBdr>
          <w:left w:val="single" w:color="1F4E79" w:sz="16"/>
        </w:pBdr>
        <w:shd w:fill="F5F5F5" w:val="clear"/>
        <w:spacing w:after="90" w:before="35" w:line="276"/>
        <w:ind w:left="70"/>
      </w:pPr>
      <w:r>
        <w:rPr>
          <w:rFonts w:ascii="Arial" w:cs="Arial" w:eastAsia="Arial" w:hAnsi="Arial"/>
          <w:color w:val="333333"/>
          <w:sz w:val="19"/>
          <w:szCs w:val="19"/>
        </w:rPr>
        <w:t xml:space="preserve">Mismo esquema para el tercer artículo.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 completa del tercer artículo.</w:t>
      </w:r>
    </w:p>
    <w:p>
      <w:pPr>
        <w:pStyle w:val="Heading3"/>
        <w:spacing w:after="80" w:before="150"/>
      </w:pPr>
      <w:r>
        <w:rPr>
          <w:rFonts w:ascii="Arial" w:cs="Arial" w:eastAsia="Arial" w:hAnsi="Arial"/>
          <w:b/>
          <w:bCs/>
          <w:color w:val="404040"/>
          <w:sz w:val="21"/>
          <w:szCs w:val="21"/>
        </w:rPr>
        <w:t xml:space="preserve">2.3.4 Síntesis</w:t>
      </w:r>
    </w:p>
    <w:p>
      <w:pPr>
        <w:pBdr>
          <w:left w:val="single" w:color="1F4E79" w:sz="16"/>
        </w:pBdr>
        <w:shd w:fill="F5F5F5" w:val="clear"/>
        <w:spacing w:after="90" w:before="35" w:line="276"/>
        <w:ind w:left="70"/>
      </w:pPr>
      <w:r>
        <w:rPr>
          <w:rFonts w:ascii="Arial" w:cs="Arial" w:eastAsia="Arial" w:hAnsi="Arial"/>
          <w:color w:val="333333"/>
          <w:sz w:val="19"/>
          <w:szCs w:val="19"/>
        </w:rPr>
        <w:t xml:space="preserve">Sintetizar: las fuentes aportan, pero dejan una brecha (prompt no es artefacto central, falta evaluación D2 y gobernanza sistemática). El Prompt-Centered SDLC cierra esa brecha sobre el marco ISO 12207/29110.</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Reforzar con cita de Rojas Camayo al afirmar el aporte diferencial.</w:t>
      </w:r>
    </w:p>
    <w:p>
      <w:pPr>
        <w:pStyle w:val="Heading2"/>
        <w:spacing w:after="100" w:before="220"/>
      </w:pPr>
      <w:r>
        <w:rPr>
          <w:rFonts w:ascii="Arial" w:cs="Arial" w:eastAsia="Arial" w:hAnsi="Arial"/>
          <w:b/>
          <w:bCs/>
          <w:color w:val="2E75B6"/>
          <w:sz w:val="23"/>
          <w:szCs w:val="23"/>
        </w:rPr>
        <w:t xml:space="preserve">2.4 Aporte diferencial del Prompt-Centered SDLC</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aportes diferenciales: prompt como artefacto central, trazabilidad, D2, seguridad desde el inicio, automatización gradual, matriz de doble entrada para mantenimiento, documentabilidad.</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Rojas Camayo.</w:t>
      </w:r>
    </w:p>
    <w:p>
      <w:pPr>
        <w:pStyle w:val="Heading2"/>
        <w:spacing w:after="100" w:before="220"/>
      </w:pPr>
      <w:r>
        <w:rPr>
          <w:rFonts w:ascii="Arial" w:cs="Arial" w:eastAsia="Arial" w:hAnsi="Arial"/>
          <w:b/>
          <w:bCs/>
          <w:color w:val="2E75B6"/>
          <w:sz w:val="23"/>
          <w:szCs w:val="23"/>
        </w:rPr>
        <w:t xml:space="preserve">2.5 Alineación con los objetivos de la tesis</w:t>
      </w:r>
    </w:p>
    <w:p>
      <w:pPr>
        <w:pBdr>
          <w:left w:val="single" w:color="1F4E79" w:sz="16"/>
        </w:pBdr>
        <w:shd w:fill="F5F5F5" w:val="clear"/>
        <w:spacing w:after="90" w:before="35" w:line="276"/>
        <w:ind w:left="70"/>
      </w:pPr>
      <w:r>
        <w:rPr>
          <w:rFonts w:ascii="Arial" w:cs="Arial" w:eastAsia="Arial" w:hAnsi="Arial"/>
          <w:color w:val="333333"/>
          <w:sz w:val="19"/>
          <w:szCs w:val="19"/>
        </w:rPr>
        <w:t xml:space="preserve">Explicar cómo esta intervención aporta evidencia a la validación de la metodología y a los resultados que se discuten en el Capítulo 4.</w:t>
      </w:r>
    </w:p>
    <w:p>
      <w:pPr>
        <w:pStyle w:val="Heading1"/>
        <w:spacing w:after="140" w:before="280"/>
      </w:pPr>
      <w:r>
        <w:rPr>
          <w:rFonts w:ascii="Arial" w:cs="Arial" w:eastAsia="Arial" w:hAnsi="Arial"/>
          <w:b/>
          <w:bCs/>
          <w:color w:val="1F4E79"/>
          <w:sz w:val="28"/>
          <w:szCs w:val="28"/>
        </w:rPr>
        <w:t xml:space="preserve">3. Descripción del proyecto de software</w:t>
      </w:r>
    </w:p>
    <w:p>
      <w:pPr>
        <w:pStyle w:val="Heading2"/>
        <w:spacing w:after="100" w:before="220"/>
      </w:pPr>
      <w:r>
        <w:rPr>
          <w:rFonts w:ascii="Arial" w:cs="Arial" w:eastAsia="Arial" w:hAnsi="Arial"/>
          <w:b/>
          <w:bCs/>
          <w:color w:val="2E75B6"/>
          <w:sz w:val="23"/>
          <w:szCs w:val="23"/>
        </w:rPr>
        <w:t xml:space="preserve">3.1 Ficha del proyecto</w:t>
      </w:r>
    </w:p>
    <w:p>
      <w:pPr>
        <w:pBdr>
          <w:left w:val="single" w:color="1F4E79" w:sz="16"/>
        </w:pBdr>
        <w:shd w:fill="F5F5F5" w:val="clear"/>
        <w:spacing w:after="90" w:before="35" w:line="276"/>
        <w:ind w:left="70"/>
      </w:pPr>
      <w:r>
        <w:rPr>
          <w:rFonts w:ascii="Arial" w:cs="Arial" w:eastAsia="Arial" w:hAnsi="Arial"/>
          <w:color w:val="333333"/>
          <w:sz w:val="19"/>
          <w:szCs w:val="19"/>
        </w:rPr>
        <w:t xml:space="preserve">Completar ficha (tabla preferible): nombre del sistema, entidad beneficiaria, objetivo, usuarios, problema que resuelve, alcance incluido y excluido, stack, equipo, duración, nivel de automatización objetivo.</w:t>
      </w:r>
    </w:p>
    <w:p>
      <w:pPr>
        <w:pStyle w:val="Heading2"/>
        <w:spacing w:after="100" w:before="220"/>
      </w:pPr>
      <w:r>
        <w:rPr>
          <w:rFonts w:ascii="Arial" w:cs="Arial" w:eastAsia="Arial" w:hAnsi="Arial"/>
          <w:b/>
          <w:bCs/>
          <w:color w:val="2E75B6"/>
          <w:sz w:val="23"/>
          <w:szCs w:val="23"/>
        </w:rPr>
        <w:t xml:space="preserve">3.2 Contexto y restricciones</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restricciones técnicas, de seguridad/privacidad, de tiempo, de infraestructura y de capacidad del equipo.</w:t>
      </w:r>
    </w:p>
    <w:p>
      <w:pPr>
        <w:pStyle w:val="Heading2"/>
        <w:spacing w:after="100" w:before="220"/>
      </w:pPr>
      <w:r>
        <w:rPr>
          <w:rFonts w:ascii="Arial" w:cs="Arial" w:eastAsia="Arial" w:hAnsi="Arial"/>
          <w:b/>
          <w:bCs/>
          <w:color w:val="2E75B6"/>
          <w:sz w:val="23"/>
          <w:szCs w:val="23"/>
        </w:rPr>
        <w:t xml:space="preserve">3.3 Justificación del caso</w:t>
      </w:r>
    </w:p>
    <w:p>
      <w:pPr>
        <w:pBdr>
          <w:left w:val="single" w:color="1F4E79" w:sz="16"/>
        </w:pBdr>
        <w:shd w:fill="F5F5F5" w:val="clear"/>
        <w:spacing w:after="90" w:before="35" w:line="276"/>
        <w:ind w:left="70"/>
      </w:pPr>
      <w:r>
        <w:rPr>
          <w:rFonts w:ascii="Arial" w:cs="Arial" w:eastAsia="Arial" w:hAnsi="Arial"/>
          <w:color w:val="333333"/>
          <w:sz w:val="19"/>
          <w:szCs w:val="19"/>
        </w:rPr>
        <w:t xml:space="preserve">Argumentar por qué este caso (Municipalidad de Huancavelica) permite demostrar la metodología hasta despliegue y con exigencia de trazabilidad.</w:t>
      </w:r>
    </w:p>
    <w:p>
      <w:pPr>
        <w:pStyle w:val="Heading1"/>
        <w:spacing w:after="140" w:before="280"/>
      </w:pPr>
      <w:r>
        <w:rPr>
          <w:rFonts w:ascii="Arial" w:cs="Arial" w:eastAsia="Arial" w:hAnsi="Arial"/>
          <w:b/>
          <w:bCs/>
          <w:color w:val="1F4E79"/>
          <w:sz w:val="28"/>
          <w:szCs w:val="28"/>
        </w:rPr>
        <w:t xml:space="preserve">4. Preparación y entrada mínima del proyecto</w:t>
      </w:r>
    </w:p>
    <w:p>
      <w:pPr>
        <w:pStyle w:val="Heading2"/>
        <w:spacing w:after="100" w:before="220"/>
      </w:pPr>
      <w:r>
        <w:rPr>
          <w:rFonts w:ascii="Arial" w:cs="Arial" w:eastAsia="Arial" w:hAnsi="Arial"/>
          <w:b/>
          <w:bCs/>
          <w:color w:val="2E75B6"/>
          <w:sz w:val="23"/>
          <w:szCs w:val="23"/>
        </w:rPr>
        <w:t xml:space="preserve">4.1 Política mínima de uso de IA</w:t>
      </w:r>
    </w:p>
    <w:p>
      <w:pPr>
        <w:pBdr>
          <w:left w:val="single" w:color="1F4E79" w:sz="16"/>
        </w:pBdr>
        <w:shd w:fill="F5F5F5" w:val="clear"/>
        <w:spacing w:after="90" w:before="35" w:line="276"/>
        <w:ind w:left="70"/>
      </w:pPr>
      <w:r>
        <w:rPr>
          <w:rFonts w:ascii="Arial" w:cs="Arial" w:eastAsia="Arial" w:hAnsi="Arial"/>
          <w:color w:val="333333"/>
          <w:sz w:val="19"/>
          <w:szCs w:val="19"/>
        </w:rPr>
        <w:t xml:space="preserve">Transcribir o adaptar la política aplicada: revisión humana obligatoria, no pegar datos sensibles sin autorización, versionado de prompts, ADR, verificación con pruebas y seguridad, capacitación del equipo.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Si la política se apoya en alguna guía o paper de gobernanza de IA, citarlo.</w:t>
      </w:r>
    </w:p>
    <w:p>
      <w:pPr>
        <w:pStyle w:val="Heading2"/>
        <w:spacing w:after="100" w:before="220"/>
      </w:pPr>
      <w:r>
        <w:rPr>
          <w:rFonts w:ascii="Arial" w:cs="Arial" w:eastAsia="Arial" w:hAnsi="Arial"/>
          <w:b/>
          <w:bCs/>
          <w:color w:val="2E75B6"/>
          <w:sz w:val="23"/>
          <w:szCs w:val="23"/>
        </w:rPr>
        <w:t xml:space="preserve">4.2 Repositorio de prompts</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la estructura real de carpetas/sistema de versionado de prompts por fase y la convención de nombres.</w:t>
      </w:r>
    </w:p>
    <w:p>
      <w:pPr>
        <w:pStyle w:val="Heading2"/>
        <w:spacing w:after="100" w:before="220"/>
      </w:pPr>
      <w:r>
        <w:rPr>
          <w:rFonts w:ascii="Arial" w:cs="Arial" w:eastAsia="Arial" w:hAnsi="Arial"/>
          <w:b/>
          <w:bCs/>
          <w:color w:val="2E75B6"/>
          <w:sz w:val="23"/>
          <w:szCs w:val="23"/>
        </w:rPr>
        <w:t xml:space="preserve">4.3 Definition of Done ampliada</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condiciones para dar por terminado un incremento cuando se usa IA (prompt versionado, revisión humana, tests, seguridad, documentación, comprensión del equipo).</w:t>
      </w:r>
    </w:p>
    <w:p>
      <w:pPr>
        <w:pStyle w:val="Heading2"/>
        <w:spacing w:after="100" w:before="220"/>
      </w:pPr>
      <w:r>
        <w:rPr>
          <w:rFonts w:ascii="Arial" w:cs="Arial" w:eastAsia="Arial" w:hAnsi="Arial"/>
          <w:b/>
          <w:bCs/>
          <w:color w:val="2E75B6"/>
          <w:sz w:val="23"/>
          <w:szCs w:val="23"/>
        </w:rPr>
        <w:t xml:space="preserve">4.4 Herramientas y modelos de IA</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o tabular herramientas/modelos, uso principal y fase(s) en que se usaron.</w:t>
      </w:r>
    </w:p>
    <w:p>
      <w:pPr>
        <w:pStyle w:val="Heading1"/>
        <w:spacing w:after="140" w:before="280"/>
      </w:pPr>
      <w:r>
        <w:rPr>
          <w:rFonts w:ascii="Arial" w:cs="Arial" w:eastAsia="Arial" w:hAnsi="Arial"/>
          <w:b/>
          <w:bCs/>
          <w:color w:val="1F4E79"/>
          <w:sz w:val="28"/>
          <w:szCs w:val="28"/>
        </w:rPr>
        <w:t xml:space="preserve">5. Aplicación por fases del SDLC</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de forma sistemática cada fase: objetivo, entradas, técnicas de prompting, prompts ejecutados (texto o referencia versionada + modelo + versión), outputs, evaluación D2, decisión y entregables.</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Recordar el mapeo con ISO 12207 ya citado en 2.2.1; no es necesario recitar la norma en cada subfase.</w:t>
      </w:r>
    </w:p>
    <w:p>
      <w:pPr>
        <w:pStyle w:val="Heading2"/>
        <w:spacing w:after="100" w:before="220"/>
      </w:pPr>
      <w:r>
        <w:rPr>
          <w:rFonts w:ascii="Arial" w:cs="Arial" w:eastAsia="Arial" w:hAnsi="Arial"/>
          <w:b/>
          <w:bCs/>
          <w:color w:val="2E75B6"/>
          <w:sz w:val="23"/>
          <w:szCs w:val="23"/>
        </w:rPr>
        <w:t xml:space="preserve">5.1 Fase de Requisitos</w:t>
      </w:r>
    </w:p>
    <w:p>
      <w:pPr>
        <w:pStyle w:val="Heading3"/>
        <w:spacing w:after="80" w:before="150"/>
      </w:pPr>
      <w:r>
        <w:rPr>
          <w:rFonts w:ascii="Arial" w:cs="Arial" w:eastAsia="Arial" w:hAnsi="Arial"/>
          <w:b/>
          <w:bCs/>
          <w:color w:val="404040"/>
          <w:sz w:val="21"/>
          <w:szCs w:val="21"/>
        </w:rPr>
        <w:t xml:space="preserve">5.1.1 Objetivo</w:t>
      </w:r>
    </w:p>
    <w:p>
      <w:pPr>
        <w:pBdr>
          <w:left w:val="single" w:color="1F4E79" w:sz="16"/>
        </w:pBdr>
        <w:shd w:fill="F5F5F5" w:val="clear"/>
        <w:spacing w:after="90" w:before="35" w:line="276"/>
        <w:ind w:left="70"/>
      </w:pPr>
      <w:r>
        <w:rPr>
          <w:rFonts w:ascii="Arial" w:cs="Arial" w:eastAsia="Arial" w:hAnsi="Arial"/>
          <w:color w:val="333333"/>
          <w:sz w:val="19"/>
          <w:szCs w:val="19"/>
        </w:rPr>
        <w:t xml:space="preserve">Enunciar el objetivo de la fase en este proyecto.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Opcional: artículo sobre LLMs en requirements engineering, si se tiene.</w:t>
      </w:r>
    </w:p>
    <w:p>
      <w:pPr>
        <w:pStyle w:val="Heading3"/>
        <w:spacing w:after="80" w:before="150"/>
      </w:pPr>
      <w:r>
        <w:rPr>
          <w:rFonts w:ascii="Arial" w:cs="Arial" w:eastAsia="Arial" w:hAnsi="Arial"/>
          <w:b/>
          <w:bCs/>
          <w:color w:val="404040"/>
          <w:sz w:val="21"/>
          <w:szCs w:val="21"/>
        </w:rPr>
        <w:t xml:space="preserve">5.1.2 Entradas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entradas reales (descripción del problema, actas, normativa, restricciones).</w:t>
      </w:r>
    </w:p>
    <w:p>
      <w:pPr>
        <w:pStyle w:val="Heading3"/>
        <w:spacing w:after="80" w:before="150"/>
      </w:pPr>
      <w:r>
        <w:rPr>
          <w:rFonts w:ascii="Arial" w:cs="Arial" w:eastAsia="Arial" w:hAnsi="Arial"/>
          <w:b/>
          <w:bCs/>
          <w:color w:val="404040"/>
          <w:sz w:val="21"/>
          <w:szCs w:val="21"/>
        </w:rPr>
        <w:t xml:space="preserve">5.1.3 Técnicas de prompting</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técnicas usadas y justificación.</w:t>
      </w:r>
    </w:p>
    <w:p>
      <w:pPr>
        <w:pStyle w:val="Heading3"/>
        <w:spacing w:after="80" w:before="150"/>
      </w:pPr>
      <w:r>
        <w:rPr>
          <w:rFonts w:ascii="Arial" w:cs="Arial" w:eastAsia="Arial" w:hAnsi="Arial"/>
          <w:b/>
          <w:bCs/>
          <w:color w:val="404040"/>
          <w:sz w:val="21"/>
          <w:szCs w:val="21"/>
        </w:rPr>
        <w:t xml:space="preserve">5.1.4 Prompts ejecutados</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al menos R-01 (ambigüedades/implícitos) y R-02 (historias + criterios): texto o referencia, versión, modelo, resumen del output.</w:t>
      </w:r>
    </w:p>
    <w:p>
      <w:pPr>
        <w:pStyle w:val="Heading3"/>
        <w:spacing w:after="80" w:before="150"/>
      </w:pPr>
      <w:r>
        <w:rPr>
          <w:rFonts w:ascii="Arial" w:cs="Arial" w:eastAsia="Arial" w:hAnsi="Arial"/>
          <w:b/>
          <w:bCs/>
          <w:color w:val="404040"/>
          <w:sz w:val="21"/>
          <w:szCs w:val="21"/>
        </w:rPr>
        <w:t xml:space="preserve">5.1.5 Evaluación D2</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criterios de evaluación, decisión y lección aprendida (preferible tabla).</w:t>
      </w:r>
    </w:p>
    <w:p>
      <w:pPr>
        <w:pStyle w:val="Heading3"/>
        <w:spacing w:after="80" w:before="150"/>
      </w:pPr>
      <w:r>
        <w:rPr>
          <w:rFonts w:ascii="Arial" w:cs="Arial" w:eastAsia="Arial" w:hAnsi="Arial"/>
          <w:b/>
          <w:bCs/>
          <w:color w:val="404040"/>
          <w:sz w:val="21"/>
          <w:szCs w:val="21"/>
        </w:rPr>
        <w:t xml:space="preserve">5.1.6 Entregables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entregables de la fase.</w:t>
      </w:r>
    </w:p>
    <w:p>
      <w:pPr>
        <w:pStyle w:val="Heading2"/>
        <w:spacing w:after="100" w:before="220"/>
      </w:pPr>
      <w:r>
        <w:rPr>
          <w:rFonts w:ascii="Arial" w:cs="Arial" w:eastAsia="Arial" w:hAnsi="Arial"/>
          <w:b/>
          <w:bCs/>
          <w:color w:val="2E75B6"/>
          <w:sz w:val="23"/>
          <w:szCs w:val="23"/>
        </w:rPr>
        <w:t xml:space="preserve">5.2 Fase de Diseño</w:t>
      </w:r>
    </w:p>
    <w:p>
      <w:pPr>
        <w:pStyle w:val="Heading3"/>
        <w:spacing w:after="80" w:before="150"/>
      </w:pPr>
      <w:r>
        <w:rPr>
          <w:rFonts w:ascii="Arial" w:cs="Arial" w:eastAsia="Arial" w:hAnsi="Arial"/>
          <w:b/>
          <w:bCs/>
          <w:color w:val="404040"/>
          <w:sz w:val="21"/>
          <w:szCs w:val="21"/>
        </w:rPr>
        <w:t xml:space="preserve">5.2.1 Objetivo</w:t>
      </w:r>
    </w:p>
    <w:p>
      <w:pPr>
        <w:pBdr>
          <w:left w:val="single" w:color="1F4E79" w:sz="16"/>
        </w:pBdr>
        <w:shd w:fill="F5F5F5" w:val="clear"/>
        <w:spacing w:after="90" w:before="35" w:line="276"/>
        <w:ind w:left="70"/>
      </w:pPr>
      <w:r>
        <w:rPr>
          <w:rFonts w:ascii="Arial" w:cs="Arial" w:eastAsia="Arial" w:hAnsi="Arial"/>
          <w:color w:val="333333"/>
          <w:sz w:val="19"/>
          <w:szCs w:val="19"/>
        </w:rPr>
        <w:t xml:space="preserve">Enunciar el objetivo de la fase.</w:t>
      </w:r>
    </w:p>
    <w:p>
      <w:pPr>
        <w:pStyle w:val="Heading3"/>
        <w:spacing w:after="80" w:before="150"/>
      </w:pPr>
      <w:r>
        <w:rPr>
          <w:rFonts w:ascii="Arial" w:cs="Arial" w:eastAsia="Arial" w:hAnsi="Arial"/>
          <w:b/>
          <w:bCs/>
          <w:color w:val="404040"/>
          <w:sz w:val="21"/>
          <w:szCs w:val="21"/>
        </w:rPr>
        <w:t xml:space="preserve">5.2.2 Entradas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entradas.</w:t>
      </w:r>
    </w:p>
    <w:p>
      <w:pPr>
        <w:pStyle w:val="Heading3"/>
        <w:spacing w:after="80" w:before="150"/>
      </w:pPr>
      <w:r>
        <w:rPr>
          <w:rFonts w:ascii="Arial" w:cs="Arial" w:eastAsia="Arial" w:hAnsi="Arial"/>
          <w:b/>
          <w:bCs/>
          <w:color w:val="404040"/>
          <w:sz w:val="21"/>
          <w:szCs w:val="21"/>
        </w:rPr>
        <w:t xml:space="preserve">5.2.3 Técnicas de prompting</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técnicas y justificación.</w:t>
      </w:r>
    </w:p>
    <w:p>
      <w:pPr>
        <w:pStyle w:val="Heading3"/>
        <w:spacing w:after="80" w:before="150"/>
      </w:pPr>
      <w:r>
        <w:rPr>
          <w:rFonts w:ascii="Arial" w:cs="Arial" w:eastAsia="Arial" w:hAnsi="Arial"/>
          <w:b/>
          <w:bCs/>
          <w:color w:val="404040"/>
          <w:sz w:val="21"/>
          <w:szCs w:val="21"/>
        </w:rPr>
        <w:t xml:space="preserve">5.2.4 Prompts ejecutados</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prompts de modelo de datos y de comparación de arquitectura.</w:t>
      </w:r>
    </w:p>
    <w:p>
      <w:pPr>
        <w:pStyle w:val="Heading3"/>
        <w:spacing w:after="80" w:before="150"/>
      </w:pPr>
      <w:r>
        <w:rPr>
          <w:rFonts w:ascii="Arial" w:cs="Arial" w:eastAsia="Arial" w:hAnsi="Arial"/>
          <w:b/>
          <w:bCs/>
          <w:color w:val="404040"/>
          <w:sz w:val="21"/>
          <w:szCs w:val="21"/>
        </w:rPr>
        <w:t xml:space="preserve">5.2.5 ADR</w:t>
      </w:r>
    </w:p>
    <w:p>
      <w:pPr>
        <w:pBdr>
          <w:left w:val="single" w:color="1F4E79" w:sz="16"/>
        </w:pBdr>
        <w:shd w:fill="F5F5F5" w:val="clear"/>
        <w:spacing w:after="90" w:before="35" w:line="276"/>
        <w:ind w:left="70"/>
      </w:pPr>
      <w:r>
        <w:rPr>
          <w:rFonts w:ascii="Arial" w:cs="Arial" w:eastAsia="Arial" w:hAnsi="Arial"/>
          <w:color w:val="333333"/>
          <w:sz w:val="19"/>
          <w:szCs w:val="19"/>
        </w:rPr>
        <w:t xml:space="preserve">Completar o referenciar el ADR de la decisión principal.</w:t>
      </w:r>
    </w:p>
    <w:p>
      <w:pPr>
        <w:pStyle w:val="Heading3"/>
        <w:spacing w:after="80" w:before="150"/>
      </w:pPr>
      <w:r>
        <w:rPr>
          <w:rFonts w:ascii="Arial" w:cs="Arial" w:eastAsia="Arial" w:hAnsi="Arial"/>
          <w:b/>
          <w:bCs/>
          <w:color w:val="404040"/>
          <w:sz w:val="21"/>
          <w:szCs w:val="21"/>
        </w:rPr>
        <w:t xml:space="preserve">5.2.6 Evaluación D2</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validación del diseño y decisión.</w:t>
      </w:r>
    </w:p>
    <w:p>
      <w:pPr>
        <w:pStyle w:val="Heading3"/>
        <w:spacing w:after="80" w:before="150"/>
      </w:pPr>
      <w:r>
        <w:rPr>
          <w:rFonts w:ascii="Arial" w:cs="Arial" w:eastAsia="Arial" w:hAnsi="Arial"/>
          <w:b/>
          <w:bCs/>
          <w:color w:val="404040"/>
          <w:sz w:val="21"/>
          <w:szCs w:val="21"/>
        </w:rPr>
        <w:t xml:space="preserve">5.2.7 Entregables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entregables.</w:t>
      </w:r>
    </w:p>
    <w:p>
      <w:pPr>
        <w:pStyle w:val="Heading2"/>
        <w:spacing w:after="100" w:before="220"/>
      </w:pPr>
      <w:r>
        <w:rPr>
          <w:rFonts w:ascii="Arial" w:cs="Arial" w:eastAsia="Arial" w:hAnsi="Arial"/>
          <w:b/>
          <w:bCs/>
          <w:color w:val="2E75B6"/>
          <w:sz w:val="23"/>
          <w:szCs w:val="23"/>
        </w:rPr>
        <w:t xml:space="preserve">5.3 Fase de Implementación</w:t>
      </w:r>
    </w:p>
    <w:p>
      <w:pPr>
        <w:pStyle w:val="Heading3"/>
        <w:spacing w:after="80" w:before="150"/>
      </w:pPr>
      <w:r>
        <w:rPr>
          <w:rFonts w:ascii="Arial" w:cs="Arial" w:eastAsia="Arial" w:hAnsi="Arial"/>
          <w:b/>
          <w:bCs/>
          <w:color w:val="404040"/>
          <w:sz w:val="21"/>
          <w:szCs w:val="21"/>
        </w:rPr>
        <w:t xml:space="preserve">5.3.1 Objetivo</w:t>
      </w:r>
    </w:p>
    <w:p>
      <w:pPr>
        <w:pBdr>
          <w:left w:val="single" w:color="1F4E79" w:sz="16"/>
        </w:pBdr>
        <w:shd w:fill="F5F5F5" w:val="clear"/>
        <w:spacing w:after="90" w:before="35" w:line="276"/>
        <w:ind w:left="70"/>
      </w:pPr>
      <w:r>
        <w:rPr>
          <w:rFonts w:ascii="Arial" w:cs="Arial" w:eastAsia="Arial" w:hAnsi="Arial"/>
          <w:color w:val="333333"/>
          <w:sz w:val="19"/>
          <w:szCs w:val="19"/>
        </w:rPr>
        <w:t xml:space="preserve">Enunciar el objetivo.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Opcional: artículo sobre generación de código con LLMs.</w:t>
      </w:r>
    </w:p>
    <w:p>
      <w:pPr>
        <w:pStyle w:val="Heading3"/>
        <w:spacing w:after="80" w:before="150"/>
      </w:pPr>
      <w:r>
        <w:rPr>
          <w:rFonts w:ascii="Arial" w:cs="Arial" w:eastAsia="Arial" w:hAnsi="Arial"/>
          <w:b/>
          <w:bCs/>
          <w:color w:val="404040"/>
          <w:sz w:val="21"/>
          <w:szCs w:val="21"/>
        </w:rPr>
        <w:t xml:space="preserve">5.3.2 Entradas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entradas.</w:t>
      </w:r>
    </w:p>
    <w:p>
      <w:pPr>
        <w:pStyle w:val="Heading3"/>
        <w:spacing w:after="80" w:before="150"/>
      </w:pPr>
      <w:r>
        <w:rPr>
          <w:rFonts w:ascii="Arial" w:cs="Arial" w:eastAsia="Arial" w:hAnsi="Arial"/>
          <w:b/>
          <w:bCs/>
          <w:color w:val="404040"/>
          <w:sz w:val="21"/>
          <w:szCs w:val="21"/>
        </w:rPr>
        <w:t xml:space="preserve">5.3.3 Técnicas de prompting</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técnicas y cuándo se usaron.</w:t>
      </w:r>
    </w:p>
    <w:p>
      <w:pPr>
        <w:pStyle w:val="Heading3"/>
        <w:spacing w:after="80" w:before="150"/>
      </w:pPr>
      <w:r>
        <w:rPr>
          <w:rFonts w:ascii="Arial" w:cs="Arial" w:eastAsia="Arial" w:hAnsi="Arial"/>
          <w:b/>
          <w:bCs/>
          <w:color w:val="404040"/>
          <w:sz w:val="21"/>
          <w:szCs w:val="21"/>
        </w:rPr>
        <w:t xml:space="preserve">5.3.4 Prompts ejecutados</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2–3 prompts representativos de generación/refactorización.</w:t>
      </w:r>
    </w:p>
    <w:p>
      <w:pPr>
        <w:pStyle w:val="Heading3"/>
        <w:spacing w:after="80" w:before="150"/>
      </w:pPr>
      <w:r>
        <w:rPr>
          <w:rFonts w:ascii="Arial" w:cs="Arial" w:eastAsia="Arial" w:hAnsi="Arial"/>
          <w:b/>
          <w:bCs/>
          <w:color w:val="404040"/>
          <w:sz w:val="21"/>
          <w:szCs w:val="21"/>
        </w:rPr>
        <w:t xml:space="preserve">5.3.5 Evaluación D2</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métricas (compilación, tests, lint, seguridad, comprensibilidad) y decisión.</w:t>
      </w:r>
    </w:p>
    <w:p>
      <w:pPr>
        <w:pStyle w:val="Heading3"/>
        <w:spacing w:after="80" w:before="150"/>
      </w:pPr>
      <w:r>
        <w:rPr>
          <w:rFonts w:ascii="Arial" w:cs="Arial" w:eastAsia="Arial" w:hAnsi="Arial"/>
          <w:b/>
          <w:bCs/>
          <w:color w:val="404040"/>
          <w:sz w:val="21"/>
          <w:szCs w:val="21"/>
        </w:rPr>
        <w:t xml:space="preserve">5.3.6 Entregables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entregables.</w:t>
      </w:r>
    </w:p>
    <w:p>
      <w:pPr>
        <w:pStyle w:val="Heading2"/>
        <w:spacing w:after="100" w:before="220"/>
      </w:pPr>
      <w:r>
        <w:rPr>
          <w:rFonts w:ascii="Arial" w:cs="Arial" w:eastAsia="Arial" w:hAnsi="Arial"/>
          <w:b/>
          <w:bCs/>
          <w:color w:val="2E75B6"/>
          <w:sz w:val="23"/>
          <w:szCs w:val="23"/>
        </w:rPr>
        <w:t xml:space="preserve">5.4 Fase de Testing</w:t>
      </w:r>
    </w:p>
    <w:p>
      <w:pPr>
        <w:pStyle w:val="Heading3"/>
        <w:spacing w:after="80" w:before="150"/>
      </w:pPr>
      <w:r>
        <w:rPr>
          <w:rFonts w:ascii="Arial" w:cs="Arial" w:eastAsia="Arial" w:hAnsi="Arial"/>
          <w:b/>
          <w:bCs/>
          <w:color w:val="404040"/>
          <w:sz w:val="21"/>
          <w:szCs w:val="21"/>
        </w:rPr>
        <w:t xml:space="preserve">5.4.1 Objetivo</w:t>
      </w:r>
    </w:p>
    <w:p>
      <w:pPr>
        <w:pBdr>
          <w:left w:val="single" w:color="1F4E79" w:sz="16"/>
        </w:pBdr>
        <w:shd w:fill="F5F5F5" w:val="clear"/>
        <w:spacing w:after="90" w:before="35" w:line="276"/>
        <w:ind w:left="70"/>
      </w:pPr>
      <w:r>
        <w:rPr>
          <w:rFonts w:ascii="Arial" w:cs="Arial" w:eastAsia="Arial" w:hAnsi="Arial"/>
          <w:color w:val="333333"/>
          <w:sz w:val="19"/>
          <w:szCs w:val="19"/>
        </w:rPr>
        <w:t xml:space="preserve">Enunciar el objetivo.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Opcional: artículo sobre generación de tests con LLMs.</w:t>
      </w:r>
    </w:p>
    <w:p>
      <w:pPr>
        <w:pStyle w:val="Heading3"/>
        <w:spacing w:after="80" w:before="150"/>
      </w:pPr>
      <w:r>
        <w:rPr>
          <w:rFonts w:ascii="Arial" w:cs="Arial" w:eastAsia="Arial" w:hAnsi="Arial"/>
          <w:b/>
          <w:bCs/>
          <w:color w:val="404040"/>
          <w:sz w:val="21"/>
          <w:szCs w:val="21"/>
        </w:rPr>
        <w:t xml:space="preserve">5.4.2 Entradas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entradas.</w:t>
      </w:r>
    </w:p>
    <w:p>
      <w:pPr>
        <w:pStyle w:val="Heading3"/>
        <w:spacing w:after="80" w:before="150"/>
      </w:pPr>
      <w:r>
        <w:rPr>
          <w:rFonts w:ascii="Arial" w:cs="Arial" w:eastAsia="Arial" w:hAnsi="Arial"/>
          <w:b/>
          <w:bCs/>
          <w:color w:val="404040"/>
          <w:sz w:val="21"/>
          <w:szCs w:val="21"/>
        </w:rPr>
        <w:t xml:space="preserve">5.4.3 Técnicas de prompting</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técnicas.</w:t>
      </w:r>
    </w:p>
    <w:p>
      <w:pPr>
        <w:pStyle w:val="Heading3"/>
        <w:spacing w:after="80" w:before="150"/>
      </w:pPr>
      <w:r>
        <w:rPr>
          <w:rFonts w:ascii="Arial" w:cs="Arial" w:eastAsia="Arial" w:hAnsi="Arial"/>
          <w:b/>
          <w:bCs/>
          <w:color w:val="404040"/>
          <w:sz w:val="21"/>
          <w:szCs w:val="21"/>
        </w:rPr>
        <w:t xml:space="preserve">5.4.4 Prompts ejecutados</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prompt de generación de tests y, si aplica, de diagnóstico de fallos.</w:t>
      </w:r>
    </w:p>
    <w:p>
      <w:pPr>
        <w:pStyle w:val="Heading3"/>
        <w:spacing w:after="80" w:before="150"/>
      </w:pPr>
      <w:r>
        <w:rPr>
          <w:rFonts w:ascii="Arial" w:cs="Arial" w:eastAsia="Arial" w:hAnsi="Arial"/>
          <w:b/>
          <w:bCs/>
          <w:color w:val="404040"/>
          <w:sz w:val="21"/>
          <w:szCs w:val="21"/>
        </w:rPr>
        <w:t xml:space="preserve">5.4.5 Evaluación D2</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cobertura, tests críticos, calidad de asserts, ejecución real.</w:t>
      </w:r>
    </w:p>
    <w:p>
      <w:pPr>
        <w:pStyle w:val="Heading3"/>
        <w:spacing w:after="80" w:before="150"/>
      </w:pPr>
      <w:r>
        <w:rPr>
          <w:rFonts w:ascii="Arial" w:cs="Arial" w:eastAsia="Arial" w:hAnsi="Arial"/>
          <w:b/>
          <w:bCs/>
          <w:color w:val="404040"/>
          <w:sz w:val="21"/>
          <w:szCs w:val="21"/>
        </w:rPr>
        <w:t xml:space="preserve">5.4.6 Entregables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entregables.</w:t>
      </w:r>
    </w:p>
    <w:p>
      <w:pPr>
        <w:pStyle w:val="Heading2"/>
        <w:spacing w:after="100" w:before="220"/>
      </w:pPr>
      <w:r>
        <w:rPr>
          <w:rFonts w:ascii="Arial" w:cs="Arial" w:eastAsia="Arial" w:hAnsi="Arial"/>
          <w:b/>
          <w:bCs/>
          <w:color w:val="2E75B6"/>
          <w:sz w:val="23"/>
          <w:szCs w:val="23"/>
        </w:rPr>
        <w:t xml:space="preserve">5.5 Fase de Mantenimiento y Despliegue</w:t>
      </w:r>
    </w:p>
    <w:p>
      <w:pPr>
        <w:pStyle w:val="Heading3"/>
        <w:spacing w:after="80" w:before="150"/>
      </w:pPr>
      <w:r>
        <w:rPr>
          <w:rFonts w:ascii="Arial" w:cs="Arial" w:eastAsia="Arial" w:hAnsi="Arial"/>
          <w:b/>
          <w:bCs/>
          <w:color w:val="404040"/>
          <w:sz w:val="21"/>
          <w:szCs w:val="21"/>
        </w:rPr>
        <w:t xml:space="preserve">5.5.1 Objetivo</w:t>
      </w:r>
    </w:p>
    <w:p>
      <w:pPr>
        <w:pBdr>
          <w:left w:val="single" w:color="1F4E79" w:sz="16"/>
        </w:pBdr>
        <w:shd w:fill="F5F5F5" w:val="clear"/>
        <w:spacing w:after="90" w:before="35" w:line="276"/>
        <w:ind w:left="70"/>
      </w:pPr>
      <w:r>
        <w:rPr>
          <w:rFonts w:ascii="Arial" w:cs="Arial" w:eastAsia="Arial" w:hAnsi="Arial"/>
          <w:color w:val="333333"/>
          <w:sz w:val="19"/>
          <w:szCs w:val="19"/>
        </w:rPr>
        <w:t xml:space="preserve">Enunciar el objetivo.</w:t>
      </w:r>
    </w:p>
    <w:p>
      <w:pPr>
        <w:pStyle w:val="Heading3"/>
        <w:spacing w:after="80" w:before="150"/>
      </w:pPr>
      <w:r>
        <w:rPr>
          <w:rFonts w:ascii="Arial" w:cs="Arial" w:eastAsia="Arial" w:hAnsi="Arial"/>
          <w:b/>
          <w:bCs/>
          <w:color w:val="404040"/>
          <w:sz w:val="21"/>
          <w:szCs w:val="21"/>
        </w:rPr>
        <w:t xml:space="preserve">5.5.2 Entradas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entradas.</w:t>
      </w:r>
    </w:p>
    <w:p>
      <w:pPr>
        <w:pStyle w:val="Heading3"/>
        <w:spacing w:after="80" w:before="150"/>
      </w:pPr>
      <w:r>
        <w:rPr>
          <w:rFonts w:ascii="Arial" w:cs="Arial" w:eastAsia="Arial" w:hAnsi="Arial"/>
          <w:b/>
          <w:bCs/>
          <w:color w:val="404040"/>
          <w:sz w:val="21"/>
          <w:szCs w:val="21"/>
        </w:rPr>
        <w:t xml:space="preserve">5.5.3 Prompts ejecutados</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prompt de análisis de impacto y, si aplica, de documentación posterior.</w:t>
      </w:r>
    </w:p>
    <w:p>
      <w:pPr>
        <w:pStyle w:val="Heading3"/>
        <w:spacing w:after="80" w:before="150"/>
      </w:pPr>
      <w:r>
        <w:rPr>
          <w:rFonts w:ascii="Arial" w:cs="Arial" w:eastAsia="Arial" w:hAnsi="Arial"/>
          <w:b/>
          <w:bCs/>
          <w:color w:val="404040"/>
          <w:sz w:val="21"/>
          <w:szCs w:val="21"/>
        </w:rPr>
        <w:t xml:space="preserve">5.5.4 Plan de despliegue y rollback</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ambiente, pasos, rollback, pruebas de humo, responsable.</w:t>
      </w:r>
    </w:p>
    <w:p>
      <w:pPr>
        <w:pStyle w:val="Heading3"/>
        <w:spacing w:after="80" w:before="150"/>
      </w:pPr>
      <w:r>
        <w:rPr>
          <w:rFonts w:ascii="Arial" w:cs="Arial" w:eastAsia="Arial" w:hAnsi="Arial"/>
          <w:b/>
          <w:bCs/>
          <w:color w:val="404040"/>
          <w:sz w:val="21"/>
          <w:szCs w:val="21"/>
        </w:rPr>
        <w:t xml:space="preserve">5.5.5 Evaluación D2 y cierre</w:t>
      </w:r>
    </w:p>
    <w:p>
      <w:pPr>
        <w:pBdr>
          <w:left w:val="single" w:color="1F4E79" w:sz="16"/>
        </w:pBdr>
        <w:shd w:fill="F5F5F5" w:val="clear"/>
        <w:spacing w:after="90" w:before="35" w:line="276"/>
        <w:ind w:left="70"/>
      </w:pPr>
      <w:r>
        <w:rPr>
          <w:rFonts w:ascii="Arial" w:cs="Arial" w:eastAsia="Arial" w:hAnsi="Arial"/>
          <w:color w:val="333333"/>
          <w:sz w:val="19"/>
          <w:szCs w:val="19"/>
        </w:rPr>
        <w:t xml:space="preserve">Confirmar cumplimiento de DoD ampliada y ausencia de vulnerabilidades críticas.</w:t>
      </w:r>
    </w:p>
    <w:p>
      <w:pPr>
        <w:pStyle w:val="Heading3"/>
        <w:spacing w:after="80" w:before="150"/>
      </w:pPr>
      <w:r>
        <w:rPr>
          <w:rFonts w:ascii="Arial" w:cs="Arial" w:eastAsia="Arial" w:hAnsi="Arial"/>
          <w:b/>
          <w:bCs/>
          <w:color w:val="404040"/>
          <w:sz w:val="21"/>
          <w:szCs w:val="21"/>
        </w:rPr>
        <w:t xml:space="preserve">5.5.6 Entregables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entregables (sistema desplegado, documentación, plan de mantenimiento, prompts versionados).</w:t>
      </w:r>
    </w:p>
    <w:p>
      <w:pPr>
        <w:pStyle w:val="Heading1"/>
        <w:spacing w:after="140" w:before="280"/>
      </w:pPr>
      <w:r>
        <w:rPr>
          <w:rFonts w:ascii="Arial" w:cs="Arial" w:eastAsia="Arial" w:hAnsi="Arial"/>
          <w:b/>
          <w:bCs/>
          <w:color w:val="1F4E79"/>
          <w:sz w:val="28"/>
          <w:szCs w:val="28"/>
        </w:rPr>
        <w:t xml:space="preserve">6. Evaluación, refinamiento y versionado de prompts (D2)</w:t>
      </w:r>
    </w:p>
    <w:p>
      <w:pPr>
        <w:pStyle w:val="Heading2"/>
        <w:spacing w:after="100" w:before="220"/>
      </w:pPr>
      <w:r>
        <w:rPr>
          <w:rFonts w:ascii="Arial" w:cs="Arial" w:eastAsia="Arial" w:hAnsi="Arial"/>
          <w:b/>
          <w:bCs/>
          <w:color w:val="2E75B6"/>
          <w:sz w:val="23"/>
          <w:szCs w:val="23"/>
        </w:rPr>
        <w:t xml:space="preserve">6.1 Ciclo D2 aplicado</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el ciclo medición → diagnóstico → refinamiento/versionado aplicado a los prompts significativos.</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Rojas Camayo al describir el ciclo D2.</w:t>
      </w:r>
    </w:p>
    <w:p>
      <w:pPr>
        <w:pStyle w:val="Heading2"/>
        <w:spacing w:after="100" w:before="220"/>
      </w:pPr>
      <w:r>
        <w:rPr>
          <w:rFonts w:ascii="Arial" w:cs="Arial" w:eastAsia="Arial" w:hAnsi="Arial"/>
          <w:b/>
          <w:bCs/>
          <w:color w:val="2E75B6"/>
          <w:sz w:val="23"/>
          <w:szCs w:val="23"/>
        </w:rPr>
        <w:t xml:space="preserve">6.2 Registro de versiones</w:t>
      </w:r>
    </w:p>
    <w:p>
      <w:pPr>
        <w:pBdr>
          <w:left w:val="single" w:color="1F4E79" w:sz="16"/>
        </w:pBdr>
        <w:shd w:fill="F5F5F5" w:val="clear"/>
        <w:spacing w:after="90" w:before="35" w:line="276"/>
        <w:ind w:left="70"/>
      </w:pPr>
      <w:r>
        <w:rPr>
          <w:rFonts w:ascii="Arial" w:cs="Arial" w:eastAsia="Arial" w:hAnsi="Arial"/>
          <w:color w:val="333333"/>
          <w:sz w:val="19"/>
          <w:szCs w:val="19"/>
        </w:rPr>
        <w:t xml:space="preserve">Presentar tabla extracto de prompts relevantes: código, fase, versión, modelo, métrica clave, decisión.</w:t>
      </w:r>
    </w:p>
    <w:p>
      <w:pPr>
        <w:pStyle w:val="Heading2"/>
        <w:spacing w:after="100" w:before="220"/>
      </w:pPr>
      <w:r>
        <w:rPr>
          <w:rFonts w:ascii="Arial" w:cs="Arial" w:eastAsia="Arial" w:hAnsi="Arial"/>
          <w:b/>
          <w:bCs/>
          <w:color w:val="2E75B6"/>
          <w:sz w:val="23"/>
          <w:szCs w:val="23"/>
        </w:rPr>
        <w:t xml:space="preserve">6.3 Ejemplo de refinamiento</w:t>
      </w:r>
    </w:p>
    <w:p>
      <w:pPr>
        <w:pBdr>
          <w:left w:val="single" w:color="1F4E79" w:sz="16"/>
        </w:pBdr>
        <w:shd w:fill="F5F5F5" w:val="clear"/>
        <w:spacing w:after="90" w:before="35" w:line="276"/>
        <w:ind w:left="70"/>
      </w:pPr>
      <w:r>
        <w:rPr>
          <w:rFonts w:ascii="Arial" w:cs="Arial" w:eastAsia="Arial" w:hAnsi="Arial"/>
          <w:color w:val="333333"/>
          <w:sz w:val="19"/>
          <w:szCs w:val="19"/>
        </w:rPr>
        <w:t xml:space="preserve">Documentar al menos un caso real de prompt que requirió refinamiento: original, resultado, evidencia, diagnóstico, cambios, criterio de cierre, decisión.</w:t>
      </w:r>
    </w:p>
    <w:p>
      <w:pPr>
        <w:pStyle w:val="Heading1"/>
        <w:spacing w:after="140" w:before="280"/>
      </w:pPr>
      <w:r>
        <w:rPr>
          <w:rFonts w:ascii="Arial" w:cs="Arial" w:eastAsia="Arial" w:hAnsi="Arial"/>
          <w:b/>
          <w:bCs/>
          <w:color w:val="1F4E79"/>
          <w:sz w:val="28"/>
          <w:szCs w:val="28"/>
        </w:rPr>
        <w:t xml:space="preserve">7. Matriz de doble entrada: trazabilidad de funciones y prompts</w:t>
      </w:r>
    </w:p>
    <w:p>
      <w:pPr>
        <w:pStyle w:val="Heading2"/>
        <w:spacing w:after="100" w:before="220"/>
      </w:pPr>
      <w:r>
        <w:rPr>
          <w:rFonts w:ascii="Arial" w:cs="Arial" w:eastAsia="Arial" w:hAnsi="Arial"/>
          <w:b/>
          <w:bCs/>
          <w:color w:val="2E75B6"/>
          <w:sz w:val="23"/>
          <w:szCs w:val="23"/>
        </w:rPr>
        <w:t xml:space="preserve">7.1 Propósito de la matriz</w:t>
      </w:r>
    </w:p>
    <w:p>
      <w:pPr>
        <w:pBdr>
          <w:left w:val="single" w:color="1F4E79" w:sz="16"/>
        </w:pBdr>
        <w:shd w:fill="F5F5F5" w:val="clear"/>
        <w:spacing w:after="90" w:before="35" w:line="276"/>
        <w:ind w:left="70"/>
      </w:pPr>
      <w:r>
        <w:rPr>
          <w:rFonts w:ascii="Arial" w:cs="Arial" w:eastAsia="Arial" w:hAnsi="Arial"/>
          <w:color w:val="333333"/>
          <w:sz w:val="19"/>
          <w:szCs w:val="19"/>
        </w:rPr>
        <w:t xml:space="preserve">Explicar que la matriz de doble entrada es un instrumento original de la investigación que conecta, para cada función o componente del sistema: (a) su ubicación en el ciclo de vida y en la arquitectura; (b) el estado de capacidades DevOps relevantes para el mantenimiento seguro; (c) el prompt de origen (identificador, técnica, versión, iteraciones, criterio de aceptación); (d) la ubicación física en el repositorio (ruta y enlace navegable); (e) el test asociado. Su finalidad es asegurar trazabilidad para el mantenimiento y evidenciar la aplicación del Prompt-Centered SDLC a nivel de función.</w:t>
      </w:r>
    </w:p>
    <w:p>
      <w:pPr>
        <w:pStyle w:val="Heading2"/>
        <w:spacing w:after="100" w:before="220"/>
      </w:pPr>
      <w:r>
        <w:rPr>
          <w:rFonts w:ascii="Arial" w:cs="Arial" w:eastAsia="Arial" w:hAnsi="Arial"/>
          <w:b/>
          <w:bCs/>
          <w:color w:val="2E75B6"/>
          <w:sz w:val="23"/>
          <w:szCs w:val="23"/>
        </w:rPr>
        <w:t xml:space="preserve">7.2 Fundamento teórico de la matriz</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que la matriz se estructura a partir de dos fuentes y de un aporte propio: (1) capacidades técnicas DevOps y su relación con procesos del ciclo de vida; (2) modelo de versionado y calidad de prompts; (3) síntesis original que une capacidades DevOps + calidad de prompts + ubicación navegable en el repositorio sobre un caso real.</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Citar el artículo de Amaro, Pereira y Mira da Silva (o el que se haya usado) respecto a capacidades DevOps y su impacto en procesos del ciclo de vida (LCPs). Citar el artículo de Jiang et al. (o el que se haya usado) respecto a versionado y gestión de calidad de prompts. Dejar explícito que la operacionalización conjunta y la conexión con el repositorio constituyen el aporte propio dentro del Prompt-Centered SDLC.</w:t>
      </w:r>
    </w:p>
    <w:p>
      <w:pPr>
        <w:pStyle w:val="Heading2"/>
        <w:spacing w:after="100" w:before="220"/>
      </w:pPr>
      <w:r>
        <w:rPr>
          <w:rFonts w:ascii="Arial" w:cs="Arial" w:eastAsia="Arial" w:hAnsi="Arial"/>
          <w:b/>
          <w:bCs/>
          <w:color w:val="2E75B6"/>
          <w:sz w:val="23"/>
          <w:szCs w:val="23"/>
        </w:rPr>
        <w:t xml:space="preserve">7.3 Estructura de la matriz</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las columnas principales de la matriz consolidada, agrupadas por bloque: identificación de la función (ID, módulo, componente, fase SDLC, capa arquitectónica); impacto sobre procesos del ciclo de vida; cinco capacidades DevOps (control de versiones, CI, CD, test automation, continuous monitoring) con estado Sí/Parcial/No; datos del prompt (ID, técnica, versión, número de iteraciones, criterio de aceptación, resultado); ubicación en repositorio (ruta, archivo, enlace, commit); test asociado; responsable y observaciones.</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también la existencia de la hoja o sección de Prompts Detallados (texto exacto del prompt, técnica, versiones, motivo de refinamiento, estado, evidencia) y del diccionario de columnas.</w:t>
      </w:r>
    </w:p>
    <w:p>
      <w:pPr>
        <w:pStyle w:val="Heading2"/>
        <w:spacing w:after="100" w:before="220"/>
      </w:pPr>
      <w:r>
        <w:rPr>
          <w:rFonts w:ascii="Arial" w:cs="Arial" w:eastAsia="Arial" w:hAnsi="Arial"/>
          <w:b/>
          <w:bCs/>
          <w:color w:val="2E75B6"/>
          <w:sz w:val="23"/>
          <w:szCs w:val="23"/>
        </w:rPr>
        <w:t xml:space="preserve">7.4 Aplicación de la matriz en este caso</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que la matriz se aplicó al sistema desarrollado para la Municipalidad de Huancavelica (o al caso que corresponda). Describir el alcance de funciones registradas (módulos cubiertos), el estado general de madurez DevOps observado, y el grado de cobertura de prompts registrados versus funciones pendientes de registro. Si la matriz se adjunta como archivo Excel o como apéndice de este anexo, referenciarla de forma explícita (nombre de archivo, ubicación).</w:t>
      </w:r>
    </w:p>
    <w:p>
      <w:pPr>
        <w:pBdr>
          <w:left w:val="single" w:color="1F4E79" w:sz="16"/>
        </w:pBdr>
        <w:shd w:fill="F5F5F5" w:val="clear"/>
        <w:spacing w:after="90" w:before="35" w:line="276"/>
        <w:ind w:left="70"/>
      </w:pPr>
      <w:r>
        <w:rPr>
          <w:rFonts w:ascii="Arial" w:cs="Arial" w:eastAsia="Arial" w:hAnsi="Arial"/>
          <w:color w:val="333333"/>
          <w:sz w:val="19"/>
          <w:szCs w:val="19"/>
        </w:rPr>
        <w:t xml:space="preserve">Resumir hallazgos relevantes para el mantenimiento: qué funciones tienen alto impacto LCP y aún tienen CI/Test Automation parcial o nulo; qué funciones tienen prompt registrado y trazable; qué huecos de trazabilidad quedan por cerrar.</w:t>
      </w:r>
    </w:p>
    <w:p>
      <w:pPr>
        <w:pStyle w:val="Heading2"/>
        <w:spacing w:after="100" w:before="220"/>
      </w:pPr>
      <w:r>
        <w:rPr>
          <w:rFonts w:ascii="Arial" w:cs="Arial" w:eastAsia="Arial" w:hAnsi="Arial"/>
          <w:b/>
          <w:bCs/>
          <w:color w:val="2E75B6"/>
          <w:sz w:val="23"/>
          <w:szCs w:val="23"/>
        </w:rPr>
        <w:t xml:space="preserve">7.5 Uso de la matriz para mantenimiento</w:t>
      </w:r>
    </w:p>
    <w:p>
      <w:pPr>
        <w:pBdr>
          <w:left w:val="single" w:color="1F4E79" w:sz="16"/>
        </w:pBdr>
        <w:shd w:fill="F5F5F5" w:val="clear"/>
        <w:spacing w:after="90" w:before="35" w:line="276"/>
        <w:ind w:left="70"/>
      </w:pPr>
      <w:r>
        <w:rPr>
          <w:rFonts w:ascii="Arial" w:cs="Arial" w:eastAsia="Arial" w:hAnsi="Arial"/>
          <w:color w:val="333333"/>
          <w:sz w:val="19"/>
          <w:szCs w:val="19"/>
        </w:rPr>
        <w:t xml:space="preserve">Explicar el procedimiento de uso ante un cambio futuro: ubicar la función; revisar madurez DevOps e impacto LCP; consultar el prompt de origen y sus iteraciones; acceder al código por el enlace del repositorio; ejecutar el test asociado antes de modificar; actualizar versión del prompt e iteraciones si el cambio se genera o apoya con IA; actualizar el estado de las columnas DevOps si se mejora CI/CD/monitoreo.</w:t>
      </w:r>
    </w:p>
    <w:p>
      <w:pPr>
        <w:pStyle w:val="Heading2"/>
        <w:spacing w:after="100" w:before="220"/>
      </w:pPr>
      <w:r>
        <w:rPr>
          <w:rFonts w:ascii="Arial" w:cs="Arial" w:eastAsia="Arial" w:hAnsi="Arial"/>
          <w:b/>
          <w:bCs/>
          <w:color w:val="2E75B6"/>
          <w:sz w:val="23"/>
          <w:szCs w:val="23"/>
        </w:rPr>
        <w:t xml:space="preserve">7.6 Evidencia adjunta</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que la matriz completa (archivo Excel o tablas exportadas) se adjunta como apéndice de este Anexo 7 o se referencia en el repositorio de la tesis, y que constituye evidencia primaria de trazabilidad función–prompt–código–test.</w:t>
      </w:r>
    </w:p>
    <w:p>
      <w:pPr>
        <w:pStyle w:val="Heading1"/>
        <w:spacing w:after="140" w:before="280"/>
      </w:pPr>
      <w:r>
        <w:rPr>
          <w:rFonts w:ascii="Arial" w:cs="Arial" w:eastAsia="Arial" w:hAnsi="Arial"/>
          <w:b/>
          <w:bCs/>
          <w:color w:val="1F4E79"/>
          <w:sz w:val="28"/>
          <w:szCs w:val="28"/>
        </w:rPr>
        <w:t xml:space="preserve">8. Nivel de automatización agentica alcanzado</w:t>
      </w:r>
    </w:p>
    <w:p>
      <w:pPr>
        <w:pStyle w:val="Heading2"/>
        <w:spacing w:after="100" w:before="220"/>
      </w:pPr>
      <w:r>
        <w:rPr>
          <w:rFonts w:ascii="Arial" w:cs="Arial" w:eastAsia="Arial" w:hAnsi="Arial"/>
          <w:b/>
          <w:bCs/>
          <w:color w:val="2E75B6"/>
          <w:sz w:val="23"/>
          <w:szCs w:val="23"/>
        </w:rPr>
        <w:t xml:space="preserve">8.1 Nivel alcanzado</w:t>
      </w:r>
    </w:p>
    <w:p>
      <w:pPr>
        <w:pBdr>
          <w:left w:val="single" w:color="1F4E79" w:sz="16"/>
        </w:pBdr>
        <w:shd w:fill="F5F5F5" w:val="clear"/>
        <w:spacing w:after="90" w:before="35" w:line="276"/>
        <w:ind w:left="70"/>
      </w:pPr>
      <w:r>
        <w:rPr>
          <w:rFonts w:ascii="Arial" w:cs="Arial" w:eastAsia="Arial" w:hAnsi="Arial"/>
          <w:color w:val="333333"/>
          <w:sz w:val="19"/>
          <w:szCs w:val="19"/>
        </w:rPr>
        <w:t xml:space="preserve">Indicar el nivel N1–N5 alcanzado y qué significó en la práctica.</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Opcional: artículo sobre agentic AI o niveles de autonomía, para contrastar.</w:t>
      </w:r>
    </w:p>
    <w:p>
      <w:pPr>
        <w:pStyle w:val="Heading2"/>
        <w:spacing w:after="100" w:before="220"/>
      </w:pPr>
      <w:r>
        <w:rPr>
          <w:rFonts w:ascii="Arial" w:cs="Arial" w:eastAsia="Arial" w:hAnsi="Arial"/>
          <w:b/>
          <w:bCs/>
          <w:color w:val="2E75B6"/>
          <w:sz w:val="23"/>
          <w:szCs w:val="23"/>
        </w:rPr>
        <w:t xml:space="preserve">8.2 Justificación de no avanzar a niveles superiores</w:t>
      </w:r>
    </w:p>
    <w:p>
      <w:pPr>
        <w:pBdr>
          <w:left w:val="single" w:color="1F4E79" w:sz="16"/>
        </w:pBdr>
        <w:shd w:fill="F5F5F5" w:val="clear"/>
        <w:spacing w:after="90" w:before="35" w:line="276"/>
        <w:ind w:left="70"/>
      </w:pPr>
      <w:r>
        <w:rPr>
          <w:rFonts w:ascii="Arial" w:cs="Arial" w:eastAsia="Arial" w:hAnsi="Arial"/>
          <w:color w:val="333333"/>
          <w:sz w:val="19"/>
          <w:szCs w:val="19"/>
        </w:rPr>
        <w:t xml:space="preserve">Explicar por qué no se subió de nivel.</w:t>
      </w:r>
    </w:p>
    <w:p>
      <w:pPr>
        <w:pStyle w:val="Heading2"/>
        <w:spacing w:after="100" w:before="220"/>
      </w:pPr>
      <w:r>
        <w:rPr>
          <w:rFonts w:ascii="Arial" w:cs="Arial" w:eastAsia="Arial" w:hAnsi="Arial"/>
          <w:b/>
          <w:bCs/>
          <w:color w:val="2E75B6"/>
          <w:sz w:val="23"/>
          <w:szCs w:val="23"/>
        </w:rPr>
        <w:t xml:space="preserve">8.3 Reglas de control</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reglas que limitaron la autonomía (revisión humana, alcance de agentes, criterios de parada).</w:t>
      </w:r>
    </w:p>
    <w:p>
      <w:pPr>
        <w:pStyle w:val="Heading1"/>
        <w:spacing w:after="140" w:before="280"/>
      </w:pPr>
      <w:r>
        <w:rPr>
          <w:rFonts w:ascii="Arial" w:cs="Arial" w:eastAsia="Arial" w:hAnsi="Arial"/>
          <w:b/>
          <w:bCs/>
          <w:color w:val="1F4E79"/>
          <w:sz w:val="28"/>
          <w:szCs w:val="28"/>
        </w:rPr>
        <w:t xml:space="preserve">9. Seguridad, gobernanza y monitoreo</w:t>
      </w:r>
    </w:p>
    <w:p>
      <w:pPr>
        <w:pStyle w:val="Heading2"/>
        <w:spacing w:after="100" w:before="220"/>
      </w:pPr>
      <w:r>
        <w:rPr>
          <w:rFonts w:ascii="Arial" w:cs="Arial" w:eastAsia="Arial" w:hAnsi="Arial"/>
          <w:b/>
          <w:bCs/>
          <w:color w:val="2E75B6"/>
          <w:sz w:val="23"/>
          <w:szCs w:val="23"/>
        </w:rPr>
        <w:t xml:space="preserve">9.1 Guardrails en los prompts</w:t>
      </w:r>
    </w:p>
    <w:p>
      <w:pPr>
        <w:pBdr>
          <w:left w:val="single" w:color="1F4E79" w:sz="16"/>
        </w:pBdr>
        <w:shd w:fill="F5F5F5" w:val="clear"/>
        <w:spacing w:after="90" w:before="35" w:line="276"/>
        <w:ind w:left="70"/>
      </w:pPr>
      <w:r>
        <w:rPr>
          <w:rFonts w:ascii="Arial" w:cs="Arial" w:eastAsia="Arial" w:hAnsi="Arial"/>
          <w:color w:val="333333"/>
          <w:sz w:val="19"/>
          <w:szCs w:val="19"/>
        </w:rPr>
        <w:t xml:space="preserve">Presentar riesgos considerados, guardrail en el prompt y control posterior (tabla preferible).</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Opcional: papers sobre riesgos de GenAI o secure SDLC.</w:t>
      </w:r>
    </w:p>
    <w:p>
      <w:pPr>
        <w:pStyle w:val="Heading2"/>
        <w:spacing w:after="100" w:before="220"/>
      </w:pPr>
      <w:r>
        <w:rPr>
          <w:rFonts w:ascii="Arial" w:cs="Arial" w:eastAsia="Arial" w:hAnsi="Arial"/>
          <w:b/>
          <w:bCs/>
          <w:color w:val="2E75B6"/>
          <w:sz w:val="23"/>
          <w:szCs w:val="23"/>
        </w:rPr>
        <w:t xml:space="preserve">9.2 Monitoreo</w:t>
      </w:r>
    </w:p>
    <w:p>
      <w:pPr>
        <w:pBdr>
          <w:left w:val="single" w:color="1F4E79" w:sz="16"/>
        </w:pBdr>
        <w:shd w:fill="F5F5F5" w:val="clear"/>
        <w:spacing w:after="90" w:before="35" w:line="276"/>
        <w:ind w:left="70"/>
      </w:pPr>
      <w:r>
        <w:rPr>
          <w:rFonts w:ascii="Arial" w:cs="Arial" w:eastAsia="Arial" w:hAnsi="Arial"/>
          <w:color w:val="333333"/>
          <w:sz w:val="19"/>
          <w:szCs w:val="19"/>
        </w:rPr>
        <w:t xml:space="preserve">Describir dimensiones monitoreadas, indicadores, frecuencia y acción si falla.</w:t>
      </w:r>
    </w:p>
    <w:p>
      <w:pPr>
        <w:pStyle w:val="Heading2"/>
        <w:spacing w:after="100" w:before="220"/>
      </w:pPr>
      <w:r>
        <w:rPr>
          <w:rFonts w:ascii="Arial" w:cs="Arial" w:eastAsia="Arial" w:hAnsi="Arial"/>
          <w:b/>
          <w:bCs/>
          <w:color w:val="2E75B6"/>
          <w:sz w:val="23"/>
          <w:szCs w:val="23"/>
        </w:rPr>
        <w:t xml:space="preserve">9.3 Cumplimiento de la política de uso de IA</w:t>
      </w:r>
    </w:p>
    <w:p>
      <w:pPr>
        <w:pBdr>
          <w:left w:val="single" w:color="1F4E79" w:sz="16"/>
        </w:pBdr>
        <w:shd w:fill="F5F5F5" w:val="clear"/>
        <w:spacing w:after="90" w:before="35" w:line="276"/>
        <w:ind w:left="70"/>
      </w:pPr>
      <w:r>
        <w:rPr>
          <w:rFonts w:ascii="Arial" w:cs="Arial" w:eastAsia="Arial" w:hAnsi="Arial"/>
          <w:color w:val="333333"/>
          <w:sz w:val="19"/>
          <w:szCs w:val="19"/>
        </w:rPr>
        <w:t xml:space="preserve">Confirmar el cumplimiento de la política de la sección 4.1.</w:t>
      </w:r>
    </w:p>
    <w:p>
      <w:pPr>
        <w:pStyle w:val="Heading1"/>
        <w:spacing w:after="140" w:before="280"/>
      </w:pPr>
      <w:r>
        <w:rPr>
          <w:rFonts w:ascii="Arial" w:cs="Arial" w:eastAsia="Arial" w:hAnsi="Arial"/>
          <w:b/>
          <w:bCs/>
          <w:color w:val="1F4E79"/>
          <w:sz w:val="28"/>
          <w:szCs w:val="28"/>
        </w:rPr>
        <w:t xml:space="preserve">10. Trazabilidad de artefactos (síntesis)</w:t>
      </w:r>
    </w:p>
    <w:p>
      <w:pPr>
        <w:pBdr>
          <w:left w:val="single" w:color="1F4E79" w:sz="16"/>
        </w:pBdr>
        <w:shd w:fill="F5F5F5" w:val="clear"/>
        <w:spacing w:after="90" w:before="35" w:line="276"/>
        <w:ind w:left="70"/>
      </w:pPr>
      <w:r>
        <w:rPr>
          <w:rFonts w:ascii="Arial" w:cs="Arial" w:eastAsia="Arial" w:hAnsi="Arial"/>
          <w:color w:val="333333"/>
          <w:sz w:val="19"/>
          <w:szCs w:val="19"/>
        </w:rPr>
        <w:t xml:space="preserve">Presentar una matriz o listado de trazabilidad de alto nivel: requisito/HU → prompt(s) → artefacto de diseño → artefacto de código → tests → estado (desplegado). Indicar que el detalle fino por función está en la matriz de doble entrada (sección 7) y en el repositorio de prompts.</w:t>
      </w:r>
    </w:p>
    <w:p>
      <w:pPr>
        <w:pBdr>
          <w:left w:val="single" w:color="1F4E79" w:sz="16"/>
        </w:pBdr>
        <w:shd w:fill="F5F5F5" w:val="clear"/>
        <w:spacing w:after="90" w:before="35" w:line="276"/>
        <w:ind w:left="70"/>
      </w:pPr>
      <w:r>
        <w:rPr>
          <w:rFonts w:ascii="Arial" w:cs="Arial" w:eastAsia="Arial" w:hAnsi="Arial"/>
          <w:color w:val="333333"/>
          <w:sz w:val="19"/>
          <w:szCs w:val="19"/>
        </w:rPr>
        <w:t xml:space="preserve">Señalar dónde están las evidencias completas (repositorio de prompts, código, actas, reportes, despliegue) y su referencia en apéndices si aplica.</w:t>
      </w:r>
    </w:p>
    <w:p>
      <w:pPr>
        <w:pStyle w:val="Heading1"/>
        <w:spacing w:after="140" w:before="280"/>
      </w:pPr>
      <w:r>
        <w:rPr>
          <w:rFonts w:ascii="Arial" w:cs="Arial" w:eastAsia="Arial" w:hAnsi="Arial"/>
          <w:b/>
          <w:bCs/>
          <w:color w:val="1F4E79"/>
          <w:sz w:val="28"/>
          <w:szCs w:val="28"/>
        </w:rPr>
        <w:t xml:space="preserve">11. Métricas de proceso de la intervención</w:t>
      </w:r>
    </w:p>
    <w:p>
      <w:pPr>
        <w:pBdr>
          <w:left w:val="single" w:color="1F4E79" w:sz="16"/>
        </w:pBdr>
        <w:shd w:fill="F5F5F5" w:val="clear"/>
        <w:spacing w:after="90" w:before="35" w:line="276"/>
        <w:ind w:left="70"/>
      </w:pPr>
      <w:r>
        <w:rPr>
          <w:rFonts w:ascii="Arial" w:cs="Arial" w:eastAsia="Arial" w:hAnsi="Arial"/>
          <w:color w:val="333333"/>
          <w:sz w:val="19"/>
          <w:szCs w:val="19"/>
        </w:rPr>
        <w:t xml:space="preserve">Importante: en este anexo solo se reportan métricas de proceso de la intervención (tiempos por fase, número de prompts, iteraciones promedio, tasa de aprobación de outputs, cobertura de tests asociada a prompts, estado de capacidades DevOps en la matriz, etc.). El análisis estadístico inferencial, las pruebas de hipótesis y la discusión profunda de resultados corresponden al Capítulo 4, que se apoya en la evidencia de este anexo.</w:t>
      </w:r>
    </w:p>
    <w:p>
      <w:pPr>
        <w:pBdr>
          <w:left w:val="single" w:color="1F4E79" w:sz="16"/>
        </w:pBdr>
        <w:shd w:fill="F5F5F5" w:val="clear"/>
        <w:spacing w:after="90" w:before="35" w:line="276"/>
        <w:ind w:left="70"/>
      </w:pPr>
      <w:r>
        <w:rPr>
          <w:rFonts w:ascii="Arial" w:cs="Arial" w:eastAsia="Arial" w:hAnsi="Arial"/>
          <w:color w:val="333333"/>
          <w:sz w:val="19"/>
          <w:szCs w:val="19"/>
        </w:rPr>
        <w:t xml:space="preserve">Presentar los indicadores de proceso obtenidos, con definición o fórmula, valor y breve interpretación operativa. Si no hay línea base formal, explicitar el criterio de comparación.</w:t>
      </w:r>
    </w:p>
    <w:p>
      <w:pPr>
        <w:pBdr>
          <w:left w:val="single" w:color="1F4E79" w:sz="16"/>
        </w:pBdr>
        <w:shd w:fill="F5F5F5" w:val="clear"/>
        <w:spacing w:after="90" w:before="35" w:line="276"/>
        <w:ind w:left="70"/>
      </w:pPr>
      <w:r>
        <w:rPr>
          <w:rFonts w:ascii="Arial" w:cs="Arial" w:eastAsia="Arial" w:hAnsi="Arial"/>
          <w:color w:val="333333"/>
          <w:sz w:val="19"/>
          <w:szCs w:val="19"/>
        </w:rPr>
        <w:t xml:space="preserve">Evaluar el cumplimiento de los objetivos específicos de la sección 1.2.2 con evidencia referenciada a secciones de este anexo o a la matriz.</w:t>
      </w:r>
    </w:p>
    <w:p>
      <w:pPr>
        <w:pStyle w:val="Heading1"/>
        <w:spacing w:after="140" w:before="280"/>
      </w:pPr>
      <w:r>
        <w:rPr>
          <w:rFonts w:ascii="Arial" w:cs="Arial" w:eastAsia="Arial" w:hAnsi="Arial"/>
          <w:b/>
          <w:bCs/>
          <w:color w:val="1F4E79"/>
          <w:sz w:val="28"/>
          <w:szCs w:val="28"/>
        </w:rPr>
        <w:t xml:space="preserve">12. Lecciones aprendidas de la intervención</w:t>
      </w:r>
    </w:p>
    <w:p>
      <w:pPr>
        <w:pBdr>
          <w:left w:val="single" w:color="1F4E79" w:sz="16"/>
        </w:pBdr>
        <w:shd w:fill="F5F5F5" w:val="clear"/>
        <w:spacing w:after="90" w:before="35" w:line="276"/>
        <w:ind w:left="70"/>
      </w:pPr>
      <w:r>
        <w:rPr>
          <w:rFonts w:ascii="Arial" w:cs="Arial" w:eastAsia="Arial" w:hAnsi="Arial"/>
          <w:color w:val="333333"/>
          <w:sz w:val="19"/>
          <w:szCs w:val="19"/>
        </w:rPr>
        <w:t xml:space="preserve">Listar lecciones técnicas y metodológicas derivadas de la aplicación (utilidad del contexto concreto, valor de los prompts de requisitos, unión implementación–testing, utilidad de la matriz de doble entrada para mantenimiento, adecuación del nivel N2, lecciones específicas del caso).</w:t>
      </w:r>
    </w:p>
    <w:p>
      <w:pPr>
        <w:pBdr>
          <w:left w:val="single" w:color="1F4E79" w:sz="16"/>
        </w:pBdr>
        <w:shd w:fill="F5F5F5" w:val="clear"/>
        <w:spacing w:after="90" w:before="35" w:line="276"/>
        <w:ind w:left="70"/>
      </w:pPr>
      <w:r>
        <w:rPr>
          <w:rFonts w:ascii="Arial" w:cs="Arial" w:eastAsia="Arial" w:hAnsi="Arial"/>
          <w:color w:val="333333"/>
          <w:sz w:val="19"/>
          <w:szCs w:val="19"/>
        </w:rPr>
        <w:t xml:space="preserve">Formular recomendaciones prácticas para futuras aplicaciones de la metodología o de la matriz.</w:t>
      </w:r>
    </w:p>
    <w:p>
      <w:pPr>
        <w:pBdr>
          <w:left w:val="single" w:color="1F4E79" w:sz="16"/>
        </w:pBdr>
        <w:shd w:fill="F5F5F5" w:val="clear"/>
        <w:spacing w:after="90" w:before="35" w:line="276"/>
        <w:ind w:left="70"/>
      </w:pPr>
      <w:r>
        <w:rPr>
          <w:rFonts w:ascii="Arial" w:cs="Arial" w:eastAsia="Arial" w:hAnsi="Arial"/>
          <w:color w:val="333333"/>
          <w:sz w:val="19"/>
          <w:szCs w:val="19"/>
        </w:rPr>
        <w:t xml:space="preserve">Declarar limitaciones de la intervención (tiempo, alcance, modelos, equipo, cobertura parcial de la matriz, etc.).</w:t>
      </w:r>
    </w:p>
    <w:p>
      <w:pPr>
        <w:pStyle w:val="Heading1"/>
        <w:spacing w:after="140" w:before="280"/>
      </w:pPr>
      <w:r>
        <w:rPr>
          <w:rFonts w:ascii="Arial" w:cs="Arial" w:eastAsia="Arial" w:hAnsi="Arial"/>
          <w:b/>
          <w:bCs/>
          <w:color w:val="1F4E79"/>
          <w:sz w:val="28"/>
          <w:szCs w:val="28"/>
        </w:rPr>
        <w:t xml:space="preserve">13. Cierre del anexo</w:t>
      </w:r>
    </w:p>
    <w:p>
      <w:pPr>
        <w:pBdr>
          <w:left w:val="single" w:color="1F4E79" w:sz="16"/>
        </w:pBdr>
        <w:shd w:fill="F5F5F5" w:val="clear"/>
        <w:spacing w:after="90" w:before="35" w:line="276"/>
        <w:ind w:left="70"/>
      </w:pPr>
      <w:r>
        <w:rPr>
          <w:rFonts w:ascii="Arial" w:cs="Arial" w:eastAsia="Arial" w:hAnsi="Arial"/>
          <w:color w:val="333333"/>
          <w:sz w:val="19"/>
          <w:szCs w:val="19"/>
        </w:rPr>
        <w:t xml:space="preserve">Redactar un cierre breve: se aplicó la metodología de forma documentada; se generó evidencia de prompts, evaluación, trazabilidad (incluida la matriz de doble entrada) y despliegue; esta evidencia soporta el Capítulo 4. No incluir aquí las conclusiones generales ni las recomendaciones de la tesis.</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Puede citarse de nuevo Rojas Camayo y recordarse el anclaje en ISO 12207/29110 y en la literatura de IA en el SDLC.</w:t>
      </w:r>
    </w:p>
    <w:p>
      <w:pPr>
        <w:pStyle w:val="Heading1"/>
        <w:spacing w:after="140" w:before="280"/>
      </w:pPr>
      <w:r>
        <w:rPr>
          <w:rFonts w:ascii="Arial" w:cs="Arial" w:eastAsia="Arial" w:hAnsi="Arial"/>
          <w:b/>
          <w:bCs/>
          <w:color w:val="1F4E79"/>
          <w:sz w:val="28"/>
          <w:szCs w:val="28"/>
        </w:rPr>
        <w:t xml:space="preserve">14. Referencias utilizadas en este anexo</w:t>
      </w:r>
    </w:p>
    <w:p>
      <w:pPr>
        <w:pBdr>
          <w:left w:val="single" w:color="1F4E79" w:sz="16"/>
        </w:pBdr>
        <w:shd w:fill="F5F5F5" w:val="clear"/>
        <w:spacing w:after="90" w:before="35" w:line="276"/>
        <w:ind w:left="70"/>
      </w:pPr>
      <w:r>
        <w:rPr>
          <w:rFonts w:ascii="Arial" w:cs="Arial" w:eastAsia="Arial" w:hAnsi="Arial"/>
          <w:color w:val="333333"/>
          <w:sz w:val="19"/>
          <w:szCs w:val="19"/>
        </w:rPr>
        <w:t xml:space="preserve">Incluir solo las fuentes citadas dentro de este Anexo 7, organizadas por tipo, con el estilo de la universidad.</w:t>
      </w:r>
    </w:p>
    <w:p>
      <w:pPr>
        <w:pStyle w:val="Heading2"/>
        <w:spacing w:after="100" w:before="220"/>
      </w:pPr>
      <w:r>
        <w:rPr>
          <w:rFonts w:ascii="Arial" w:cs="Arial" w:eastAsia="Arial" w:hAnsi="Arial"/>
          <w:b/>
          <w:bCs/>
          <w:color w:val="2E75B6"/>
          <w:sz w:val="23"/>
          <w:szCs w:val="23"/>
        </w:rPr>
        <w:t xml:space="preserve">14.1 Estándares y normas</w:t>
      </w:r>
    </w:p>
    <w:p>
      <w:pPr>
        <w:pBdr>
          <w:left w:val="single" w:color="1F4E79" w:sz="16"/>
        </w:pBdr>
        <w:shd w:fill="F5F5F5" w:val="clear"/>
        <w:spacing w:after="90" w:before="35" w:line="276"/>
        <w:ind w:left="70"/>
      </w:pPr>
      <w:r>
        <w:rPr>
          <w:rFonts w:ascii="Arial" w:cs="Arial" w:eastAsia="Arial" w:hAnsi="Arial"/>
          <w:color w:val="333333"/>
          <w:sz w:val="19"/>
          <w:szCs w:val="19"/>
        </w:rPr>
        <w:t xml:space="preserve">ISO/IEC/IEEE 12207; ISO/IEC 29110; SWEBOK u otras si se citaron.</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Deben coincidir con las de la sección 2.2.</w:t>
      </w:r>
    </w:p>
    <w:p>
      <w:pPr>
        <w:pStyle w:val="Heading2"/>
        <w:spacing w:after="100" w:before="220"/>
      </w:pPr>
      <w:r>
        <w:rPr>
          <w:rFonts w:ascii="Arial" w:cs="Arial" w:eastAsia="Arial" w:hAnsi="Arial"/>
          <w:b/>
          <w:bCs/>
          <w:color w:val="2E75B6"/>
          <w:sz w:val="23"/>
          <w:szCs w:val="23"/>
        </w:rPr>
        <w:t xml:space="preserve">14.2 Metodología propia</w:t>
      </w:r>
    </w:p>
    <w:p>
      <w:pPr>
        <w:pBdr>
          <w:left w:val="single" w:color="1F4E79" w:sz="16"/>
        </w:pBdr>
        <w:shd w:fill="F5F5F5" w:val="clear"/>
        <w:spacing w:after="90" w:before="35" w:line="276"/>
        <w:ind w:left="70"/>
      </w:pPr>
      <w:r>
        <w:rPr>
          <w:rFonts w:ascii="Arial" w:cs="Arial" w:eastAsia="Arial" w:hAnsi="Arial"/>
          <w:color w:val="333333"/>
          <w:sz w:val="19"/>
          <w:szCs w:val="19"/>
        </w:rPr>
        <w:t xml:space="preserve">Cita completa de Prompt-Centered SDLC (Rojas Camayo).</w:t>
      </w:r>
    </w:p>
    <w:p>
      <w:pPr>
        <w:pStyle w:val="Heading2"/>
        <w:spacing w:after="100" w:before="220"/>
      </w:pPr>
      <w:r>
        <w:rPr>
          <w:rFonts w:ascii="Arial" w:cs="Arial" w:eastAsia="Arial" w:hAnsi="Arial"/>
          <w:b/>
          <w:bCs/>
          <w:color w:val="2E75B6"/>
          <w:sz w:val="23"/>
          <w:szCs w:val="23"/>
        </w:rPr>
        <w:t xml:space="preserve">14.3 Artículos sobre metodologías o enfoques con IA en el SDLC</w:t>
      </w:r>
    </w:p>
    <w:p>
      <w:pPr>
        <w:pBdr>
          <w:left w:val="single" w:color="1F4E79" w:sz="16"/>
        </w:pBdr>
        <w:shd w:fill="F5F5F5" w:val="clear"/>
        <w:spacing w:after="90" w:before="35" w:line="276"/>
        <w:ind w:left="70"/>
      </w:pPr>
      <w:r>
        <w:rPr>
          <w:rFonts w:ascii="Arial" w:cs="Arial" w:eastAsia="Arial" w:hAnsi="Arial"/>
          <w:color w:val="333333"/>
          <w:sz w:val="19"/>
          <w:szCs w:val="19"/>
        </w:rPr>
        <w:t xml:space="preserve">Los tres (o más) artículos de la sección 2.3.</w:t>
      </w:r>
    </w:p>
    <w:p>
      <w:pPr>
        <w:pStyle w:val="Heading2"/>
        <w:spacing w:after="100" w:before="220"/>
      </w:pPr>
      <w:r>
        <w:rPr>
          <w:rFonts w:ascii="Arial" w:cs="Arial" w:eastAsia="Arial" w:hAnsi="Arial"/>
          <w:b/>
          <w:bCs/>
          <w:color w:val="2E75B6"/>
          <w:sz w:val="23"/>
          <w:szCs w:val="23"/>
        </w:rPr>
        <w:t xml:space="preserve">14.4 Fuentes de la matriz de doble entrada</w:t>
      </w:r>
    </w:p>
    <w:p>
      <w:pPr>
        <w:pBdr>
          <w:left w:val="single" w:color="1F4E79" w:sz="16"/>
        </w:pBdr>
        <w:shd w:fill="F5F5F5" w:val="clear"/>
        <w:spacing w:after="90" w:before="35" w:line="276"/>
        <w:ind w:left="70"/>
      </w:pPr>
      <w:r>
        <w:rPr>
          <w:rFonts w:ascii="Arial" w:cs="Arial" w:eastAsia="Arial" w:hAnsi="Arial"/>
          <w:color w:val="333333"/>
          <w:sz w:val="19"/>
          <w:szCs w:val="19"/>
        </w:rPr>
        <w:t xml:space="preserve">Artículo de Amaro, Pereira y Mira da Silva (capacidades DevOps y LCPs); artículo de Jiang et al. (versionado y calidad de prompts); y mención de que la operacionalización conjunta es aporte propio.</w:t>
      </w:r>
    </w:p>
    <w:p>
      <w:pPr>
        <w:pBdr>
          <w:left w:val="single" w:color="2E75B6" w:sz="16"/>
        </w:pBdr>
        <w:shd w:fill="DEEBF7" w:val="clear"/>
        <w:spacing w:after="90" w:before="35" w:line="276"/>
        <w:ind w:left="70"/>
      </w:pPr>
      <w:r>
        <w:rPr>
          <w:rFonts w:ascii="Arial" w:cs="Arial" w:eastAsia="Arial" w:hAnsi="Arial"/>
          <w:b/>
          <w:bCs/>
          <w:color w:val="1F4E79"/>
          <w:sz w:val="18"/>
          <w:szCs w:val="18"/>
        </w:rPr>
        <w:t xml:space="preserve">Cita recomendada: </w:t>
      </w:r>
      <w:r>
        <w:rPr>
          <w:rFonts w:ascii="Arial" w:cs="Arial" w:eastAsia="Arial" w:hAnsi="Arial"/>
          <w:color w:val="333333"/>
          <w:sz w:val="18"/>
          <w:szCs w:val="18"/>
        </w:rPr>
        <w:t xml:space="preserve">Citas completas de Amaro et al. y de Jiang et al. (o los autores reales usados).</w:t>
      </w:r>
    </w:p>
    <w:p>
      <w:pPr>
        <w:pStyle w:val="Heading2"/>
        <w:spacing w:after="100" w:before="220"/>
      </w:pPr>
      <w:r>
        <w:rPr>
          <w:rFonts w:ascii="Arial" w:cs="Arial" w:eastAsia="Arial" w:hAnsi="Arial"/>
          <w:b/>
          <w:bCs/>
          <w:color w:val="2E75B6"/>
          <w:sz w:val="23"/>
          <w:szCs w:val="23"/>
        </w:rPr>
        <w:t xml:space="preserve">14.5 Libros y otras fuentes</w:t>
      </w:r>
    </w:p>
    <w:p>
      <w:pPr>
        <w:pBdr>
          <w:left w:val="single" w:color="1F4E79" w:sz="16"/>
        </w:pBdr>
        <w:shd w:fill="F5F5F5" w:val="clear"/>
        <w:spacing w:after="90" w:before="35" w:line="276"/>
        <w:ind w:left="70"/>
      </w:pPr>
      <w:r>
        <w:rPr>
          <w:rFonts w:ascii="Arial" w:cs="Arial" w:eastAsia="Arial" w:hAnsi="Arial"/>
          <w:color w:val="333333"/>
          <w:sz w:val="19"/>
          <w:szCs w:val="19"/>
        </w:rPr>
        <w:t xml:space="preserve">Libros de ingeniería de software u otras fuentes secundarias citadas en el anexo.</w:t>
      </w:r>
    </w:p>
    <w:p>
      <w:pPr>
        <w:pStyle w:val="Heading1"/>
        <w:spacing w:after="140" w:before="280"/>
      </w:pPr>
      <w:r>
        <w:rPr>
          <w:rFonts w:ascii="Arial" w:cs="Arial" w:eastAsia="Arial" w:hAnsi="Arial"/>
          <w:b/>
          <w:bCs/>
          <w:color w:val="1F4E79"/>
          <w:sz w:val="28"/>
          <w:szCs w:val="28"/>
        </w:rPr>
        <w:t xml:space="preserve">Apéndices del Anexo 7</w:t>
      </w:r>
    </w:p>
    <w:p>
      <w:pPr>
        <w:pBdr>
          <w:left w:val="single" w:color="1F4E79" w:sz="16"/>
        </w:pBdr>
        <w:shd w:fill="F5F5F5" w:val="clear"/>
        <w:spacing w:after="90" w:before="35" w:line="276"/>
        <w:ind w:left="70"/>
      </w:pPr>
      <w:r>
        <w:rPr>
          <w:rFonts w:ascii="Arial" w:cs="Arial" w:eastAsia="Arial" w:hAnsi="Arial"/>
          <w:color w:val="333333"/>
          <w:sz w:val="19"/>
          <w:szCs w:val="19"/>
        </w:rPr>
        <w:t xml:space="preserve">Apéndice A: archivo o tablas de la Matriz de doble entrada completa (consolidada, prompts detallados, diccionario de columnas).</w:t>
      </w:r>
    </w:p>
    <w:p>
      <w:pPr>
        <w:pBdr>
          <w:left w:val="single" w:color="1F4E79" w:sz="16"/>
        </w:pBdr>
        <w:shd w:fill="F5F5F5" w:val="clear"/>
        <w:spacing w:after="90" w:before="35" w:line="276"/>
        <w:ind w:left="70"/>
      </w:pPr>
      <w:r>
        <w:rPr>
          <w:rFonts w:ascii="Arial" w:cs="Arial" w:eastAsia="Arial" w:hAnsi="Arial"/>
          <w:color w:val="333333"/>
          <w:sz w:val="19"/>
          <w:szCs w:val="19"/>
        </w:rPr>
        <w:t xml:space="preserve">Apéndice B: listado del repositorio de prompts versionados (o extracto representativo).</w:t>
      </w:r>
    </w:p>
    <w:p>
      <w:pPr>
        <w:pBdr>
          <w:left w:val="single" w:color="1F4E79" w:sz="16"/>
        </w:pBdr>
        <w:shd w:fill="F5F5F5" w:val="clear"/>
        <w:spacing w:after="90" w:before="35" w:line="276"/>
        <w:ind w:left="70"/>
      </w:pPr>
      <w:r>
        <w:rPr>
          <w:rFonts w:ascii="Arial" w:cs="Arial" w:eastAsia="Arial" w:hAnsi="Arial"/>
          <w:color w:val="333333"/>
          <w:sz w:val="19"/>
          <w:szCs w:val="19"/>
        </w:rPr>
        <w:t xml:space="preserve">Apéndice C: outputs representativos (historias, diagrama, fragmento de código, tests).</w:t>
      </w:r>
    </w:p>
    <w:p>
      <w:pPr>
        <w:pBdr>
          <w:left w:val="single" w:color="1F4E79" w:sz="16"/>
        </w:pBdr>
        <w:shd w:fill="F5F5F5" w:val="clear"/>
        <w:spacing w:after="90" w:before="35" w:line="276"/>
        <w:ind w:left="70"/>
      </w:pPr>
      <w:r>
        <w:rPr>
          <w:rFonts w:ascii="Arial" w:cs="Arial" w:eastAsia="Arial" w:hAnsi="Arial"/>
          <w:color w:val="333333"/>
          <w:sz w:val="19"/>
          <w:szCs w:val="19"/>
        </w:rPr>
        <w:t xml:space="preserve">Apéndice D: checklists D1/D2 completados.</w:t>
      </w:r>
    </w:p>
    <w:p>
      <w:pPr>
        <w:pBdr>
          <w:left w:val="single" w:color="1F4E79" w:sz="16"/>
        </w:pBdr>
        <w:shd w:fill="F5F5F5" w:val="clear"/>
        <w:spacing w:after="90" w:before="35" w:line="276"/>
        <w:ind w:left="70"/>
      </w:pPr>
      <w:r>
        <w:rPr>
          <w:rFonts w:ascii="Arial" w:cs="Arial" w:eastAsia="Arial" w:hAnsi="Arial"/>
          <w:color w:val="333333"/>
          <w:sz w:val="19"/>
          <w:szCs w:val="19"/>
        </w:rPr>
        <w:t xml:space="preserve">Apéndice E: reportes de cobertura / CI / seguridad (si existen).</w:t>
      </w:r>
    </w:p>
    <w:p>
      <w:pPr>
        <w:pBdr>
          <w:left w:val="single" w:color="1F4E79" w:sz="16"/>
        </w:pBdr>
        <w:shd w:fill="F5F5F5" w:val="clear"/>
        <w:spacing w:after="90" w:before="35" w:line="276"/>
        <w:ind w:left="70"/>
      </w:pPr>
      <w:r>
        <w:rPr>
          <w:rFonts w:ascii="Arial" w:cs="Arial" w:eastAsia="Arial" w:hAnsi="Arial"/>
          <w:color w:val="333333"/>
          <w:sz w:val="19"/>
          <w:szCs w:val="19"/>
        </w:rPr>
        <w:t xml:space="preserve">Apéndice F: evidencias de revisión y de despliegue.</w:t>
      </w:r>
    </w:p>
    <w:p>
      <w:pPr>
        <w:spacing w:before="300"/>
      </w:pPr>
    </w:p>
    <w:p>
      <w:pPr>
        <w:pBdr>
          <w:top w:val="single" w:color="1F4E79" w:sz="6" w:space="8"/>
        </w:pBdr>
        <w:spacing w:before="140"/>
        <w:jc w:val="center"/>
      </w:pPr>
      <w:r>
        <w:rPr>
          <w:rFonts w:ascii="Arial" w:cs="Arial" w:eastAsia="Arial" w:hAnsi="Arial"/>
          <w:i/>
          <w:iCs/>
          <w:color w:val="666666"/>
          <w:sz w:val="15"/>
          <w:szCs w:val="15"/>
        </w:rPr>
        <w:t xml:space="preserve">Fin del Anexo 7 – Solo indicaciones de contenido</w:t>
      </w:r>
    </w:p>
    <w:sectPr>
      <w:headerReference w:type="default" r:id="rId7"/>
      <w:footerReference w:type="default" r:id="rId8"/>
      <w:pgSz w:w="12240" w:h="15840" w:orient="portrait"/>
      <w:pgMar w:top="1140" w:right="1140" w:bottom="1140" w:left="11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45"/>
      <w:jc w:val="center"/>
    </w:pPr>
    <w:r>
      <w:rPr>
        <w:rFonts w:ascii="Arial" w:cs="Arial" w:eastAsia="Arial" w:hAnsi="Arial"/>
        <w:color w:val="666666"/>
        <w:sz w:val="13"/>
        <w:szCs w:val="13"/>
      </w:rPr>
      <w:t xml:space="preserve">Pág. </w:t>
    </w:r>
    <w:r>
      <w:rPr>
        <w:rFonts w:ascii="Arial" w:cs="Arial" w:eastAsia="Arial" w:hAnsi="Arial"/>
        <w:color w:val="666666"/>
        <w:sz w:val="13"/>
        <w:szCs w:val="13"/>
      </w:rPr>
      <w:fldChar w:fldCharType="begin"/>
      <w:instrText xml:space="preserve">PAGE</w:instrText>
      <w:fldChar w:fldCharType="separate"/>
      <w:fldChar w:fldCharType="end"/>
    </w:r>
    <w:r>
      <w:rPr>
        <w:rFonts w:ascii="Arial" w:cs="Arial" w:eastAsia="Arial" w:hAnsi="Arial"/>
        <w:color w:val="666666"/>
        <w:sz w:val="13"/>
        <w:szCs w:val="13"/>
      </w:rPr>
      <w:t xml:space="preserve">  |  Anexo 7  |  Universidad Continental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70"/>
    </w:pPr>
    <w:r>
      <w:rPr>
        <w:rFonts w:ascii="Arial" w:cs="Arial" w:eastAsia="Arial" w:hAnsi="Arial"/>
        <w:color w:val="1F4E79"/>
        <w:sz w:val="13"/>
        <w:szCs w:val="13"/>
      </w:rPr>
      <w:t xml:space="preserve">Anexo 7 – Intervención metodológica Prompt-Centered SDLC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3"/>
      <w:szCs w:val="23"/>
    </w:rPr>
  </w:style>
  <w:style w:type="paragraph" w:styleId="Heading3">
    <w:name w:val="Heading 3"/>
    <w:basedOn w:val="Normal"/>
    <w:next w:val="Normal"/>
    <w:qFormat/>
    <w:pPr>
      <w:spacing w:after="80" w:before="150"/>
      <w:outlineLvl w:val="2"/>
    </w:pPr>
    <w:rPr>
      <w:rFonts w:ascii="Arial" w:cs="Arial" w:eastAsia="Arial" w:hAnsi="Arial"/>
      <w:b/>
      <w:bCs/>
      <w:color w:val="404040"/>
      <w:sz w:val="21"/>
      <w:szCs w:val="21"/>
    </w:rPr>
  </w:style>
  <w:style w:type="paragraph" w:styleId="Heading4">
    <w:name w:val="Heading 4"/>
    <w:basedOn w:val="Normal"/>
    <w:next w:val="Normal"/>
    <w:qFormat/>
    <w:pPr>
      <w:spacing w:after="60" w:before="110"/>
      <w:outlineLvl w:val="3"/>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2026-09-11T19:24:14.381Z</dcterms:created>
  <dcterms:modified xsi:type="dcterms:W3CDTF">2026-09-11T19:24:14.381Z</dcterms:modified>
</cp:coreProperties>
</file>

<file path=docProps/custom.xml><?xml version="1.0" encoding="utf-8"?>
<Properties xmlns="http://schemas.openxmlformats.org/officeDocument/2006/custom-properties" xmlns:vt="http://schemas.openxmlformats.org/officeDocument/2006/docPropsVTypes"/>
</file>