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before="0" w:after="80" w:line="276" w:lineRule="auto"/>
        <w:ind w:firstLine="0"/>
        <w:jc w:val="center"/>
      </w:pPr>
      <w:r>
        <w:rPr>
          <w:rFonts w:ascii="Times New Roman" w:hAnsi="Times New Roman" w:eastAsia="Times New Roman"/>
          <w:b/>
          <w:i w:val="0"/>
          <w:color w:val="1A5F7A"/>
          <w:sz w:val="26"/>
        </w:rPr>
        <w:t>INTERVENCIÓN METODOLÓGICA</w:t>
      </w:r>
    </w:p>
    <w:p>
      <w:pPr>
        <w:spacing w:before="0" w:after="360" w:line="276" w:lineRule="auto"/>
        <w:ind w:firstLine="0"/>
        <w:jc w:val="center"/>
      </w:pPr>
      <w:r>
        <w:rPr>
          <w:rFonts w:ascii="Times New Roman" w:hAnsi="Times New Roman" w:eastAsia="Times New Roman"/>
          <w:b w:val="0"/>
          <w:i/>
          <w:color w:val="4A5568"/>
          <w:sz w:val="22"/>
        </w:rPr>
        <w:t>Prompt-Centered SDLC v1.2  ·  Caso de estudio</w:t>
      </w:r>
    </w:p>
    <w:p>
      <w:pPr>
        <w:spacing w:before="0" w:after="160" w:line="276" w:lineRule="auto"/>
        <w:ind w:firstLine="0"/>
        <w:jc w:val="center"/>
      </w:pPr>
      <w:r>
        <w:rPr>
          <w:rFonts w:ascii="Times New Roman" w:hAnsi="Times New Roman" w:eastAsia="Times New Roman"/>
          <w:b/>
          <w:i w:val="0"/>
          <w:color w:val="1F3A5F"/>
          <w:sz w:val="52"/>
        </w:rPr>
        <w:t>4.  Diseño y modelado del sistema</w:t>
      </w:r>
    </w:p>
    <w:p>
      <w:pPr>
        <w:spacing w:before="0" w:after="440" w:line="276" w:lineRule="auto"/>
        <w:ind w:firstLine="0"/>
        <w:jc w:val="center"/>
      </w:pPr>
      <w:r>
        <w:rPr>
          <w:rFonts w:ascii="Times New Roman" w:hAnsi="Times New Roman" w:eastAsia="Times New Roman"/>
          <w:b w:val="0"/>
          <w:i/>
          <w:color w:val="1A5F7A"/>
          <w:sz w:val="36"/>
        </w:rPr>
        <w:t>(software)</w:t>
      </w:r>
    </w:p>
    <w:p>
      <w:pPr>
        <w:spacing w:before="0" w:after="120" w:line="276" w:lineRule="auto"/>
        <w:ind w:firstLine="0"/>
        <w:jc w:val="center"/>
      </w:pPr>
      <w:r>
        <w:rPr>
          <w:rFonts w:ascii="Times New Roman" w:hAnsi="Times New Roman" w:eastAsia="Times New Roman"/>
          <w:b/>
          <w:i w:val="0"/>
          <w:color w:val="1F3A5F"/>
          <w:sz w:val="32"/>
        </w:rPr>
        <w:t>Sigemad MPA V2</w:t>
      </w:r>
    </w:p>
    <w:p>
      <w:pPr>
        <w:spacing w:before="0" w:after="80" w:line="276" w:lineRule="auto"/>
        <w:ind w:firstLine="0"/>
        <w:jc w:val="center"/>
      </w:pPr>
      <w:r>
        <w:rPr>
          <w:rFonts w:ascii="Times New Roman" w:hAnsi="Times New Roman" w:eastAsia="Times New Roman"/>
          <w:b w:val="0"/>
          <w:i w:val="0"/>
          <w:color w:val="4A5568"/>
          <w:sz w:val="24"/>
        </w:rPr>
        <w:t>Sistema de gestión de equipos de cómputo</w:t>
        <w:br/>
        <w:t>y mantenimiento predictivo</w:t>
      </w:r>
    </w:p>
    <w:p>
      <w:pPr>
        <w:spacing w:before="320" w:after="80" w:line="276" w:lineRule="auto"/>
        <w:ind w:firstLine="0"/>
        <w:jc w:val="center"/>
      </w:pPr>
      <w:r>
        <w:rPr>
          <w:rFonts w:ascii="Times New Roman" w:hAnsi="Times New Roman" w:eastAsia="Times New Roman"/>
          <w:b/>
          <w:i w:val="0"/>
          <w:color w:val="1F3A5F"/>
          <w:sz w:val="24"/>
        </w:rPr>
        <w:t>Municipalidad Provincial de Acobamba</w:t>
      </w:r>
    </w:p>
    <w:p>
      <w:pPr>
        <w:spacing w:before="0" w:after="80" w:line="276" w:lineRule="auto"/>
        <w:ind w:firstLine="0"/>
        <w:jc w:val="center"/>
      </w:pPr>
      <w:r>
        <w:rPr>
          <w:rFonts w:ascii="Times New Roman" w:hAnsi="Times New Roman" w:eastAsia="Times New Roman"/>
          <w:b w:val="0"/>
          <w:i w:val="0"/>
          <w:color w:val="4A5568"/>
          <w:sz w:val="22"/>
        </w:rPr>
        <w:t>Unidad de informática / patrimonio de TI</w:t>
      </w:r>
    </w:p>
    <w:p>
      <w:pPr>
        <w:spacing w:before="560" w:after="160" w:line="360" w:lineRule="auto"/>
        <w:ind w:firstLine="0"/>
      </w:pPr>
    </w:p>
    <w:tbl>
      <w:tblPr>
        <w:tblW w:type="auto" w:w="0"/>
        <w:jc w:val="center"/>
        <w:tblLayout w:type="fixed"/>
        <w:tblLook w:firstColumn="1" w:firstRow="1" w:lastColumn="0" w:lastRow="0" w:noHBand="0" w:noVBand="1" w:val="04A0"/>
      </w:tblPr>
      <w:tblGrid>
        <w:gridCol w:w="4394"/>
        <w:gridCol w:w="4394"/>
      </w:tblGrid>
      <w:tr>
        <w:tc>
          <w:tcPr>
            <w:tcW w:type="dxa" w:w="2948"/>
            <w:shd w:fill="1F3A5F" w:val="clear"/>
            <w:tcBorders>
              <w:top w:val="single" w:sz="4" w:color="8AA0B8"/>
              <w:bottom w:val="single" w:sz="4" w:color="8AA0B8"/>
              <w:left w:val="single" w:sz="4" w:color="8AA0B8"/>
              <w:right w:val="single" w:sz="4" w:color="8AA0B8"/>
            </w:tcBorders>
          </w:tcPr>
          <w:p>
            <w:pPr>
              <w:spacing w:before="60" w:after="60"/>
              <w:jc w:val="center"/>
            </w:pPr>
            <w:r>
              <w:rPr>
                <w:rFonts w:ascii="Times New Roman" w:hAnsi="Times New Roman" w:eastAsia="Times New Roman"/>
                <w:b/>
                <w:i w:val="0"/>
                <w:color w:val="FFFFFF"/>
                <w:sz w:val="20"/>
              </w:rPr>
              <w:t>Campo</w:t>
            </w:r>
          </w:p>
        </w:tc>
        <w:tc>
          <w:tcPr>
            <w:tcW w:type="dxa" w:w="5839"/>
            <w:shd w:fill="1F3A5F" w:val="clear"/>
            <w:tcBorders>
              <w:top w:val="single" w:sz="4" w:color="8AA0B8"/>
              <w:bottom w:val="single" w:sz="4" w:color="8AA0B8"/>
              <w:left w:val="single" w:sz="4" w:color="8AA0B8"/>
              <w:right w:val="single" w:sz="4" w:color="8AA0B8"/>
            </w:tcBorders>
          </w:tcPr>
          <w:p>
            <w:pPr>
              <w:spacing w:before="60" w:after="60"/>
              <w:jc w:val="center"/>
            </w:pPr>
            <w:r>
              <w:rPr>
                <w:rFonts w:ascii="Times New Roman" w:hAnsi="Times New Roman" w:eastAsia="Times New Roman"/>
                <w:b/>
                <w:i w:val="0"/>
                <w:color w:val="FFFFFF"/>
                <w:sz w:val="20"/>
              </w:rPr>
              <w:t>Contenido</w:t>
            </w:r>
          </w:p>
        </w:tc>
      </w:tr>
      <w:tr>
        <w:trPr>
          <w:cantSplit/>
        </w:trPr>
        <w:tc>
          <w:tcPr>
            <w:tcW w:type="dxa" w:w="2948"/>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Producto</w:t>
            </w:r>
          </w:p>
        </w:tc>
        <w:tc>
          <w:tcPr>
            <w:tcW w:type="dxa" w:w="5839"/>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SIGEMAD-MPA-V2</w:t>
            </w:r>
          </w:p>
        </w:tc>
      </w:tr>
      <w:tr>
        <w:trPr>
          <w:cantSplit/>
        </w:trPr>
        <w:tc>
          <w:tcPr>
            <w:tcW w:type="dxa" w:w="2948"/>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Versión del software</w:t>
            </w:r>
          </w:p>
        </w:tc>
        <w:tc>
          <w:tcPr>
            <w:tcW w:type="dxa" w:w="5839"/>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0.9.0</w:t>
            </w:r>
          </w:p>
        </w:tc>
      </w:tr>
      <w:tr>
        <w:trPr>
          <w:cantSplit/>
        </w:trPr>
        <w:tc>
          <w:tcPr>
            <w:tcW w:type="dxa" w:w="2948"/>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Documento de diseño</w:t>
            </w:r>
          </w:p>
        </w:tc>
        <w:tc>
          <w:tcPr>
            <w:tcW w:type="dxa" w:w="5839"/>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ADR-001  ·  architecture.md</w:t>
            </w:r>
          </w:p>
        </w:tc>
      </w:tr>
      <w:tr>
        <w:trPr>
          <w:cantSplit/>
        </w:trPr>
        <w:tc>
          <w:tcPr>
            <w:tcW w:type="dxa" w:w="2948"/>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Base de datos</w:t>
            </w:r>
          </w:p>
        </w:tc>
        <w:tc>
          <w:tcPr>
            <w:tcW w:type="dxa" w:w="5839"/>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gestion_equipos_mpa_v2  (MySQL, prefijo v2_)</w:t>
            </w:r>
          </w:p>
        </w:tc>
      </w:tr>
      <w:tr>
        <w:trPr>
          <w:cantSplit/>
        </w:trPr>
        <w:tc>
          <w:tcPr>
            <w:tcW w:type="dxa" w:w="2948"/>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Fecha del informe</w:t>
            </w:r>
          </w:p>
        </w:tc>
        <w:tc>
          <w:tcPr>
            <w:tcW w:type="dxa" w:w="5839"/>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septiembre de 2026</w:t>
            </w:r>
          </w:p>
        </w:tc>
      </w:tr>
    </w:tbl>
    <w:p>
      <w:r>
        <w:br w:type="page"/>
      </w:r>
    </w:p>
    <w:p>
      <w:pPr>
        <w:spacing w:before="360" w:after="160" w:line="276" w:lineRule="auto"/>
        <w:ind w:firstLine="0"/>
        <w:jc w:val="left"/>
        <w:pBdr>
          <w:bottom w:val="single" w:sz="8" w:space="4" w:color="1A5F7A"/>
        </w:pBdr>
      </w:pPr>
      <w:r>
        <w:rPr>
          <w:rFonts w:ascii="Times New Roman" w:hAnsi="Times New Roman" w:eastAsia="Times New Roman"/>
          <w:b/>
          <w:i w:val="0"/>
          <w:color w:val="1F3A5F"/>
          <w:sz w:val="32"/>
        </w:rPr>
        <w:t>Contenido</w:t>
      </w:r>
    </w:p>
    <w:p>
      <w:pPr>
        <w:spacing w:before="0" w:after="60" w:line="312" w:lineRule="auto"/>
        <w:ind w:firstLine="0"/>
      </w:pPr>
      <w:r>
        <w:rPr>
          <w:rFonts w:ascii="Times New Roman" w:hAnsi="Times New Roman" w:eastAsia="Times New Roman"/>
          <w:b w:val="0"/>
          <w:i w:val="0"/>
          <w:color w:val="1A1A1A"/>
          <w:sz w:val="24"/>
        </w:rPr>
        <w:t>4.     Diseño y modelado del sistema (software)</w:t>
      </w:r>
    </w:p>
    <w:p>
      <w:pPr>
        <w:spacing w:before="0" w:after="60" w:line="312" w:lineRule="auto"/>
        <w:ind w:firstLine="0"/>
      </w:pPr>
      <w:r>
        <w:rPr>
          <w:rFonts w:ascii="Times New Roman" w:hAnsi="Times New Roman" w:eastAsia="Times New Roman"/>
          <w:b w:val="0"/>
          <w:i w:val="0"/>
          <w:color w:val="1A1A1A"/>
          <w:sz w:val="24"/>
        </w:rPr>
        <w:t>4.1.   Arquitectura del software (por capas, microservicios, APIs)</w:t>
      </w:r>
    </w:p>
    <w:p>
      <w:pPr>
        <w:spacing w:before="0" w:after="60" w:line="312" w:lineRule="auto"/>
        <w:ind w:firstLine="0"/>
      </w:pPr>
      <w:r>
        <w:rPr>
          <w:rFonts w:ascii="Times New Roman" w:hAnsi="Times New Roman" w:eastAsia="Times New Roman"/>
          <w:b w:val="0"/>
          <w:i w:val="0"/>
          <w:color w:val="1A1A1A"/>
          <w:sz w:val="24"/>
        </w:rPr>
        <w:t>4.1.1. Arquitectura del proyecto en general</w:t>
      </w:r>
    </w:p>
    <w:p>
      <w:pPr>
        <w:spacing w:before="0" w:after="60" w:line="312" w:lineRule="auto"/>
        <w:ind w:firstLine="0"/>
      </w:pPr>
      <w:r>
        <w:rPr>
          <w:rFonts w:ascii="Times New Roman" w:hAnsi="Times New Roman" w:eastAsia="Times New Roman"/>
          <w:b w:val="0"/>
          <w:i w:val="0"/>
          <w:color w:val="1A1A1A"/>
          <w:sz w:val="24"/>
        </w:rPr>
        <w:t>4.1.2. Arquitectura interna (equivalente al MVC del framework)</w:t>
      </w:r>
    </w:p>
    <w:p>
      <w:pPr>
        <w:spacing w:before="0" w:after="60" w:line="312" w:lineRule="auto"/>
        <w:ind w:firstLine="0"/>
      </w:pPr>
      <w:r>
        <w:rPr>
          <w:rFonts w:ascii="Times New Roman" w:hAnsi="Times New Roman" w:eastAsia="Times New Roman"/>
          <w:b w:val="0"/>
          <w:i w:val="0"/>
          <w:color w:val="1A1A1A"/>
          <w:sz w:val="24"/>
        </w:rPr>
        <w:t>4.2.   Diseño de base de datos (modelo entidad-relación y normalización)</w:t>
      </w:r>
    </w:p>
    <w:p>
      <w:pPr>
        <w:spacing w:before="0" w:after="60" w:line="312" w:lineRule="auto"/>
        <w:ind w:firstLine="0"/>
      </w:pPr>
      <w:r>
        <w:rPr>
          <w:rFonts w:ascii="Times New Roman" w:hAnsi="Times New Roman" w:eastAsia="Times New Roman"/>
          <w:b w:val="0"/>
          <w:i w:val="0"/>
          <w:color w:val="1A1A1A"/>
          <w:sz w:val="24"/>
        </w:rPr>
        <w:t>4.2.1. Modelo conceptual</w:t>
      </w:r>
    </w:p>
    <w:p>
      <w:pPr>
        <w:spacing w:before="0" w:after="60" w:line="312" w:lineRule="auto"/>
        <w:ind w:firstLine="0"/>
      </w:pPr>
      <w:r>
        <w:rPr>
          <w:rFonts w:ascii="Times New Roman" w:hAnsi="Times New Roman" w:eastAsia="Times New Roman"/>
          <w:b w:val="0"/>
          <w:i w:val="0"/>
          <w:color w:val="1A1A1A"/>
          <w:sz w:val="24"/>
        </w:rPr>
        <w:t>4.2.2. Normalización en fase 1</w:t>
      </w:r>
    </w:p>
    <w:p>
      <w:pPr>
        <w:spacing w:before="0" w:after="60" w:line="312" w:lineRule="auto"/>
        <w:ind w:firstLine="0"/>
      </w:pPr>
      <w:r>
        <w:rPr>
          <w:rFonts w:ascii="Times New Roman" w:hAnsi="Times New Roman" w:eastAsia="Times New Roman"/>
          <w:b w:val="0"/>
          <w:i w:val="0"/>
          <w:color w:val="1A1A1A"/>
          <w:sz w:val="24"/>
        </w:rPr>
        <w:t>4.2.3. Modelo lógico</w:t>
      </w:r>
    </w:p>
    <w:p>
      <w:pPr>
        <w:spacing w:before="0" w:after="60" w:line="312" w:lineRule="auto"/>
        <w:ind w:firstLine="0"/>
      </w:pPr>
      <w:r>
        <w:rPr>
          <w:rFonts w:ascii="Times New Roman" w:hAnsi="Times New Roman" w:eastAsia="Times New Roman"/>
          <w:b w:val="0"/>
          <w:i w:val="0"/>
          <w:color w:val="1A1A1A"/>
          <w:sz w:val="24"/>
        </w:rPr>
        <w:t>4.2.4. Normalización en fase 2</w:t>
      </w:r>
    </w:p>
    <w:p>
      <w:pPr>
        <w:spacing w:before="0" w:after="60" w:line="312" w:lineRule="auto"/>
        <w:ind w:firstLine="0"/>
      </w:pPr>
      <w:r>
        <w:rPr>
          <w:rFonts w:ascii="Times New Roman" w:hAnsi="Times New Roman" w:eastAsia="Times New Roman"/>
          <w:b w:val="0"/>
          <w:i w:val="0"/>
          <w:color w:val="1A1A1A"/>
          <w:sz w:val="24"/>
        </w:rPr>
        <w:t>4.2.5. Modelo físico (entidad-relación implementado)</w:t>
      </w:r>
    </w:p>
    <w:p>
      <w:pPr>
        <w:spacing w:before="0" w:after="60" w:line="312" w:lineRule="auto"/>
        <w:ind w:firstLine="0"/>
      </w:pPr>
      <w:r>
        <w:rPr>
          <w:rFonts w:ascii="Times New Roman" w:hAnsi="Times New Roman" w:eastAsia="Times New Roman"/>
          <w:b w:val="0"/>
          <w:i w:val="0"/>
          <w:color w:val="1A1A1A"/>
          <w:sz w:val="24"/>
        </w:rPr>
        <w:t>4.3.   Síntesis para la defensa</w:t>
      </w:r>
    </w:p>
    <w:p>
      <w:pPr>
        <w:spacing w:before="0" w:after="60" w:line="312" w:lineRule="auto"/>
        <w:ind w:firstLine="0"/>
      </w:pPr>
      <w:r>
        <w:rPr>
          <w:rFonts w:ascii="Times New Roman" w:hAnsi="Times New Roman" w:eastAsia="Times New Roman"/>
          <w:b w:val="0"/>
          <w:i w:val="0"/>
          <w:color w:val="1A1A1A"/>
          <w:sz w:val="24"/>
        </w:rPr>
        <w:t>Referencias de diseño del repositorio</w:t>
      </w:r>
    </w:p>
    <w:p>
      <w:r>
        <w:br w:type="page"/>
      </w:r>
    </w:p>
    <w:p>
      <w:pPr>
        <w:spacing w:before="360" w:after="160" w:line="276" w:lineRule="auto"/>
        <w:ind w:firstLine="0"/>
        <w:jc w:val="left"/>
        <w:pBdr>
          <w:bottom w:val="single" w:sz="8" w:space="4" w:color="1A5F7A"/>
        </w:pBdr>
      </w:pPr>
      <w:r>
        <w:rPr>
          <w:rFonts w:ascii="Times New Roman" w:hAnsi="Times New Roman" w:eastAsia="Times New Roman"/>
          <w:b/>
          <w:i w:val="0"/>
          <w:color w:val="1F3A5F"/>
          <w:sz w:val="32"/>
        </w:rPr>
        <w:t>4.  Diseño y modelado del sistema (software)</w:t>
      </w:r>
    </w:p>
    <w:p>
      <w:pPr>
        <w:spacing w:before="0" w:after="160" w:line="360" w:lineRule="auto"/>
        <w:ind w:firstLine="425"/>
        <w:jc w:val="both"/>
      </w:pPr>
      <w:r>
        <w:rPr>
          <w:rFonts w:ascii="Times New Roman" w:hAnsi="Times New Roman" w:eastAsia="Times New Roman"/>
          <w:b w:val="0"/>
          <w:i w:val="0"/>
          <w:color w:val="1A1A1A"/>
          <w:sz w:val="24"/>
        </w:rPr>
        <w:t>En esta etapa se definió cómo se construye el producto: la forma de las capas, la comunicación entre componentes y el modelo de datos que sostiene el inventario patrimonial, las fichas técnicas, el mantenimiento y la predicción de riesgo. El diseño no parte de un framework único tipo Laravel, sino de una decisión documentada en el ADR-001: una aplicación de página única (SPA) en React, una API REST en PHP y una base de datos MySQL, complementadas por un microservicio de aprendizaje automático opcional en FastAPI.</w:t>
      </w:r>
    </w:p>
    <w:p>
      <w:pPr>
        <w:spacing w:before="0" w:after="160" w:line="360" w:lineRule="auto"/>
        <w:ind w:firstLine="425"/>
        <w:jc w:val="both"/>
      </w:pPr>
      <w:r>
        <w:rPr>
          <w:rFonts w:ascii="Times New Roman" w:hAnsi="Times New Roman" w:eastAsia="Times New Roman"/>
          <w:b w:val="0"/>
          <w:i w:val="0"/>
          <w:color w:val="1A1A1A"/>
          <w:sz w:val="24"/>
        </w:rPr>
        <w:t>El criterio de diseño fue doble. Primero, el sistema debe operar en un entorno local con XAMPP y, en producción, en hosting PHP compartido (Hostinger). Segundo, los datos debían nacer estructurados y numéricos —y no como texto libre—, para que el componente de machine learning no dependiera de descripciones inconsistentes. Esa restricción atraviesa tanto la arquitectura de software como el modelado de la base de datos.</w:t>
      </w:r>
    </w:p>
    <w:p>
      <w:pPr>
        <w:spacing w:before="360" w:after="160" w:line="276" w:lineRule="auto"/>
        <w:ind w:firstLine="0"/>
        <w:jc w:val="left"/>
        <w:pBdr>
          <w:bottom w:val="single" w:sz="8" w:space="4" w:color="1A5F7A"/>
        </w:pBdr>
      </w:pPr>
      <w:r>
        <w:rPr>
          <w:rFonts w:ascii="Times New Roman" w:hAnsi="Times New Roman" w:eastAsia="Times New Roman"/>
          <w:b/>
          <w:i w:val="0"/>
          <w:color w:val="1F3A5F"/>
          <w:sz w:val="32"/>
        </w:rPr>
        <w:t>4.1.  Arquitectura del software (por capas, microservicios, APIs)</w:t>
      </w:r>
    </w:p>
    <w:p>
      <w:pPr>
        <w:spacing w:before="0" w:after="160" w:line="360" w:lineRule="auto"/>
        <w:ind w:firstLine="425"/>
        <w:jc w:val="both"/>
      </w:pPr>
      <w:r>
        <w:rPr>
          <w:rFonts w:ascii="Times New Roman" w:hAnsi="Times New Roman" w:eastAsia="Times New Roman"/>
          <w:b w:val="0"/>
          <w:i w:val="0"/>
          <w:color w:val="1A1A1A"/>
          <w:sz w:val="24"/>
        </w:rPr>
        <w:t>La arquitectura se describe en dos niveles, tal como se exige en esta intervención: la del producto completo (qué sistemas conversan y qué servicios externos se utilizan) y la interna de cada lado (el equivalente al MVC de tres capas de un framework, aunque en este caso no se emplea Laravel).</w:t>
      </w:r>
    </w:p>
    <w:p>
      <w:pPr>
        <w:spacing w:before="280" w:after="120" w:line="276" w:lineRule="auto"/>
        <w:ind w:firstLine="0"/>
        <w:jc w:val="left"/>
      </w:pPr>
      <w:r>
        <w:rPr>
          <w:rFonts w:ascii="Times New Roman" w:hAnsi="Times New Roman" w:eastAsia="Times New Roman"/>
          <w:b/>
          <w:i w:val="0"/>
          <w:color w:val="1A5F7A"/>
          <w:sz w:val="26"/>
        </w:rPr>
        <w:t>4.1.1.  Arquitectura del proyecto en general</w:t>
      </w:r>
    </w:p>
    <w:p>
      <w:pPr>
        <w:spacing w:before="0" w:after="160" w:line="360" w:lineRule="auto"/>
        <w:ind w:firstLine="425"/>
        <w:jc w:val="both"/>
      </w:pPr>
      <w:r>
        <w:rPr>
          <w:rFonts w:ascii="Times New Roman" w:hAnsi="Times New Roman" w:eastAsia="Times New Roman"/>
          <w:b w:val="0"/>
          <w:i w:val="0"/>
          <w:color w:val="1A1A1A"/>
          <w:sz w:val="24"/>
        </w:rPr>
        <w:t>Sigemad MPA V2 adopta una arquitectura cliente-servidor de tres capas, con un monolito modular en PHP y un sidecar de machine learning que puede apagarse sin tumbar el resto del sistema. La migración desde la versión 1 se realizó con el patrón Strangler Fig: las tablas nuevas llevan el prefijo v2_ y conviven con el esquema anterior hasta reemplazarlo por completo.</w:t>
      </w:r>
    </w:p>
    <w:p>
      <w:pPr>
        <w:spacing w:before="120" w:after="40" w:line="240" w:lineRule="auto"/>
        <w:ind w:firstLine="0"/>
        <w:jc w:val="center"/>
      </w:pPr>
      <w:r>
        <w:drawing>
          <wp:inline xmlns:a="http://schemas.openxmlformats.org/drawingml/2006/main" xmlns:pic="http://schemas.openxmlformats.org/drawingml/2006/picture">
            <wp:extent cx="5544000" cy="3458139"/>
            <wp:docPr id="1" name="Picture 1"/>
            <wp:cNvGraphicFramePr>
              <a:graphicFrameLocks noChangeAspect="1"/>
            </wp:cNvGraphicFramePr>
            <a:graphic>
              <a:graphicData uri="http://schemas.openxmlformats.org/drawingml/2006/picture">
                <pic:pic>
                  <pic:nvPicPr>
                    <pic:cNvPr id="0" name="figura1_arquitectura_general.png"/>
                    <pic:cNvPicPr/>
                  </pic:nvPicPr>
                  <pic:blipFill>
                    <a:blip r:embed="rId11"/>
                    <a:stretch>
                      <a:fillRect/>
                    </a:stretch>
                  </pic:blipFill>
                  <pic:spPr>
                    <a:xfrm>
                      <a:off x="0" y="0"/>
                      <a:ext cx="5544000" cy="3458139"/>
                    </a:xfrm>
                    <a:prstGeom prst="rect"/>
                  </pic:spPr>
                </pic:pic>
              </a:graphicData>
            </a:graphic>
          </wp:inline>
        </w:drawing>
      </w:r>
    </w:p>
    <w:p>
      <w:pPr>
        <w:spacing w:before="80" w:after="240" w:line="240" w:lineRule="auto"/>
        <w:ind w:firstLine="0"/>
        <w:jc w:val="center"/>
      </w:pPr>
      <w:r>
        <w:rPr>
          <w:rFonts w:ascii="Times New Roman" w:hAnsi="Times New Roman" w:eastAsia="Times New Roman"/>
          <w:b w:val="0"/>
          <w:i/>
          <w:color w:val="4A5568"/>
          <w:sz w:val="20"/>
        </w:rPr>
        <w:t>Figura 1. Arquitectura general de Sigemad MPA V2: tres capas más un microservicio ML opcional.</w:t>
      </w:r>
    </w:p>
    <w:p>
      <w:pPr>
        <w:spacing w:before="0" w:after="160" w:line="360" w:lineRule="auto"/>
        <w:ind w:firstLine="425"/>
        <w:jc w:val="both"/>
      </w:pPr>
      <w:r>
        <w:rPr>
          <w:rFonts w:ascii="Times New Roman" w:hAnsi="Times New Roman" w:eastAsia="Times New Roman"/>
          <w:b w:val="0"/>
          <w:i w:val="0"/>
          <w:color w:val="1A1A1A"/>
          <w:sz w:val="24"/>
        </w:rPr>
        <w:t>El navegador nunca llama a Python. PHP actúa como proxy autenticado (clase MlService): recibe el token JWT, valida el rol y, si el servicio está configurado, reenvía la petición a FastAPI. Si la variable ml_service_url está vacía —situación típica en Hostinger compartido— o si FastAPI no responde, el inventario, las fichas y el mantenimiento siguen disponibles; solo se omiten los badges de riesgo y las sugerencias de categoría de falla. Esa degradación controlada fue una restricción explícita del diseño (prompt D-002 y ADR-001).</w:t>
      </w:r>
    </w:p>
    <w:p>
      <w:pPr>
        <w:spacing w:before="0" w:after="160" w:line="360" w:lineRule="auto"/>
        <w:ind w:firstLine="0"/>
        <w:jc w:val="both"/>
      </w:pPr>
      <w:r>
        <w:rPr>
          <w:rFonts w:ascii="Times New Roman" w:hAnsi="Times New Roman" w:eastAsia="Times New Roman"/>
          <w:b w:val="0"/>
          <w:i w:val="0"/>
          <w:color w:val="1A1A1A"/>
          <w:sz w:val="24"/>
        </w:rPr>
        <w:t>Servicios y dependencias que el proyecto utiliza hacia afuera:</w:t>
      </w:r>
    </w:p>
    <w:tbl>
      <w:tblPr>
        <w:tblW w:type="auto" w:w="0"/>
        <w:jc w:val="center"/>
        <w:tblLayout w:type="fixed"/>
        <w:tblLook w:firstColumn="1" w:firstRow="1" w:lastColumn="0" w:lastRow="0" w:noHBand="0" w:noVBand="1" w:val="04A0"/>
      </w:tblPr>
      <w:tblGrid>
        <w:gridCol w:w="2197"/>
        <w:gridCol w:w="2197"/>
        <w:gridCol w:w="2197"/>
        <w:gridCol w:w="2197"/>
      </w:tblGrid>
      <w:tr>
        <w:tc>
          <w:tcPr>
            <w:tcW w:type="dxa" w:w="2268"/>
            <w:shd w:fill="1F3A5F" w:val="clear"/>
            <w:tcBorders>
              <w:top w:val="single" w:sz="4" w:color="8AA0B8"/>
              <w:bottom w:val="single" w:sz="4" w:color="8AA0B8"/>
              <w:left w:val="single" w:sz="4" w:color="8AA0B8"/>
              <w:right w:val="single" w:sz="4" w:color="8AA0B8"/>
            </w:tcBorders>
          </w:tcPr>
          <w:p>
            <w:pPr>
              <w:spacing w:before="60" w:after="60"/>
              <w:jc w:val="center"/>
            </w:pPr>
            <w:r>
              <w:rPr>
                <w:rFonts w:ascii="Times New Roman" w:hAnsi="Times New Roman" w:eastAsia="Times New Roman"/>
                <w:b/>
                <w:i w:val="0"/>
                <w:color w:val="FFFFFF"/>
                <w:sz w:val="20"/>
              </w:rPr>
              <w:t>Componente</w:t>
            </w:r>
          </w:p>
        </w:tc>
        <w:tc>
          <w:tcPr>
            <w:tcW w:type="dxa" w:w="2041"/>
            <w:shd w:fill="1F3A5F" w:val="clear"/>
            <w:tcBorders>
              <w:top w:val="single" w:sz="4" w:color="8AA0B8"/>
              <w:bottom w:val="single" w:sz="4" w:color="8AA0B8"/>
              <w:left w:val="single" w:sz="4" w:color="8AA0B8"/>
              <w:right w:val="single" w:sz="4" w:color="8AA0B8"/>
            </w:tcBorders>
          </w:tcPr>
          <w:p>
            <w:pPr>
              <w:spacing w:before="60" w:after="60"/>
              <w:jc w:val="center"/>
            </w:pPr>
            <w:r>
              <w:rPr>
                <w:rFonts w:ascii="Times New Roman" w:hAnsi="Times New Roman" w:eastAsia="Times New Roman"/>
                <w:b/>
                <w:i w:val="0"/>
                <w:color w:val="FFFFFF"/>
                <w:sz w:val="20"/>
              </w:rPr>
              <w:t>Tipo</w:t>
            </w:r>
          </w:p>
        </w:tc>
        <w:tc>
          <w:tcPr>
            <w:tcW w:type="dxa" w:w="3005"/>
            <w:shd w:fill="1F3A5F" w:val="clear"/>
            <w:tcBorders>
              <w:top w:val="single" w:sz="4" w:color="8AA0B8"/>
              <w:bottom w:val="single" w:sz="4" w:color="8AA0B8"/>
              <w:left w:val="single" w:sz="4" w:color="8AA0B8"/>
              <w:right w:val="single" w:sz="4" w:color="8AA0B8"/>
            </w:tcBorders>
          </w:tcPr>
          <w:p>
            <w:pPr>
              <w:spacing w:before="60" w:after="60"/>
              <w:jc w:val="center"/>
            </w:pPr>
            <w:r>
              <w:rPr>
                <w:rFonts w:ascii="Times New Roman" w:hAnsi="Times New Roman" w:eastAsia="Times New Roman"/>
                <w:b/>
                <w:i w:val="0"/>
                <w:color w:val="FFFFFF"/>
                <w:sz w:val="20"/>
              </w:rPr>
              <w:t>Función</w:t>
            </w:r>
          </w:p>
        </w:tc>
        <w:tc>
          <w:tcPr>
            <w:tcW w:type="dxa" w:w="1474"/>
            <w:shd w:fill="1F3A5F" w:val="clear"/>
            <w:tcBorders>
              <w:top w:val="single" w:sz="4" w:color="8AA0B8"/>
              <w:bottom w:val="single" w:sz="4" w:color="8AA0B8"/>
              <w:left w:val="single" w:sz="4" w:color="8AA0B8"/>
              <w:right w:val="single" w:sz="4" w:color="8AA0B8"/>
            </w:tcBorders>
          </w:tcPr>
          <w:p>
            <w:pPr>
              <w:spacing w:before="60" w:after="60"/>
              <w:jc w:val="center"/>
            </w:pPr>
            <w:r>
              <w:rPr>
                <w:rFonts w:ascii="Times New Roman" w:hAnsi="Times New Roman" w:eastAsia="Times New Roman"/>
                <w:b/>
                <w:i w:val="0"/>
                <w:color w:val="FFFFFF"/>
                <w:sz w:val="20"/>
              </w:rPr>
              <w:t>Obligatorio</w:t>
            </w:r>
          </w:p>
        </w:tc>
      </w:tr>
      <w:tr>
        <w:trPr>
          <w:cantSplit/>
        </w:trPr>
        <w:tc>
          <w:tcPr>
            <w:tcW w:type="dxa" w:w="2268"/>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Apache + PHP 8.1+</w:t>
            </w:r>
          </w:p>
        </w:tc>
        <w:tc>
          <w:tcPr>
            <w:tcW w:type="dxa" w:w="2041"/>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Servidor de aplicación</w:t>
              <w:br/>
              <w:t>(XAMPP / Hostinger)</w:t>
            </w:r>
          </w:p>
        </w:tc>
        <w:tc>
          <w:tcPr>
            <w:tcW w:type="dxa" w:w="3005"/>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Expone la API y, en producción, el frontend compilado</w:t>
            </w:r>
          </w:p>
        </w:tc>
        <w:tc>
          <w:tcPr>
            <w:tcW w:type="dxa" w:w="1474"/>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Sí</w:t>
            </w:r>
          </w:p>
        </w:tc>
      </w:tr>
      <w:tr>
        <w:trPr>
          <w:cantSplit/>
        </w:trPr>
        <w:tc>
          <w:tcPr>
            <w:tcW w:type="dxa" w:w="2268"/>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MySQL</w:t>
            </w:r>
          </w:p>
        </w:tc>
        <w:tc>
          <w:tcPr>
            <w:tcW w:type="dxa" w:w="2041"/>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Gestor de base de datos</w:t>
            </w:r>
          </w:p>
        </w:tc>
        <w:tc>
          <w:tcPr>
            <w:tcW w:type="dxa" w:w="3005"/>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Persistencia de inventario, usuarios, fichas y predicciones</w:t>
            </w:r>
          </w:p>
        </w:tc>
        <w:tc>
          <w:tcPr>
            <w:tcW w:type="dxa" w:w="1474"/>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Sí</w:t>
            </w:r>
          </w:p>
        </w:tc>
      </w:tr>
      <w:tr>
        <w:trPr>
          <w:cantSplit/>
        </w:trPr>
        <w:tc>
          <w:tcPr>
            <w:tcW w:type="dxa" w:w="2268"/>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FastAPI (Python 3.10+)</w:t>
            </w:r>
          </w:p>
        </w:tc>
        <w:tc>
          <w:tcPr>
            <w:tcW w:type="dxa" w:w="2041"/>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Microservicio interno</w:t>
            </w:r>
          </w:p>
        </w:tc>
        <w:tc>
          <w:tcPr>
            <w:tcW w:type="dxa" w:w="3005"/>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Predicción de riesgo y sugerencia de categoría de falla</w:t>
            </w:r>
          </w:p>
        </w:tc>
        <w:tc>
          <w:tcPr>
            <w:tcW w:type="dxa" w:w="1474"/>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No</w:t>
            </w:r>
          </w:p>
        </w:tc>
      </w:tr>
      <w:tr>
        <w:trPr>
          <w:cantSplit/>
        </w:trPr>
        <w:tc>
          <w:tcPr>
            <w:tcW w:type="dxa" w:w="2268"/>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Cliente HTTP Axios</w:t>
            </w:r>
          </w:p>
        </w:tc>
        <w:tc>
          <w:tcPr>
            <w:tcW w:type="dxa" w:w="2041"/>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Consumo de la API propia</w:t>
            </w:r>
          </w:p>
        </w:tc>
        <w:tc>
          <w:tcPr>
            <w:tcW w:type="dxa" w:w="3005"/>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El navegador solo habla con PHP</w:t>
            </w:r>
          </w:p>
        </w:tc>
        <w:tc>
          <w:tcPr>
            <w:tcW w:type="dxa" w:w="1474"/>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Sí</w:t>
            </w:r>
          </w:p>
        </w:tc>
      </w:tr>
    </w:tbl>
    <w:p>
      <w:pPr>
        <w:spacing w:before="80" w:after="240" w:line="240" w:lineRule="auto"/>
        <w:ind w:firstLine="0"/>
        <w:jc w:val="center"/>
      </w:pPr>
      <w:r>
        <w:rPr>
          <w:rFonts w:ascii="Times New Roman" w:hAnsi="Times New Roman" w:eastAsia="Times New Roman"/>
          <w:b w:val="0"/>
          <w:i/>
          <w:color w:val="4A5568"/>
          <w:sz w:val="20"/>
        </w:rPr>
        <w:t>Tabla 1. Servicios externos e internos del producto.</w:t>
      </w:r>
    </w:p>
    <w:p>
      <w:pPr>
        <w:spacing w:before="40" w:after="200" w:line="276" w:lineRule="auto"/>
        <w:ind w:firstLine="0"/>
        <w:jc w:val="both"/>
      </w:pPr>
      <w:r>
        <w:rPr>
          <w:rFonts w:ascii="Times New Roman" w:hAnsi="Times New Roman" w:eastAsia="Times New Roman"/>
          <w:b/>
          <w:i/>
          <w:color w:val="4A5568"/>
          <w:sz w:val="20"/>
        </w:rPr>
        <w:t xml:space="preserve">Nota. </w:t>
      </w:r>
      <w:r>
        <w:rPr>
          <w:rFonts w:ascii="Times New Roman" w:hAnsi="Times New Roman" w:eastAsia="Times New Roman"/>
          <w:b w:val="0"/>
          <w:i/>
          <w:color w:val="4A5568"/>
          <w:sz w:val="20"/>
        </w:rPr>
        <w:t>No existen APIs de terceros de negocio (pasarelas de pago, OAuth social o nubes de ML). Las librerías firebase/php-jwt, Dompdf, OpenSpout y jsPDF se ejecutan dentro del propio código; no constituyen servicios remotos.</w:t>
      </w:r>
    </w:p>
    <w:p>
      <w:pPr>
        <w:spacing w:before="0" w:after="160" w:line="360" w:lineRule="auto"/>
        <w:ind w:firstLine="0"/>
        <w:jc w:val="both"/>
      </w:pPr>
      <w:r>
        <w:rPr>
          <w:rFonts w:ascii="Times New Roman" w:hAnsi="Times New Roman" w:eastAsia="Times New Roman"/>
          <w:b w:val="0"/>
          <w:i w:val="0"/>
          <w:color w:val="1A1A1A"/>
          <w:sz w:val="24"/>
        </w:rPr>
        <w:t>Reglas de integración adoptadas:</w:t>
      </w:r>
    </w:p>
    <w:p>
      <w:pPr>
        <w:spacing w:before="0" w:after="80" w:line="276" w:lineRule="auto"/>
        <w:ind w:left="567" w:hanging="227"/>
        <w:jc w:val="both"/>
      </w:pPr>
      <w:r>
        <w:rPr>
          <w:rFonts w:ascii="Times New Roman" w:hAnsi="Times New Roman" w:eastAsia="Times New Roman"/>
          <w:b w:val="0"/>
          <w:i w:val="0"/>
          <w:color w:val="1A5F7A"/>
          <w:sz w:val="24"/>
        </w:rPr>
        <w:t xml:space="preserve">•  </w:t>
      </w:r>
      <w:r>
        <w:rPr>
          <w:rFonts w:ascii="Times New Roman" w:hAnsi="Times New Roman" w:eastAsia="Times New Roman"/>
          <w:b/>
          <w:i w:val="0"/>
          <w:color w:val="1A1A1A"/>
          <w:sz w:val="24"/>
        </w:rPr>
        <w:t>Proxy autenticado.</w:t>
      </w:r>
      <w:r>
        <w:rPr>
          <w:rFonts w:ascii="Times New Roman" w:hAnsi="Times New Roman" w:eastAsia="Times New Roman"/>
          <w:b w:val="0"/>
          <w:i w:val="0"/>
          <w:color w:val="1A1A1A"/>
          <w:sz w:val="24"/>
        </w:rPr>
        <w:t xml:space="preserve"> El navegador no tiene ruta directa al puerto 8000. Toda inferencia pasa por /api/v2/ml/*.</w:t>
      </w:r>
    </w:p>
    <w:p>
      <w:pPr>
        <w:spacing w:before="0" w:after="80" w:line="276" w:lineRule="auto"/>
        <w:ind w:left="567" w:hanging="227"/>
        <w:jc w:val="both"/>
      </w:pPr>
      <w:r>
        <w:rPr>
          <w:rFonts w:ascii="Times New Roman" w:hAnsi="Times New Roman" w:eastAsia="Times New Roman"/>
          <w:b w:val="0"/>
          <w:i w:val="0"/>
          <w:color w:val="1A5F7A"/>
          <w:sz w:val="24"/>
        </w:rPr>
        <w:t xml:space="preserve">•  </w:t>
      </w:r>
      <w:r>
        <w:rPr>
          <w:rFonts w:ascii="Times New Roman" w:hAnsi="Times New Roman" w:eastAsia="Times New Roman"/>
          <w:b/>
          <w:i w:val="0"/>
          <w:color w:val="1A1A1A"/>
          <w:sz w:val="24"/>
        </w:rPr>
        <w:t>Defensa en profundidad.</w:t>
      </w:r>
      <w:r>
        <w:rPr>
          <w:rFonts w:ascii="Times New Roman" w:hAnsi="Times New Roman" w:eastAsia="Times New Roman"/>
          <w:b w:val="0"/>
          <w:i w:val="0"/>
          <w:color w:val="1A1A1A"/>
          <w:sz w:val="24"/>
        </w:rPr>
        <w:t xml:space="preserve"> Toda ruta de /api/v2/* excepto /auth exige JWT. La interfaz (PrivateRoute y RoleRoute) oculta pantallas; la autorización efectiva está en el servidor (RBAC: Administrador, Técnico, Practicante).</w:t>
      </w:r>
    </w:p>
    <w:p>
      <w:pPr>
        <w:spacing w:before="0" w:after="80" w:line="276" w:lineRule="auto"/>
        <w:ind w:left="567" w:hanging="227"/>
        <w:jc w:val="both"/>
      </w:pPr>
      <w:r>
        <w:rPr>
          <w:rFonts w:ascii="Times New Roman" w:hAnsi="Times New Roman" w:eastAsia="Times New Roman"/>
          <w:b w:val="0"/>
          <w:i w:val="0"/>
          <w:color w:val="1A5F7A"/>
          <w:sz w:val="24"/>
        </w:rPr>
        <w:t xml:space="preserve">•  </w:t>
      </w:r>
      <w:r>
        <w:rPr>
          <w:rFonts w:ascii="Times New Roman" w:hAnsi="Times New Roman" w:eastAsia="Times New Roman"/>
          <w:b/>
          <w:i w:val="0"/>
          <w:color w:val="1A1A1A"/>
          <w:sz w:val="24"/>
        </w:rPr>
        <w:t>Degradación elegante.</w:t>
      </w:r>
      <w:r>
        <w:rPr>
          <w:rFonts w:ascii="Times New Roman" w:hAnsi="Times New Roman" w:eastAsia="Times New Roman"/>
          <w:b w:val="0"/>
          <w:i w:val="0"/>
          <w:color w:val="1A1A1A"/>
          <w:sz w:val="24"/>
        </w:rPr>
        <w:t xml:space="preserve"> En hosting compartido el ML se deshabilita sin recompilar el núcleo operativo.</w:t>
      </w:r>
    </w:p>
    <w:p>
      <w:pPr>
        <w:spacing w:before="0" w:after="160" w:line="360" w:lineRule="auto"/>
        <w:ind w:firstLine="425"/>
        <w:jc w:val="both"/>
      </w:pPr>
      <w:r>
        <w:rPr>
          <w:rFonts w:ascii="Times New Roman" w:hAnsi="Times New Roman" w:eastAsia="Times New Roman"/>
          <w:b w:val="0"/>
          <w:i w:val="0"/>
          <w:color w:val="1A1A1A"/>
          <w:sz w:val="24"/>
        </w:rPr>
        <w:t>El estilo de la API es REST. Las respuestas siguen un contrato uniforme { success, data, message }. Los recursos principales son /auth, /equipos, /mantenimientos, /fichas-tecnicas, /dashboard, /reportes, /areas, /usuarios y /ml.</w:t>
      </w:r>
    </w:p>
    <w:p>
      <w:pPr>
        <w:spacing w:before="280" w:after="120" w:line="276" w:lineRule="auto"/>
        <w:ind w:firstLine="0"/>
        <w:jc w:val="left"/>
      </w:pPr>
      <w:r>
        <w:rPr>
          <w:rFonts w:ascii="Times New Roman" w:hAnsi="Times New Roman" w:eastAsia="Times New Roman"/>
          <w:b/>
          <w:i w:val="0"/>
          <w:color w:val="1A5F7A"/>
          <w:sz w:val="26"/>
        </w:rPr>
        <w:t>4.1.2.  Arquitectura interna (equivalente al MVC del framework)</w:t>
      </w:r>
    </w:p>
    <w:p>
      <w:pPr>
        <w:spacing w:before="0" w:after="160" w:line="360" w:lineRule="auto"/>
        <w:ind w:firstLine="425"/>
        <w:jc w:val="both"/>
      </w:pPr>
      <w:r>
        <w:rPr>
          <w:rFonts w:ascii="Times New Roman" w:hAnsi="Times New Roman" w:eastAsia="Times New Roman"/>
          <w:b w:val="0"/>
          <w:i w:val="0"/>
          <w:color w:val="1A1A1A"/>
          <w:sz w:val="24"/>
        </w:rPr>
        <w:t>En un proyecto Laravel se hablaría de la arquitectura en tres capas MVC que el framework impone por convención (rutas, controladores, modelos Eloquent y vistas Blade). Sigemad MPA no adopta Laravel: el backend es PHP plano orientado a objetos con PDO y el frontend es React. Aun así, cada lado replica una arquitectura de capas comparable, elegida a propósito para un hosting PHP compartido y un equipo pequeño (alternativa descartada en el ADR-001: monolito Laravel + Vue, usado en SGMI, no en este producto).</w:t>
      </w:r>
    </w:p>
    <w:p>
      <w:pPr>
        <w:spacing w:before="200" w:after="80" w:line="276" w:lineRule="auto"/>
        <w:ind w:firstLine="0"/>
        <w:jc w:val="left"/>
      </w:pPr>
      <w:r>
        <w:rPr>
          <w:rFonts w:ascii="Times New Roman" w:hAnsi="Times New Roman" w:eastAsia="Times New Roman"/>
          <w:b/>
          <w:i w:val="0"/>
          <w:color w:val="1F3A5F"/>
          <w:sz w:val="24"/>
        </w:rPr>
        <w:t>A.  Backend PHP — MVC adaptado a API REST</w:t>
      </w:r>
    </w:p>
    <w:tbl>
      <w:tblPr>
        <w:tblW w:type="auto" w:w="0"/>
        <w:jc w:val="center"/>
        <w:tblLayout w:type="fixed"/>
        <w:tblLook w:firstColumn="1" w:firstRow="1" w:lastColumn="0" w:lastRow="0" w:noHBand="0" w:noVBand="1" w:val="04A0"/>
      </w:tblPr>
      <w:tblGrid>
        <w:gridCol w:w="2929"/>
        <w:gridCol w:w="2929"/>
        <w:gridCol w:w="2929"/>
      </w:tblGrid>
      <w:tr>
        <w:tc>
          <w:tcPr>
            <w:tcW w:type="dxa" w:w="2381"/>
            <w:shd w:fill="1F3A5F" w:val="clear"/>
            <w:tcBorders>
              <w:top w:val="single" w:sz="4" w:color="8AA0B8"/>
              <w:bottom w:val="single" w:sz="4" w:color="8AA0B8"/>
              <w:left w:val="single" w:sz="4" w:color="8AA0B8"/>
              <w:right w:val="single" w:sz="4" w:color="8AA0B8"/>
            </w:tcBorders>
          </w:tcPr>
          <w:p>
            <w:pPr>
              <w:spacing w:before="60" w:after="60"/>
              <w:jc w:val="center"/>
            </w:pPr>
            <w:r>
              <w:rPr>
                <w:rFonts w:ascii="Times New Roman" w:hAnsi="Times New Roman" w:eastAsia="Times New Roman"/>
                <w:b/>
                <w:i w:val="0"/>
                <w:color w:val="FFFFFF"/>
                <w:sz w:val="20"/>
              </w:rPr>
              <w:t>Capa MVC</w:t>
            </w:r>
          </w:p>
        </w:tc>
        <w:tc>
          <w:tcPr>
            <w:tcW w:type="dxa" w:w="2494"/>
            <w:shd w:fill="1F3A5F" w:val="clear"/>
            <w:tcBorders>
              <w:top w:val="single" w:sz="4" w:color="8AA0B8"/>
              <w:bottom w:val="single" w:sz="4" w:color="8AA0B8"/>
              <w:left w:val="single" w:sz="4" w:color="8AA0B8"/>
              <w:right w:val="single" w:sz="4" w:color="8AA0B8"/>
            </w:tcBorders>
          </w:tcPr>
          <w:p>
            <w:pPr>
              <w:spacing w:before="60" w:after="60"/>
              <w:jc w:val="center"/>
            </w:pPr>
            <w:r>
              <w:rPr>
                <w:rFonts w:ascii="Times New Roman" w:hAnsi="Times New Roman" w:eastAsia="Times New Roman"/>
                <w:b/>
                <w:i w:val="0"/>
                <w:color w:val="FFFFFF"/>
                <w:sz w:val="20"/>
              </w:rPr>
              <w:t>Ubicación</w:t>
            </w:r>
          </w:p>
        </w:tc>
        <w:tc>
          <w:tcPr>
            <w:tcW w:type="dxa" w:w="3912"/>
            <w:shd w:fill="1F3A5F" w:val="clear"/>
            <w:tcBorders>
              <w:top w:val="single" w:sz="4" w:color="8AA0B8"/>
              <w:bottom w:val="single" w:sz="4" w:color="8AA0B8"/>
              <w:left w:val="single" w:sz="4" w:color="8AA0B8"/>
              <w:right w:val="single" w:sz="4" w:color="8AA0B8"/>
            </w:tcBorders>
          </w:tcPr>
          <w:p>
            <w:pPr>
              <w:spacing w:before="60" w:after="60"/>
              <w:jc w:val="center"/>
            </w:pPr>
            <w:r>
              <w:rPr>
                <w:rFonts w:ascii="Times New Roman" w:hAnsi="Times New Roman" w:eastAsia="Times New Roman"/>
                <w:b/>
                <w:i w:val="0"/>
                <w:color w:val="FFFFFF"/>
                <w:sz w:val="20"/>
              </w:rPr>
              <w:t>Responsabilidad</w:t>
            </w:r>
          </w:p>
        </w:tc>
      </w:tr>
      <w:tr>
        <w:trPr>
          <w:cantSplit/>
        </w:trPr>
        <w:tc>
          <w:tcPr>
            <w:tcW w:type="dxa" w:w="2381"/>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Vista / contrato HTTP</w:t>
            </w:r>
          </w:p>
        </w:tc>
        <w:tc>
          <w:tcPr>
            <w:tcW w:type="dxa" w:w="2494"/>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routes/  +  JSON (y PDF)</w:t>
            </w:r>
          </w:p>
        </w:tc>
        <w:tc>
          <w:tcPr>
            <w:tcW w:type="dxa" w:w="3912"/>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No hay Blade ni Twig: la vista es el JSON de la API y los reportes PDF</w:t>
            </w:r>
          </w:p>
        </w:tc>
      </w:tr>
      <w:tr>
        <w:trPr>
          <w:cantSplit/>
        </w:trPr>
        <w:tc>
          <w:tcPr>
            <w:tcW w:type="dxa" w:w="2381"/>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Controlador</w:t>
            </w:r>
          </w:p>
        </w:tc>
        <w:tc>
          <w:tcPr>
            <w:tcW w:type="dxa" w:w="2494"/>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controllers/</w:t>
            </w:r>
          </w:p>
        </w:tc>
        <w:tc>
          <w:tcPr>
            <w:tcW w:type="dxa" w:w="3912"/>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Interpreta la petición, aplica reglas de rol y orquesta el caso de uso</w:t>
            </w:r>
          </w:p>
        </w:tc>
      </w:tr>
      <w:tr>
        <w:trPr>
          <w:cantSplit/>
        </w:trPr>
        <w:tc>
          <w:tcPr>
            <w:tcW w:type="dxa" w:w="2381"/>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Modelo</w:t>
            </w:r>
          </w:p>
        </w:tc>
        <w:tc>
          <w:tcPr>
            <w:tcW w:type="dxa" w:w="2494"/>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models/</w:t>
            </w:r>
          </w:p>
        </w:tc>
        <w:tc>
          <w:tcPr>
            <w:tcW w:type="dxa" w:w="3912"/>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Acceso a MySQL mediante PDO orientado a objetos</w:t>
            </w:r>
          </w:p>
        </w:tc>
      </w:tr>
      <w:tr>
        <w:trPr>
          <w:cantSplit/>
        </w:trPr>
        <w:tc>
          <w:tcPr>
            <w:tcW w:type="dxa" w:w="2381"/>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Transversal</w:t>
            </w:r>
          </w:p>
        </w:tc>
        <w:tc>
          <w:tcPr>
            <w:tcW w:type="dxa" w:w="2494"/>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middleware/, config/, services/</w:t>
            </w:r>
          </w:p>
        </w:tc>
        <w:tc>
          <w:tcPr>
            <w:tcW w:type="dxa" w:w="3912"/>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JWT, CORS, conexión a BD y cliente del microservicio ML</w:t>
            </w:r>
          </w:p>
        </w:tc>
      </w:tr>
    </w:tbl>
    <w:p>
      <w:pPr>
        <w:spacing w:before="80" w:after="240" w:line="240" w:lineRule="auto"/>
        <w:ind w:firstLine="0"/>
        <w:jc w:val="center"/>
      </w:pPr>
      <w:r>
        <w:rPr>
          <w:rFonts w:ascii="Times New Roman" w:hAnsi="Times New Roman" w:eastAsia="Times New Roman"/>
          <w:b w:val="0"/>
          <w:i/>
          <w:color w:val="4A5568"/>
          <w:sz w:val="20"/>
        </w:rPr>
        <w:t>Tabla 2. Correspondencia entre el MVC clásico y la API V2.</w:t>
      </w:r>
    </w:p>
    <w:p>
      <w:pPr>
        <w:spacing w:before="0" w:after="160" w:line="360" w:lineRule="auto"/>
        <w:ind w:firstLine="0"/>
        <w:jc w:val="both"/>
      </w:pPr>
      <w:r>
        <w:rPr>
          <w:rFonts w:ascii="Times New Roman" w:hAnsi="Times New Roman" w:eastAsia="Times New Roman"/>
          <w:b w:val="0"/>
          <w:i w:val="0"/>
          <w:color w:val="1A1A1A"/>
          <w:sz w:val="24"/>
        </w:rPr>
        <w:t>El punto de entrada es el front controller backend/api/v2/index.php: aplica CORS, exige autenticación salvo en /auth, despacha el recurso y carga la ruta correspondiente. El flujo es el mismo que en Laravel (ruta → controlador → modelo), sin el contenedor de inversiones de control del framework.</w:t>
      </w:r>
    </w:p>
    <w:p>
      <w:pPr>
        <w:spacing w:before="120" w:after="40" w:line="240" w:lineRule="auto"/>
        <w:ind w:firstLine="0"/>
        <w:jc w:val="center"/>
      </w:pPr>
      <w:r>
        <w:drawing>
          <wp:inline xmlns:a="http://schemas.openxmlformats.org/drawingml/2006/main" xmlns:pic="http://schemas.openxmlformats.org/drawingml/2006/picture">
            <wp:extent cx="5544000" cy="2030970"/>
            <wp:docPr id="2" name="Picture 2"/>
            <wp:cNvGraphicFramePr>
              <a:graphicFrameLocks noChangeAspect="1"/>
            </wp:cNvGraphicFramePr>
            <a:graphic>
              <a:graphicData uri="http://schemas.openxmlformats.org/drawingml/2006/picture">
                <pic:pic>
                  <pic:nvPicPr>
                    <pic:cNvPr id="0" name="figura2_flujo_mvc.png"/>
                    <pic:cNvPicPr/>
                  </pic:nvPicPr>
                  <pic:blipFill>
                    <a:blip r:embed="rId12"/>
                    <a:stretch>
                      <a:fillRect/>
                    </a:stretch>
                  </pic:blipFill>
                  <pic:spPr>
                    <a:xfrm>
                      <a:off x="0" y="0"/>
                      <a:ext cx="5544000" cy="2030970"/>
                    </a:xfrm>
                    <a:prstGeom prst="rect"/>
                  </pic:spPr>
                </pic:pic>
              </a:graphicData>
            </a:graphic>
          </wp:inline>
        </w:drawing>
      </w:r>
    </w:p>
    <w:p>
      <w:pPr>
        <w:spacing w:before="80" w:after="240" w:line="240" w:lineRule="auto"/>
        <w:ind w:firstLine="0"/>
        <w:jc w:val="center"/>
      </w:pPr>
      <w:r>
        <w:rPr>
          <w:rFonts w:ascii="Times New Roman" w:hAnsi="Times New Roman" w:eastAsia="Times New Roman"/>
          <w:b w:val="0"/>
          <w:i/>
          <w:color w:val="4A5568"/>
          <w:sz w:val="20"/>
        </w:rPr>
        <w:t>Figura 2. Flujo de una petición en la API V2 (MVC adaptado a REST).</w:t>
      </w:r>
    </w:p>
    <w:p>
      <w:pPr>
        <w:spacing w:before="200" w:after="80" w:line="276" w:lineRule="auto"/>
        <w:ind w:firstLine="0"/>
        <w:jc w:val="left"/>
      </w:pPr>
      <w:r>
        <w:rPr>
          <w:rFonts w:ascii="Times New Roman" w:hAnsi="Times New Roman" w:eastAsia="Times New Roman"/>
          <w:b/>
          <w:i w:val="0"/>
          <w:color w:val="1F3A5F"/>
          <w:sz w:val="24"/>
        </w:rPr>
        <w:t>B.  Frontend React — arquitectura por features (dominios)</w:t>
      </w:r>
    </w:p>
    <w:p>
      <w:pPr>
        <w:spacing w:before="0" w:after="160" w:line="360" w:lineRule="auto"/>
        <w:ind w:firstLine="0"/>
        <w:jc w:val="both"/>
      </w:pPr>
      <w:r>
        <w:rPr>
          <w:rFonts w:ascii="Times New Roman" w:hAnsi="Times New Roman" w:eastAsia="Times New Roman"/>
          <w:b w:val="0"/>
          <w:i w:val="0"/>
          <w:color w:val="1A1A1A"/>
          <w:sz w:val="24"/>
        </w:rPr>
        <w:t>React no es un MVC de servidor. El código se organizó por módulos de negocio y no por tipo de archivo, de modo que cada dominio agrupa sus pantallas y su cliente HTTP:</w:t>
      </w:r>
    </w:p>
    <w:p>
      <w:pPr>
        <w:spacing w:before="0" w:after="80" w:line="276" w:lineRule="auto"/>
        <w:ind w:left="567" w:hanging="227"/>
        <w:jc w:val="both"/>
      </w:pPr>
      <w:r>
        <w:rPr>
          <w:rFonts w:ascii="Times New Roman" w:hAnsi="Times New Roman" w:eastAsia="Times New Roman"/>
          <w:b w:val="0"/>
          <w:i w:val="0"/>
          <w:color w:val="1A5F7A"/>
          <w:sz w:val="24"/>
        </w:rPr>
        <w:t xml:space="preserve">•  </w:t>
      </w:r>
      <w:r>
        <w:rPr>
          <w:rFonts w:ascii="Times New Roman" w:hAnsi="Times New Roman" w:eastAsia="Times New Roman"/>
          <w:b/>
          <w:i w:val="0"/>
          <w:color w:val="1A1A1A"/>
          <w:sz w:val="24"/>
        </w:rPr>
        <w:t>features/auth —</w:t>
      </w:r>
      <w:r>
        <w:rPr>
          <w:rFonts w:ascii="Times New Roman" w:hAnsi="Times New Roman" w:eastAsia="Times New Roman"/>
          <w:b w:val="0"/>
          <w:i w:val="0"/>
          <w:color w:val="1A1A1A"/>
          <w:sz w:val="24"/>
        </w:rPr>
        <w:t xml:space="preserve"> login y token JWT.</w:t>
      </w:r>
    </w:p>
    <w:p>
      <w:pPr>
        <w:spacing w:before="0" w:after="80" w:line="276" w:lineRule="auto"/>
        <w:ind w:left="567" w:hanging="227"/>
        <w:jc w:val="both"/>
      </w:pPr>
      <w:r>
        <w:rPr>
          <w:rFonts w:ascii="Times New Roman" w:hAnsi="Times New Roman" w:eastAsia="Times New Roman"/>
          <w:b w:val="0"/>
          <w:i w:val="0"/>
          <w:color w:val="1A5F7A"/>
          <w:sz w:val="24"/>
        </w:rPr>
        <w:t xml:space="preserve">•  </w:t>
      </w:r>
      <w:r>
        <w:rPr>
          <w:rFonts w:ascii="Times New Roman" w:hAnsi="Times New Roman" w:eastAsia="Times New Roman"/>
          <w:b/>
          <w:i w:val="0"/>
          <w:color w:val="1A1A1A"/>
          <w:sz w:val="24"/>
        </w:rPr>
        <w:t>features/inventario —</w:t>
      </w:r>
      <w:r>
        <w:rPr>
          <w:rFonts w:ascii="Times New Roman" w:hAnsi="Times New Roman" w:eastAsia="Times New Roman"/>
          <w:b w:val="0"/>
          <w:i w:val="0"/>
          <w:color w:val="1A1A1A"/>
          <w:sz w:val="24"/>
        </w:rPr>
        <w:t xml:space="preserve"> equipos, ficha técnica y carga Excel.</w:t>
      </w:r>
    </w:p>
    <w:p>
      <w:pPr>
        <w:spacing w:before="0" w:after="80" w:line="276" w:lineRule="auto"/>
        <w:ind w:left="567" w:hanging="227"/>
        <w:jc w:val="both"/>
      </w:pPr>
      <w:r>
        <w:rPr>
          <w:rFonts w:ascii="Times New Roman" w:hAnsi="Times New Roman" w:eastAsia="Times New Roman"/>
          <w:b w:val="0"/>
          <w:i w:val="0"/>
          <w:color w:val="1A5F7A"/>
          <w:sz w:val="24"/>
        </w:rPr>
        <w:t xml:space="preserve">•  </w:t>
      </w:r>
      <w:r>
        <w:rPr>
          <w:rFonts w:ascii="Times New Roman" w:hAnsi="Times New Roman" w:eastAsia="Times New Roman"/>
          <w:b/>
          <w:i w:val="0"/>
          <w:color w:val="1A1A1A"/>
          <w:sz w:val="24"/>
        </w:rPr>
        <w:t>features/mantenimiento —</w:t>
      </w:r>
      <w:r>
        <w:rPr>
          <w:rFonts w:ascii="Times New Roman" w:hAnsi="Times New Roman" w:eastAsia="Times New Roman"/>
          <w:b w:val="0"/>
          <w:i w:val="0"/>
          <w:color w:val="1A1A1A"/>
          <w:sz w:val="24"/>
        </w:rPr>
        <w:t xml:space="preserve"> intervenciones e historial.</w:t>
      </w:r>
    </w:p>
    <w:p>
      <w:pPr>
        <w:spacing w:before="0" w:after="80" w:line="276" w:lineRule="auto"/>
        <w:ind w:left="567" w:hanging="227"/>
        <w:jc w:val="both"/>
      </w:pPr>
      <w:r>
        <w:rPr>
          <w:rFonts w:ascii="Times New Roman" w:hAnsi="Times New Roman" w:eastAsia="Times New Roman"/>
          <w:b w:val="0"/>
          <w:i w:val="0"/>
          <w:color w:val="1A5F7A"/>
          <w:sz w:val="24"/>
        </w:rPr>
        <w:t xml:space="preserve">•  </w:t>
      </w:r>
      <w:r>
        <w:rPr>
          <w:rFonts w:ascii="Times New Roman" w:hAnsi="Times New Roman" w:eastAsia="Times New Roman"/>
          <w:b/>
          <w:i w:val="0"/>
          <w:color w:val="1A1A1A"/>
          <w:sz w:val="24"/>
        </w:rPr>
        <w:t>features/dashboard —</w:t>
      </w:r>
      <w:r>
        <w:rPr>
          <w:rFonts w:ascii="Times New Roman" w:hAnsi="Times New Roman" w:eastAsia="Times New Roman"/>
          <w:b w:val="0"/>
          <w:i w:val="0"/>
          <w:color w:val="1A1A1A"/>
          <w:sz w:val="24"/>
        </w:rPr>
        <w:t xml:space="preserve"> indicadores y consulta por etiquetas.</w:t>
      </w:r>
    </w:p>
    <w:p>
      <w:pPr>
        <w:spacing w:before="0" w:after="80" w:line="276" w:lineRule="auto"/>
        <w:ind w:left="567" w:hanging="227"/>
        <w:jc w:val="both"/>
      </w:pPr>
      <w:r>
        <w:rPr>
          <w:rFonts w:ascii="Times New Roman" w:hAnsi="Times New Roman" w:eastAsia="Times New Roman"/>
          <w:b w:val="0"/>
          <w:i w:val="0"/>
          <w:color w:val="1A5F7A"/>
          <w:sz w:val="24"/>
        </w:rPr>
        <w:t xml:space="preserve">•  </w:t>
      </w:r>
      <w:r>
        <w:rPr>
          <w:rFonts w:ascii="Times New Roman" w:hAnsi="Times New Roman" w:eastAsia="Times New Roman"/>
          <w:b/>
          <w:i w:val="0"/>
          <w:color w:val="1A1A1A"/>
          <w:sz w:val="24"/>
        </w:rPr>
        <w:t>features/configuracion —</w:t>
      </w:r>
      <w:r>
        <w:rPr>
          <w:rFonts w:ascii="Times New Roman" w:hAnsi="Times New Roman" w:eastAsia="Times New Roman"/>
          <w:b w:val="0"/>
          <w:i w:val="0"/>
          <w:color w:val="1A1A1A"/>
          <w:sz w:val="24"/>
        </w:rPr>
        <w:t xml:space="preserve"> áreas y personal (solo Administrador).</w:t>
      </w:r>
    </w:p>
    <w:p>
      <w:pPr>
        <w:spacing w:before="0" w:after="80" w:line="276" w:lineRule="auto"/>
        <w:ind w:left="567" w:hanging="227"/>
        <w:jc w:val="both"/>
      </w:pPr>
      <w:r>
        <w:rPr>
          <w:rFonts w:ascii="Times New Roman" w:hAnsi="Times New Roman" w:eastAsia="Times New Roman"/>
          <w:b w:val="0"/>
          <w:i w:val="0"/>
          <w:color w:val="1A5F7A"/>
          <w:sz w:val="24"/>
        </w:rPr>
        <w:t xml:space="preserve">•  </w:t>
      </w:r>
      <w:r>
        <w:rPr>
          <w:rFonts w:ascii="Times New Roman" w:hAnsi="Times New Roman" w:eastAsia="Times New Roman"/>
          <w:b/>
          <w:i w:val="0"/>
          <w:color w:val="1A1A1A"/>
          <w:sz w:val="24"/>
        </w:rPr>
        <w:t>features/ml —</w:t>
      </w:r>
      <w:r>
        <w:rPr>
          <w:rFonts w:ascii="Times New Roman" w:hAnsi="Times New Roman" w:eastAsia="Times New Roman"/>
          <w:b w:val="0"/>
          <w:i w:val="0"/>
          <w:color w:val="1A1A1A"/>
          <w:sz w:val="24"/>
        </w:rPr>
        <w:t xml:space="preserve"> badges de riesgo y consumo del proxy PHP.</w:t>
      </w:r>
    </w:p>
    <w:p>
      <w:pPr>
        <w:spacing w:before="0" w:after="160" w:line="360" w:lineRule="auto"/>
        <w:ind w:firstLine="425"/>
        <w:jc w:val="both"/>
      </w:pPr>
      <w:r>
        <w:rPr>
          <w:rFonts w:ascii="Times New Roman" w:hAnsi="Times New Roman" w:eastAsia="Times New Roman"/>
          <w:b w:val="0"/>
          <w:i w:val="0"/>
          <w:color w:val="1A1A1A"/>
          <w:sz w:val="24"/>
        </w:rPr>
        <w:t>Encima hay capas compartidas: components/ (barra de navegación), context/ (sesión) y lib/ (cliente Axios). El enrutador App.jsx cumple el rol de controlador de navegación. Las rutas privadas usan PrivateRoute (sesión) y RoleRoute (rol).</w:t>
      </w:r>
    </w:p>
    <w:p>
      <w:pPr>
        <w:spacing w:before="200" w:after="80" w:line="276" w:lineRule="auto"/>
        <w:ind w:firstLine="0"/>
        <w:jc w:val="left"/>
      </w:pPr>
      <w:r>
        <w:rPr>
          <w:rFonts w:ascii="Times New Roman" w:hAnsi="Times New Roman" w:eastAsia="Times New Roman"/>
          <w:b/>
          <w:i w:val="0"/>
          <w:color w:val="1F3A5F"/>
          <w:sz w:val="24"/>
        </w:rPr>
        <w:t>C.  Microservicio ML — capas propias</w:t>
      </w:r>
    </w:p>
    <w:p>
      <w:pPr>
        <w:spacing w:before="0" w:after="160" w:line="360" w:lineRule="auto"/>
        <w:ind w:firstLine="0"/>
        <w:jc w:val="both"/>
      </w:pPr>
      <w:r>
        <w:rPr>
          <w:rFonts w:ascii="Times New Roman" w:hAnsi="Times New Roman" w:eastAsia="Times New Roman"/>
          <w:b w:val="0"/>
          <w:i w:val="0"/>
          <w:color w:val="1A1A1A"/>
          <w:sz w:val="24"/>
        </w:rPr>
        <w:t>FastAPI separa routers (HTTP), services (entrenamiento e inferencia) y schemas. Los modelos serializados (.joblib) viven fuera de la API PHP. Se trata de un microservicio acotado a la predicción, no de una malla de muchos servicios. En términos de estilo arquitectónico, el producto es un monolito modular con un sidecar opcional, no una arquitectura de microservicios completa.</w:t>
      </w:r>
    </w:p>
    <w:p>
      <w:pPr>
        <w:spacing w:before="360" w:after="160" w:line="276" w:lineRule="auto"/>
        <w:ind w:firstLine="0"/>
        <w:jc w:val="left"/>
        <w:pBdr>
          <w:bottom w:val="single" w:sz="8" w:space="4" w:color="1A5F7A"/>
        </w:pBdr>
      </w:pPr>
      <w:r>
        <w:rPr>
          <w:rFonts w:ascii="Times New Roman" w:hAnsi="Times New Roman" w:eastAsia="Times New Roman"/>
          <w:b/>
          <w:i w:val="0"/>
          <w:color w:val="1F3A5F"/>
          <w:sz w:val="32"/>
        </w:rPr>
        <w:t>4.2.  Diseño de base de datos (modelo entidad-relación y normalización)</w:t>
      </w:r>
    </w:p>
    <w:p>
      <w:pPr>
        <w:spacing w:before="0" w:after="160" w:line="360" w:lineRule="auto"/>
        <w:ind w:firstLine="425"/>
        <w:jc w:val="both"/>
      </w:pPr>
      <w:r>
        <w:rPr>
          <w:rFonts w:ascii="Times New Roman" w:hAnsi="Times New Roman" w:eastAsia="Times New Roman"/>
          <w:b w:val="0"/>
          <w:i w:val="0"/>
          <w:color w:val="1A1A1A"/>
          <w:sz w:val="24"/>
        </w:rPr>
        <w:t>La base gestion_equipos_mpa_v2 se diseñó siguiendo las tres fases del modelado enseñadas en el curso de Bases de Datos —conceptual, lógico y físico— y dos pasadas de normalización. El criterio adicional de este producto es no usar texto libre como fuente de verdad en áreas ni en categorías de falla, para poder entrenar el modelo de riesgo (prompt D-001).</w:t>
      </w:r>
    </w:p>
    <w:p>
      <w:pPr>
        <w:spacing w:before="280" w:after="120" w:line="276" w:lineRule="auto"/>
        <w:ind w:firstLine="0"/>
        <w:jc w:val="left"/>
      </w:pPr>
      <w:r>
        <w:rPr>
          <w:rFonts w:ascii="Times New Roman" w:hAnsi="Times New Roman" w:eastAsia="Times New Roman"/>
          <w:b/>
          <w:i w:val="0"/>
          <w:color w:val="1A5F7A"/>
          <w:sz w:val="26"/>
        </w:rPr>
        <w:t>4.2.1.  Modelo conceptual</w:t>
      </w:r>
    </w:p>
    <w:p>
      <w:pPr>
        <w:spacing w:before="0" w:after="160" w:line="360" w:lineRule="auto"/>
        <w:ind w:firstLine="425"/>
        <w:jc w:val="both"/>
      </w:pPr>
      <w:r>
        <w:rPr>
          <w:rFonts w:ascii="Times New Roman" w:hAnsi="Times New Roman" w:eastAsia="Times New Roman"/>
          <w:b w:val="0"/>
          <w:i w:val="0"/>
          <w:color w:val="1A1A1A"/>
          <w:sz w:val="24"/>
        </w:rPr>
        <w:t>El modelo conceptual responde a qué existe en el dominio y cómo se relaciona, sin declarar aún tipos de dato. Las entidades identificadas son las siguientes.</w:t>
      </w:r>
    </w:p>
    <w:tbl>
      <w:tblPr>
        <w:tblW w:type="auto" w:w="0"/>
        <w:jc w:val="center"/>
        <w:tblLayout w:type="fixed"/>
        <w:tblLook w:firstColumn="1" w:firstRow="1" w:lastColumn="0" w:lastRow="0" w:noHBand="0" w:noVBand="1" w:val="04A0"/>
      </w:tblPr>
      <w:tblGrid>
        <w:gridCol w:w="4394"/>
        <w:gridCol w:w="4394"/>
      </w:tblGrid>
      <w:tr>
        <w:tc>
          <w:tcPr>
            <w:tcW w:type="dxa" w:w="2948"/>
            <w:shd w:fill="1F3A5F" w:val="clear"/>
            <w:tcBorders>
              <w:top w:val="single" w:sz="4" w:color="8AA0B8"/>
              <w:bottom w:val="single" w:sz="4" w:color="8AA0B8"/>
              <w:left w:val="single" w:sz="4" w:color="8AA0B8"/>
              <w:right w:val="single" w:sz="4" w:color="8AA0B8"/>
            </w:tcBorders>
          </w:tcPr>
          <w:p>
            <w:pPr>
              <w:spacing w:before="60" w:after="60"/>
              <w:jc w:val="center"/>
            </w:pPr>
            <w:r>
              <w:rPr>
                <w:rFonts w:ascii="Times New Roman" w:hAnsi="Times New Roman" w:eastAsia="Times New Roman"/>
                <w:b/>
                <w:i w:val="0"/>
                <w:color w:val="FFFFFF"/>
                <w:sz w:val="20"/>
              </w:rPr>
              <w:t>Entidad</w:t>
            </w:r>
          </w:p>
        </w:tc>
        <w:tc>
          <w:tcPr>
            <w:tcW w:type="dxa" w:w="5839"/>
            <w:shd w:fill="1F3A5F" w:val="clear"/>
            <w:tcBorders>
              <w:top w:val="single" w:sz="4" w:color="8AA0B8"/>
              <w:bottom w:val="single" w:sz="4" w:color="8AA0B8"/>
              <w:left w:val="single" w:sz="4" w:color="8AA0B8"/>
              <w:right w:val="single" w:sz="4" w:color="8AA0B8"/>
            </w:tcBorders>
          </w:tcPr>
          <w:p>
            <w:pPr>
              <w:spacing w:before="60" w:after="60"/>
              <w:jc w:val="center"/>
            </w:pPr>
            <w:r>
              <w:rPr>
                <w:rFonts w:ascii="Times New Roman" w:hAnsi="Times New Roman" w:eastAsia="Times New Roman"/>
                <w:b/>
                <w:i w:val="0"/>
                <w:color w:val="FFFFFF"/>
                <w:sz w:val="20"/>
              </w:rPr>
              <w:t>Qué representa</w:t>
            </w:r>
          </w:p>
        </w:tc>
      </w:tr>
      <w:tr>
        <w:trPr>
          <w:cantSplit/>
        </w:trPr>
        <w:tc>
          <w:tcPr>
            <w:tcW w:type="dxa" w:w="2948"/>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Área</w:t>
            </w:r>
          </w:p>
        </w:tc>
        <w:tc>
          <w:tcPr>
            <w:tcW w:type="dxa" w:w="5839"/>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Unidad organizacional (oficina o gerencia) a la que se asignan equipos y personal</w:t>
            </w:r>
          </w:p>
        </w:tc>
      </w:tr>
      <w:tr>
        <w:trPr>
          <w:cantSplit/>
        </w:trPr>
        <w:tc>
          <w:tcPr>
            <w:tcW w:type="dxa" w:w="2948"/>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Usuario</w:t>
            </w:r>
          </w:p>
        </w:tc>
        <w:tc>
          <w:tcPr>
            <w:tcW w:type="dxa" w:w="5839"/>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Persona del sistema con rol Administrador, Técnico o Practicante</w:t>
            </w:r>
          </w:p>
        </w:tc>
      </w:tr>
      <w:tr>
        <w:trPr>
          <w:cantSplit/>
        </w:trPr>
        <w:tc>
          <w:tcPr>
            <w:tcW w:type="dxa" w:w="2948"/>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Equipo</w:t>
            </w:r>
          </w:p>
        </w:tc>
        <w:tc>
          <w:tcPr>
            <w:tcW w:type="dxa" w:w="5839"/>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Bien patrimonial de cómputo (entidad central del modelo)</w:t>
            </w:r>
          </w:p>
        </w:tc>
      </w:tr>
      <w:tr>
        <w:trPr>
          <w:cantSplit/>
        </w:trPr>
        <w:tc>
          <w:tcPr>
            <w:tcW w:type="dxa" w:w="2948"/>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Ficha técnica</w:t>
            </w:r>
          </w:p>
        </w:tc>
        <w:tc>
          <w:tcPr>
            <w:tcW w:type="dxa" w:w="5839"/>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Especificación uno a uno del equipo (hardware, software y evaluación)</w:t>
            </w:r>
          </w:p>
        </w:tc>
      </w:tr>
      <w:tr>
        <w:trPr>
          <w:cantSplit/>
        </w:trPr>
        <w:tc>
          <w:tcPr>
            <w:tcW w:type="dxa" w:w="2948"/>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Categoría de falla</w:t>
            </w:r>
          </w:p>
        </w:tc>
        <w:tc>
          <w:tcPr>
            <w:tcW w:type="dxa" w:w="5839"/>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Catálogo de tipos de problema, con severidad</w:t>
            </w:r>
          </w:p>
        </w:tc>
      </w:tr>
      <w:tr>
        <w:trPr>
          <w:cantSplit/>
        </w:trPr>
        <w:tc>
          <w:tcPr>
            <w:tcW w:type="dxa" w:w="2948"/>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Ficha de mantenimiento</w:t>
            </w:r>
          </w:p>
        </w:tc>
        <w:tc>
          <w:tcPr>
            <w:tcW w:type="dxa" w:w="5839"/>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Intervención histórica sobre un equipo</w:t>
            </w:r>
          </w:p>
        </w:tc>
      </w:tr>
      <w:tr>
        <w:trPr>
          <w:cantSplit/>
        </w:trPr>
        <w:tc>
          <w:tcPr>
            <w:tcW w:type="dxa" w:w="2948"/>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Historial de asignaciones</w:t>
            </w:r>
          </w:p>
        </w:tc>
        <w:tc>
          <w:tcPr>
            <w:tcW w:type="dxa" w:w="5839"/>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Traslados de área o de responsable en el tiempo</w:t>
            </w:r>
          </w:p>
        </w:tc>
      </w:tr>
      <w:tr>
        <w:trPr>
          <w:cantSplit/>
        </w:trPr>
        <w:tc>
          <w:tcPr>
            <w:tcW w:type="dxa" w:w="2948"/>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Cronograma de mantenimiento</w:t>
            </w:r>
          </w:p>
        </w:tc>
        <w:tc>
          <w:tcPr>
            <w:tcW w:type="dxa" w:w="5839"/>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Programación preventiva</w:t>
            </w:r>
          </w:p>
        </w:tc>
      </w:tr>
      <w:tr>
        <w:trPr>
          <w:cantSplit/>
        </w:trPr>
        <w:tc>
          <w:tcPr>
            <w:tcW w:type="dxa" w:w="2948"/>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Hoja de baja</w:t>
            </w:r>
          </w:p>
        </w:tc>
        <w:tc>
          <w:tcPr>
            <w:tcW w:type="dxa" w:w="5839"/>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Revisión técnica para retiro, excedencia o chatarra</w:t>
            </w:r>
          </w:p>
        </w:tc>
      </w:tr>
      <w:tr>
        <w:trPr>
          <w:cantSplit/>
        </w:trPr>
        <w:tc>
          <w:tcPr>
            <w:tcW w:type="dxa" w:w="2948"/>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Predicción ML</w:t>
            </w:r>
          </w:p>
        </w:tc>
        <w:tc>
          <w:tcPr>
            <w:tcW w:type="dxa" w:w="5839"/>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Score de riesgo generado por una versión del modelo</w:t>
            </w:r>
          </w:p>
        </w:tc>
      </w:tr>
      <w:tr>
        <w:trPr>
          <w:cantSplit/>
        </w:trPr>
        <w:tc>
          <w:tcPr>
            <w:tcW w:type="dxa" w:w="2948"/>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Métrica de equipo</w:t>
            </w:r>
          </w:p>
        </w:tc>
        <w:tc>
          <w:tcPr>
            <w:tcW w:type="dxa" w:w="5839"/>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Lectura de telemetría en un instante</w:t>
            </w:r>
          </w:p>
        </w:tc>
      </w:tr>
    </w:tbl>
    <w:p>
      <w:pPr>
        <w:spacing w:before="80" w:after="240" w:line="240" w:lineRule="auto"/>
        <w:ind w:firstLine="0"/>
        <w:jc w:val="center"/>
      </w:pPr>
      <w:r>
        <w:rPr>
          <w:rFonts w:ascii="Times New Roman" w:hAnsi="Times New Roman" w:eastAsia="Times New Roman"/>
          <w:b w:val="0"/>
          <w:i/>
          <w:color w:val="4A5568"/>
          <w:sz w:val="20"/>
        </w:rPr>
        <w:t>Tabla 3. Entidades del modelo conceptual.</w:t>
      </w:r>
    </w:p>
    <w:p>
      <w:pPr>
        <w:spacing w:before="0" w:after="160" w:line="360" w:lineRule="auto"/>
        <w:ind w:firstLine="0"/>
        <w:jc w:val="both"/>
      </w:pPr>
      <w:r>
        <w:rPr>
          <w:rFonts w:ascii="Times New Roman" w:hAnsi="Times New Roman" w:eastAsia="Times New Roman"/>
          <w:b w:val="0"/>
          <w:i w:val="0"/>
          <w:color w:val="1A1A1A"/>
          <w:sz w:val="24"/>
        </w:rPr>
        <w:t>Cardinalidades entre entidades:</w:t>
      </w:r>
    </w:p>
    <w:tbl>
      <w:tblPr>
        <w:tblW w:type="auto" w:w="0"/>
        <w:jc w:val="center"/>
        <w:tblLayout w:type="fixed"/>
        <w:tblLook w:firstColumn="1" w:firstRow="1" w:lastColumn="0" w:lastRow="0" w:noHBand="0" w:noVBand="1" w:val="04A0"/>
      </w:tblPr>
      <w:tblGrid>
        <w:gridCol w:w="2929"/>
        <w:gridCol w:w="2929"/>
        <w:gridCol w:w="2929"/>
      </w:tblGrid>
      <w:tr>
        <w:tc>
          <w:tcPr>
            <w:tcW w:type="dxa" w:w="3175"/>
            <w:shd w:fill="1F3A5F" w:val="clear"/>
            <w:tcBorders>
              <w:top w:val="single" w:sz="4" w:color="8AA0B8"/>
              <w:bottom w:val="single" w:sz="4" w:color="8AA0B8"/>
              <w:left w:val="single" w:sz="4" w:color="8AA0B8"/>
              <w:right w:val="single" w:sz="4" w:color="8AA0B8"/>
            </w:tcBorders>
          </w:tcPr>
          <w:p>
            <w:pPr>
              <w:spacing w:before="60" w:after="60"/>
              <w:jc w:val="center"/>
            </w:pPr>
            <w:r>
              <w:rPr>
                <w:rFonts w:ascii="Times New Roman" w:hAnsi="Times New Roman" w:eastAsia="Times New Roman"/>
                <w:b/>
                <w:i w:val="0"/>
                <w:color w:val="FFFFFF"/>
                <w:sz w:val="20"/>
              </w:rPr>
              <w:t>Relación</w:t>
            </w:r>
          </w:p>
        </w:tc>
        <w:tc>
          <w:tcPr>
            <w:tcW w:type="dxa" w:w="1474"/>
            <w:shd w:fill="1F3A5F" w:val="clear"/>
            <w:tcBorders>
              <w:top w:val="single" w:sz="4" w:color="8AA0B8"/>
              <w:bottom w:val="single" w:sz="4" w:color="8AA0B8"/>
              <w:left w:val="single" w:sz="4" w:color="8AA0B8"/>
              <w:right w:val="single" w:sz="4" w:color="8AA0B8"/>
            </w:tcBorders>
          </w:tcPr>
          <w:p>
            <w:pPr>
              <w:spacing w:before="60" w:after="60"/>
              <w:jc w:val="center"/>
            </w:pPr>
            <w:r>
              <w:rPr>
                <w:rFonts w:ascii="Times New Roman" w:hAnsi="Times New Roman" w:eastAsia="Times New Roman"/>
                <w:b/>
                <w:i w:val="0"/>
                <w:color w:val="FFFFFF"/>
                <w:sz w:val="20"/>
              </w:rPr>
              <w:t>Cardinalidad</w:t>
            </w:r>
          </w:p>
        </w:tc>
        <w:tc>
          <w:tcPr>
            <w:tcW w:type="dxa" w:w="4139"/>
            <w:shd w:fill="1F3A5F" w:val="clear"/>
            <w:tcBorders>
              <w:top w:val="single" w:sz="4" w:color="8AA0B8"/>
              <w:bottom w:val="single" w:sz="4" w:color="8AA0B8"/>
              <w:left w:val="single" w:sz="4" w:color="8AA0B8"/>
              <w:right w:val="single" w:sz="4" w:color="8AA0B8"/>
            </w:tcBorders>
          </w:tcPr>
          <w:p>
            <w:pPr>
              <w:spacing w:before="60" w:after="60"/>
              <w:jc w:val="center"/>
            </w:pPr>
            <w:r>
              <w:rPr>
                <w:rFonts w:ascii="Times New Roman" w:hAnsi="Times New Roman" w:eastAsia="Times New Roman"/>
                <w:b/>
                <w:i w:val="0"/>
                <w:color w:val="FFFFFF"/>
                <w:sz w:val="20"/>
              </w:rPr>
              <w:t>Significado</w:t>
            </w:r>
          </w:p>
        </w:tc>
      </w:tr>
      <w:tr>
        <w:trPr>
          <w:cantSplit/>
        </w:trPr>
        <w:tc>
          <w:tcPr>
            <w:tcW w:type="dxa" w:w="3175"/>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Área — Usuario</w:t>
            </w:r>
          </w:p>
        </w:tc>
        <w:tc>
          <w:tcPr>
            <w:tcW w:type="dxa" w:w="1474"/>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1 : N</w:t>
            </w:r>
          </w:p>
        </w:tc>
        <w:tc>
          <w:tcPr>
            <w:tcW w:type="dxa" w:w="4139"/>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Un área agrupa a varios usuarios</w:t>
            </w:r>
          </w:p>
        </w:tc>
      </w:tr>
      <w:tr>
        <w:trPr>
          <w:cantSplit/>
        </w:trPr>
        <w:tc>
          <w:tcPr>
            <w:tcW w:type="dxa" w:w="3175"/>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Área — Equipo</w:t>
            </w:r>
          </w:p>
        </w:tc>
        <w:tc>
          <w:tcPr>
            <w:tcW w:type="dxa" w:w="1474"/>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1 : N</w:t>
            </w:r>
          </w:p>
        </w:tc>
        <w:tc>
          <w:tcPr>
            <w:tcW w:type="dxa" w:w="4139"/>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Un área tiene varios equipos vigentes</w:t>
            </w:r>
          </w:p>
        </w:tc>
      </w:tr>
      <w:tr>
        <w:trPr>
          <w:cantSplit/>
        </w:trPr>
        <w:tc>
          <w:tcPr>
            <w:tcW w:type="dxa" w:w="3175"/>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Usuario — Equipo</w:t>
            </w:r>
          </w:p>
        </w:tc>
        <w:tc>
          <w:tcPr>
            <w:tcW w:type="dxa" w:w="1474"/>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1 : N</w:t>
            </w:r>
          </w:p>
        </w:tc>
        <w:tc>
          <w:tcPr>
            <w:tcW w:type="dxa" w:w="4139"/>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Un usuario puede ser responsable de varios equipos</w:t>
            </w:r>
          </w:p>
        </w:tc>
      </w:tr>
      <w:tr>
        <w:trPr>
          <w:cantSplit/>
        </w:trPr>
        <w:tc>
          <w:tcPr>
            <w:tcW w:type="dxa" w:w="3175"/>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Equipo — Ficha técnica</w:t>
            </w:r>
          </w:p>
        </w:tc>
        <w:tc>
          <w:tcPr>
            <w:tcW w:type="dxa" w:w="1474"/>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1 : 1</w:t>
            </w:r>
          </w:p>
        </w:tc>
        <w:tc>
          <w:tcPr>
            <w:tcW w:type="dxa" w:w="4139"/>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Cada equipo tiene una única ficha de especificación</w:t>
            </w:r>
          </w:p>
        </w:tc>
      </w:tr>
      <w:tr>
        <w:trPr>
          <w:cantSplit/>
        </w:trPr>
        <w:tc>
          <w:tcPr>
            <w:tcW w:type="dxa" w:w="3175"/>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Equipo — Ficha de mantenimiento</w:t>
            </w:r>
          </w:p>
        </w:tc>
        <w:tc>
          <w:tcPr>
            <w:tcW w:type="dxa" w:w="1474"/>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1 : N</w:t>
            </w:r>
          </w:p>
        </w:tc>
        <w:tc>
          <w:tcPr>
            <w:tcW w:type="dxa" w:w="4139"/>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Un equipo acumula muchas intervenciones</w:t>
            </w:r>
          </w:p>
        </w:tc>
      </w:tr>
      <w:tr>
        <w:trPr>
          <w:cantSplit/>
        </w:trPr>
        <w:tc>
          <w:tcPr>
            <w:tcW w:type="dxa" w:w="3175"/>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Categoría de falla — Ficha de mant.</w:t>
            </w:r>
          </w:p>
        </w:tc>
        <w:tc>
          <w:tcPr>
            <w:tcW w:type="dxa" w:w="1474"/>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1 : N</w:t>
            </w:r>
          </w:p>
        </w:tc>
        <w:tc>
          <w:tcPr>
            <w:tcW w:type="dxa" w:w="4139"/>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Una categoría clasifica muchas fichas</w:t>
            </w:r>
          </w:p>
        </w:tc>
      </w:tr>
      <w:tr>
        <w:trPr>
          <w:cantSplit/>
        </w:trPr>
        <w:tc>
          <w:tcPr>
            <w:tcW w:type="dxa" w:w="3175"/>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Usuario — Ficha de mantenimiento</w:t>
            </w:r>
          </w:p>
        </w:tc>
        <w:tc>
          <w:tcPr>
            <w:tcW w:type="dxa" w:w="1474"/>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1 : N</w:t>
            </w:r>
          </w:p>
        </w:tc>
        <w:tc>
          <w:tcPr>
            <w:tcW w:type="dxa" w:w="4139"/>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Un técnico registra varias intervenciones</w:t>
            </w:r>
          </w:p>
        </w:tc>
      </w:tr>
      <w:tr>
        <w:trPr>
          <w:cantSplit/>
        </w:trPr>
        <w:tc>
          <w:tcPr>
            <w:tcW w:type="dxa" w:w="3175"/>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Equipo — Historial / cronograma / baja</w:t>
            </w:r>
          </w:p>
        </w:tc>
        <w:tc>
          <w:tcPr>
            <w:tcW w:type="dxa" w:w="1474"/>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1 : N</w:t>
            </w:r>
          </w:p>
        </w:tc>
        <w:tc>
          <w:tcPr>
            <w:tcW w:type="dxa" w:w="4139"/>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Hechos históricos o de planificación</w:t>
            </w:r>
          </w:p>
        </w:tc>
      </w:tr>
      <w:tr>
        <w:trPr>
          <w:cantSplit/>
        </w:trPr>
        <w:tc>
          <w:tcPr>
            <w:tcW w:type="dxa" w:w="3175"/>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Equipo — Predicción ML / métrica</w:t>
            </w:r>
          </w:p>
        </w:tc>
        <w:tc>
          <w:tcPr>
            <w:tcW w:type="dxa" w:w="1474"/>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1 : N</w:t>
            </w:r>
          </w:p>
        </w:tc>
        <w:tc>
          <w:tcPr>
            <w:tcW w:type="dxa" w:w="4139"/>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Series de riesgo y de telemetría</w:t>
            </w:r>
          </w:p>
        </w:tc>
      </w:tr>
      <w:tr>
        <w:trPr>
          <w:cantSplit/>
        </w:trPr>
        <w:tc>
          <w:tcPr>
            <w:tcW w:type="dxa" w:w="3175"/>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Ficha de mant. — Métrica</w:t>
            </w:r>
          </w:p>
        </w:tc>
        <w:tc>
          <w:tcPr>
            <w:tcW w:type="dxa" w:w="1474"/>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1 : N</w:t>
            </w:r>
          </w:p>
        </w:tc>
        <w:tc>
          <w:tcPr>
            <w:tcW w:type="dxa" w:w="4139"/>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Lecturas asociadas a una intervención</w:t>
            </w:r>
          </w:p>
        </w:tc>
      </w:tr>
    </w:tbl>
    <w:p>
      <w:pPr>
        <w:spacing w:before="80" w:after="240" w:line="240" w:lineRule="auto"/>
        <w:ind w:firstLine="0"/>
        <w:jc w:val="center"/>
      </w:pPr>
      <w:r>
        <w:rPr>
          <w:rFonts w:ascii="Times New Roman" w:hAnsi="Times New Roman" w:eastAsia="Times New Roman"/>
          <w:b w:val="0"/>
          <w:i/>
          <w:color w:val="4A5568"/>
          <w:sz w:val="20"/>
        </w:rPr>
        <w:t>Tabla 4. Cardinalidades del modelo conceptual.</w:t>
      </w:r>
    </w:p>
    <w:p>
      <w:pPr>
        <w:spacing w:before="120" w:after="40" w:line="240" w:lineRule="auto"/>
        <w:ind w:firstLine="0"/>
        <w:jc w:val="center"/>
      </w:pPr>
      <w:r>
        <w:drawing>
          <wp:inline xmlns:a="http://schemas.openxmlformats.org/drawingml/2006/main" xmlns:pic="http://schemas.openxmlformats.org/drawingml/2006/picture">
            <wp:extent cx="5580000" cy="3846408"/>
            <wp:docPr id="3" name="Picture 3"/>
            <wp:cNvGraphicFramePr>
              <a:graphicFrameLocks noChangeAspect="1"/>
            </wp:cNvGraphicFramePr>
            <a:graphic>
              <a:graphicData uri="http://schemas.openxmlformats.org/drawingml/2006/picture">
                <pic:pic>
                  <pic:nvPicPr>
                    <pic:cNvPr id="0" name="figura3_modelo_conceptual.png"/>
                    <pic:cNvPicPr/>
                  </pic:nvPicPr>
                  <pic:blipFill>
                    <a:blip r:embed="rId13"/>
                    <a:stretch>
                      <a:fillRect/>
                    </a:stretch>
                  </pic:blipFill>
                  <pic:spPr>
                    <a:xfrm>
                      <a:off x="0" y="0"/>
                      <a:ext cx="5580000" cy="3846408"/>
                    </a:xfrm>
                    <a:prstGeom prst="rect"/>
                  </pic:spPr>
                </pic:pic>
              </a:graphicData>
            </a:graphic>
          </wp:inline>
        </w:drawing>
      </w:r>
    </w:p>
    <w:p>
      <w:pPr>
        <w:spacing w:before="80" w:after="240" w:line="240" w:lineRule="auto"/>
        <w:ind w:firstLine="0"/>
        <w:jc w:val="center"/>
      </w:pPr>
      <w:r>
        <w:rPr>
          <w:rFonts w:ascii="Times New Roman" w:hAnsi="Times New Roman" w:eastAsia="Times New Roman"/>
          <w:b w:val="0"/>
          <w:i/>
          <w:color w:val="4A5568"/>
          <w:sz w:val="20"/>
        </w:rPr>
        <w:t>Figura 3. Modelo conceptual: el equipo como entidad central, catálogos y hechos históricos.</w:t>
      </w:r>
    </w:p>
    <w:p>
      <w:pPr>
        <w:spacing w:before="0" w:after="160" w:line="360" w:lineRule="auto"/>
        <w:ind w:firstLine="425"/>
        <w:jc w:val="both"/>
      </w:pPr>
      <w:r>
        <w:rPr>
          <w:rFonts w:ascii="Times New Roman" w:hAnsi="Times New Roman" w:eastAsia="Times New Roman"/>
          <w:b w:val="0"/>
          <w:i w:val="0"/>
          <w:color w:val="1A1A1A"/>
          <w:sz w:val="24"/>
        </w:rPr>
        <w:t>En síntesis conceptual, el Equipo es el núcleo. Área y Categoría de falla son catálogos. La ficha técnica es una extensión uno a uno. El resto de entidades registran historia operativa o resultados del modelo predictivo.</w:t>
      </w:r>
    </w:p>
    <w:p>
      <w:pPr>
        <w:spacing w:before="280" w:after="120" w:line="276" w:lineRule="auto"/>
        <w:ind w:firstLine="0"/>
        <w:jc w:val="left"/>
      </w:pPr>
      <w:r>
        <w:rPr>
          <w:rFonts w:ascii="Times New Roman" w:hAnsi="Times New Roman" w:eastAsia="Times New Roman"/>
          <w:b/>
          <w:i w:val="0"/>
          <w:color w:val="1A5F7A"/>
          <w:sz w:val="26"/>
        </w:rPr>
        <w:t>4.2.2.  Normalización en fase 1</w:t>
      </w:r>
    </w:p>
    <w:p>
      <w:pPr>
        <w:spacing w:before="0" w:after="160" w:line="360" w:lineRule="auto"/>
        <w:ind w:firstLine="425"/>
        <w:jc w:val="both"/>
      </w:pPr>
      <w:r>
        <w:rPr>
          <w:rFonts w:ascii="Times New Roman" w:hAnsi="Times New Roman" w:eastAsia="Times New Roman"/>
          <w:b w:val="0"/>
          <w:i w:val="0"/>
          <w:color w:val="1A1A1A"/>
          <w:sz w:val="24"/>
        </w:rPr>
        <w:t>La primera pasada de normalización separa lo independiente, lo dependiente y lo que se repetía como texto en varias tablas (catálogos que en la versión 1 vivían incrustados en el registro del equipo o de la ficha).</w:t>
      </w:r>
    </w:p>
    <w:p>
      <w:pPr>
        <w:spacing w:before="200" w:after="80" w:line="276" w:lineRule="auto"/>
        <w:ind w:firstLine="0"/>
        <w:jc w:val="left"/>
      </w:pPr>
      <w:r>
        <w:rPr>
          <w:rFonts w:ascii="Times New Roman" w:hAnsi="Times New Roman" w:eastAsia="Times New Roman"/>
          <w:b/>
          <w:i w:val="0"/>
          <w:color w:val="1F3A5F"/>
          <w:sz w:val="24"/>
        </w:rPr>
        <w:t>Tablas independientes (maestras o catálogos)</w:t>
      </w:r>
    </w:p>
    <w:p>
      <w:pPr>
        <w:spacing w:before="0" w:after="160" w:line="360" w:lineRule="auto"/>
        <w:ind w:firstLine="0"/>
        <w:jc w:val="both"/>
      </w:pPr>
      <w:r>
        <w:rPr>
          <w:rFonts w:ascii="Times New Roman" w:hAnsi="Times New Roman" w:eastAsia="Times New Roman"/>
          <w:b w:val="0"/>
          <w:i w:val="0"/>
          <w:color w:val="1A1A1A"/>
          <w:sz w:val="24"/>
        </w:rPr>
        <w:t>No necesitan de otra entidad para existir. Área: en la V1 el nombre del área se escribía en cada equipo; ahora es la tabla v2_areas. Categoría de falla: en la V1 el diagnóstico era prosa libre; ahora es el catálogo v2_categorias_falla, con severidad (Baja, Media, Alta, Crítica). Este desglose es imprescindible para el aprendizaje automático, porque un clasificador no puede aprender de sinónimos escritos a mano.</w:t>
      </w:r>
    </w:p>
    <w:p>
      <w:pPr>
        <w:spacing w:before="200" w:after="80" w:line="276" w:lineRule="auto"/>
        <w:ind w:firstLine="0"/>
        <w:jc w:val="left"/>
      </w:pPr>
      <w:r>
        <w:rPr>
          <w:rFonts w:ascii="Times New Roman" w:hAnsi="Times New Roman" w:eastAsia="Times New Roman"/>
          <w:b/>
          <w:i w:val="0"/>
          <w:color w:val="1F3A5F"/>
          <w:sz w:val="24"/>
        </w:rPr>
        <w:t>Tablas dependientes (fuertes)</w:t>
      </w:r>
    </w:p>
    <w:p>
      <w:pPr>
        <w:spacing w:before="0" w:after="160" w:line="360" w:lineRule="auto"/>
        <w:ind w:firstLine="0"/>
        <w:jc w:val="both"/>
      </w:pPr>
      <w:r>
        <w:rPr>
          <w:rFonts w:ascii="Times New Roman" w:hAnsi="Times New Roman" w:eastAsia="Times New Roman"/>
          <w:b w:val="0"/>
          <w:i w:val="0"/>
          <w:color w:val="1A1A1A"/>
          <w:sz w:val="24"/>
        </w:rPr>
        <w:t>Existen porque hay un catálogo o un dueño. Usuario depende de Área (area_id). Equipo depende de Área de forma obligatoria y, de forma opcional, de Usuario (responsable actual).</w:t>
      </w:r>
    </w:p>
    <w:p>
      <w:pPr>
        <w:spacing w:before="200" w:after="80" w:line="276" w:lineRule="auto"/>
        <w:ind w:firstLine="0"/>
        <w:jc w:val="left"/>
      </w:pPr>
      <w:r>
        <w:rPr>
          <w:rFonts w:ascii="Times New Roman" w:hAnsi="Times New Roman" w:eastAsia="Times New Roman"/>
          <w:b/>
          <w:i w:val="0"/>
          <w:color w:val="1F3A5F"/>
          <w:sz w:val="24"/>
        </w:rPr>
        <w:t>Tablas dependientes débiles o de detalle</w:t>
      </w:r>
    </w:p>
    <w:p>
      <w:pPr>
        <w:spacing w:before="0" w:after="160" w:line="360" w:lineRule="auto"/>
        <w:ind w:firstLine="0"/>
        <w:jc w:val="both"/>
      </w:pPr>
      <w:r>
        <w:rPr>
          <w:rFonts w:ascii="Times New Roman" w:hAnsi="Times New Roman" w:eastAsia="Times New Roman"/>
          <w:b w:val="0"/>
          <w:i w:val="0"/>
          <w:color w:val="1A1A1A"/>
          <w:sz w:val="24"/>
        </w:rPr>
        <w:t>No tienen sentido de negocio sin el equipo (o sin la intervención): ficha técnica, ficha de mantenimiento, historial de asignaciones, cronograma, hoja de baja, predicción ML y métrica de equipo.</w:t>
      </w:r>
    </w:p>
    <w:p>
      <w:pPr>
        <w:spacing w:before="200" w:after="80" w:line="276" w:lineRule="auto"/>
        <w:ind w:firstLine="0"/>
        <w:jc w:val="left"/>
      </w:pPr>
      <w:r>
        <w:rPr>
          <w:rFonts w:ascii="Times New Roman" w:hAnsi="Times New Roman" w:eastAsia="Times New Roman"/>
          <w:b/>
          <w:i w:val="0"/>
          <w:color w:val="1F3A5F"/>
          <w:sz w:val="24"/>
        </w:rPr>
        <w:t>Atributos repetitivos o «polimórficos» que se desglosaron</w:t>
      </w:r>
    </w:p>
    <w:p>
      <w:pPr>
        <w:spacing w:before="0" w:after="160" w:line="360" w:lineRule="auto"/>
        <w:ind w:firstLine="0"/>
        <w:jc w:val="both"/>
      </w:pPr>
      <w:r>
        <w:rPr>
          <w:rFonts w:ascii="Times New Roman" w:hAnsi="Times New Roman" w:eastAsia="Times New Roman"/>
          <w:b w:val="0"/>
          <w:i w:val="0"/>
          <w:color w:val="1A1A1A"/>
          <w:sz w:val="24"/>
        </w:rPr>
        <w:t>En el sentido del curso, se trata de valores que se copiaban en muchas filas y se extrajeron a una tabla propia. No hay tablas polimórficas clásicas (un campo entidad_tipo más entidad_id). Lo que se evitó fue la repetición de catálogos.</w:t>
      </w:r>
    </w:p>
    <w:tbl>
      <w:tblPr>
        <w:tblW w:type="auto" w:w="0"/>
        <w:jc w:val="center"/>
        <w:tblLayout w:type="fixed"/>
        <w:tblLook w:firstColumn="1" w:firstRow="1" w:lastColumn="0" w:lastRow="0" w:noHBand="0" w:noVBand="1" w:val="04A0"/>
      </w:tblPr>
      <w:tblGrid>
        <w:gridCol w:w="4394"/>
        <w:gridCol w:w="4394"/>
      </w:tblGrid>
      <w:tr>
        <w:tc>
          <w:tcPr>
            <w:tcW w:type="dxa" w:w="4309"/>
            <w:shd w:fill="1F3A5F" w:val="clear"/>
            <w:tcBorders>
              <w:top w:val="single" w:sz="4" w:color="8AA0B8"/>
              <w:bottom w:val="single" w:sz="4" w:color="8AA0B8"/>
              <w:left w:val="single" w:sz="4" w:color="8AA0B8"/>
              <w:right w:val="single" w:sz="4" w:color="8AA0B8"/>
            </w:tcBorders>
          </w:tcPr>
          <w:p>
            <w:pPr>
              <w:spacing w:before="60" w:after="60"/>
              <w:jc w:val="center"/>
            </w:pPr>
            <w:r>
              <w:rPr>
                <w:rFonts w:ascii="Times New Roman" w:hAnsi="Times New Roman" w:eastAsia="Times New Roman"/>
                <w:b/>
                <w:i w:val="0"/>
                <w:color w:val="FFFFFF"/>
                <w:sz w:val="20"/>
              </w:rPr>
              <w:t>Antes (V1 / texto repetido)</w:t>
            </w:r>
          </w:p>
        </w:tc>
        <w:tc>
          <w:tcPr>
            <w:tcW w:type="dxa" w:w="4479"/>
            <w:shd w:fill="1F3A5F" w:val="clear"/>
            <w:tcBorders>
              <w:top w:val="single" w:sz="4" w:color="8AA0B8"/>
              <w:bottom w:val="single" w:sz="4" w:color="8AA0B8"/>
              <w:left w:val="single" w:sz="4" w:color="8AA0B8"/>
              <w:right w:val="single" w:sz="4" w:color="8AA0B8"/>
            </w:tcBorders>
          </w:tcPr>
          <w:p>
            <w:pPr>
              <w:spacing w:before="60" w:after="60"/>
              <w:jc w:val="center"/>
            </w:pPr>
            <w:r>
              <w:rPr>
                <w:rFonts w:ascii="Times New Roman" w:hAnsi="Times New Roman" w:eastAsia="Times New Roman"/>
                <w:b/>
                <w:i w:val="0"/>
                <w:color w:val="FFFFFF"/>
                <w:sz w:val="20"/>
              </w:rPr>
              <w:t>Después (V2, normalizado)</w:t>
            </w:r>
          </w:p>
        </w:tc>
      </w:tr>
      <w:tr>
        <w:trPr>
          <w:cantSplit/>
        </w:trPr>
        <w:tc>
          <w:tcPr>
            <w:tcW w:type="dxa" w:w="4309"/>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Nombre de área escrito en cada equipo</w:t>
            </w:r>
          </w:p>
        </w:tc>
        <w:tc>
          <w:tcPr>
            <w:tcW w:type="dxa" w:w="4479"/>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v2_areas + equipo.area_id</w:t>
            </w:r>
          </w:p>
        </w:tc>
      </w:tr>
      <w:tr>
        <w:trPr>
          <w:cantSplit/>
        </w:trPr>
        <w:tc>
          <w:tcPr>
            <w:tcW w:type="dxa" w:w="4309"/>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Tipo de falla en prosa en cada ficha</w:t>
            </w:r>
          </w:p>
        </w:tc>
        <w:tc>
          <w:tcPr>
            <w:tcW w:type="dxa" w:w="4479"/>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v2_categorias_falla + categoria_falla_id</w:t>
            </w:r>
          </w:p>
        </w:tc>
      </w:tr>
      <w:tr>
        <w:trPr>
          <w:cantSplit/>
        </w:trPr>
        <w:tc>
          <w:tcPr>
            <w:tcW w:type="dxa" w:w="4309"/>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Rol y estados como cadenas sueltas</w:t>
            </w:r>
          </w:p>
        </w:tc>
        <w:tc>
          <w:tcPr>
            <w:tcW w:type="dxa" w:w="4479"/>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Dominios ENUM controlados (rol, estado operativo, tipo de equipo)</w:t>
            </w:r>
          </w:p>
        </w:tc>
      </w:tr>
    </w:tbl>
    <w:p>
      <w:pPr>
        <w:spacing w:before="80" w:after="240" w:line="240" w:lineRule="auto"/>
        <w:ind w:firstLine="0"/>
        <w:jc w:val="center"/>
      </w:pPr>
      <w:r>
        <w:rPr>
          <w:rFonts w:ascii="Times New Roman" w:hAnsi="Times New Roman" w:eastAsia="Times New Roman"/>
          <w:b w:val="0"/>
          <w:i/>
          <w:color w:val="4A5568"/>
          <w:sz w:val="20"/>
        </w:rPr>
        <w:t>Tabla 5. Desglose de atributos repetitivos en la normalización de fase 1.</w:t>
      </w:r>
    </w:p>
    <w:p>
      <w:pPr>
        <w:spacing w:before="40" w:after="200" w:line="276" w:lineRule="auto"/>
        <w:ind w:firstLine="0"/>
        <w:jc w:val="both"/>
      </w:pPr>
      <w:r>
        <w:rPr>
          <w:rFonts w:ascii="Times New Roman" w:hAnsi="Times New Roman" w:eastAsia="Times New Roman"/>
          <w:b/>
          <w:i/>
          <w:color w:val="4A5568"/>
          <w:sz w:val="20"/>
        </w:rPr>
        <w:t xml:space="preserve">Nota. </w:t>
      </w:r>
      <w:r>
        <w:rPr>
          <w:rFonts w:ascii="Times New Roman" w:hAnsi="Times New Roman" w:eastAsia="Times New Roman"/>
          <w:b w:val="0"/>
          <w:i/>
          <w:color w:val="4A5568"/>
          <w:sz w:val="20"/>
        </w:rPr>
        <w:t>Quedó una denormalización consciente: responsable_nombre en el equipo, copia del nombre del usuario, para no romper listados si se elimina la cuenta (ON DELETE SET NULL sobre responsable_id). Con este paso se alcanza la primera forma normal: valores atómicos y sin grupos repetitivos de áreas o fallas.</w:t>
      </w:r>
    </w:p>
    <w:p>
      <w:pPr>
        <w:spacing w:before="280" w:after="120" w:line="276" w:lineRule="auto"/>
        <w:ind w:firstLine="0"/>
        <w:jc w:val="left"/>
      </w:pPr>
      <w:r>
        <w:rPr>
          <w:rFonts w:ascii="Times New Roman" w:hAnsi="Times New Roman" w:eastAsia="Times New Roman"/>
          <w:b/>
          <w:i w:val="0"/>
          <w:color w:val="1A5F7A"/>
          <w:sz w:val="26"/>
        </w:rPr>
        <w:t>4.2.3.  Modelo lógico</w:t>
      </w:r>
    </w:p>
    <w:p>
      <w:pPr>
        <w:spacing w:before="0" w:after="160" w:line="360" w:lineRule="auto"/>
        <w:ind w:firstLine="425"/>
        <w:jc w:val="both"/>
      </w:pPr>
      <w:r>
        <w:rPr>
          <w:rFonts w:ascii="Times New Roman" w:hAnsi="Times New Roman" w:eastAsia="Times New Roman"/>
          <w:b w:val="0"/>
          <w:i w:val="0"/>
          <w:color w:val="1A1A1A"/>
          <w:sz w:val="24"/>
        </w:rPr>
        <w:t>En el modelo lógico aparecen claves, dominios y tipos. Los nombres técnicos llevan el prefijo v2_. A continuación se resume la estructura de las tablas núcleo.</w:t>
      </w:r>
    </w:p>
    <w:p>
      <w:pPr>
        <w:spacing w:before="200" w:after="80" w:line="276" w:lineRule="auto"/>
        <w:ind w:firstLine="0"/>
        <w:jc w:val="left"/>
      </w:pPr>
      <w:r>
        <w:rPr>
          <w:rFonts w:ascii="Times New Roman" w:hAnsi="Times New Roman" w:eastAsia="Times New Roman"/>
          <w:b/>
          <w:i w:val="0"/>
          <w:color w:val="1F3A5F"/>
          <w:sz w:val="24"/>
        </w:rPr>
        <w:t>v2_areas</w:t>
      </w:r>
    </w:p>
    <w:tbl>
      <w:tblPr>
        <w:tblW w:type="auto" w:w="0"/>
        <w:jc w:val="center"/>
        <w:tblLayout w:type="fixed"/>
        <w:tblLook w:firstColumn="1" w:firstRow="1" w:lastColumn="0" w:lastRow="0" w:noHBand="0" w:noVBand="1" w:val="04A0"/>
      </w:tblPr>
      <w:tblGrid>
        <w:gridCol w:w="2929"/>
        <w:gridCol w:w="2929"/>
        <w:gridCol w:w="2929"/>
      </w:tblGrid>
      <w:tr>
        <w:tc>
          <w:tcPr>
            <w:tcW w:type="dxa" w:w="2551"/>
            <w:shd w:fill="1F3A5F" w:val="clear"/>
            <w:tcBorders>
              <w:top w:val="single" w:sz="4" w:color="8AA0B8"/>
              <w:bottom w:val="single" w:sz="4" w:color="8AA0B8"/>
              <w:left w:val="single" w:sz="4" w:color="8AA0B8"/>
              <w:right w:val="single" w:sz="4" w:color="8AA0B8"/>
            </w:tcBorders>
          </w:tcPr>
          <w:p>
            <w:pPr>
              <w:spacing w:before="60" w:after="60"/>
              <w:jc w:val="center"/>
            </w:pPr>
            <w:r>
              <w:rPr>
                <w:rFonts w:ascii="Times New Roman" w:hAnsi="Times New Roman" w:eastAsia="Times New Roman"/>
                <w:b/>
                <w:i w:val="0"/>
                <w:color w:val="FFFFFF"/>
                <w:sz w:val="20"/>
              </w:rPr>
              <w:t>Atributo</w:t>
            </w:r>
          </w:p>
        </w:tc>
        <w:tc>
          <w:tcPr>
            <w:tcW w:type="dxa" w:w="2835"/>
            <w:shd w:fill="1F3A5F" w:val="clear"/>
            <w:tcBorders>
              <w:top w:val="single" w:sz="4" w:color="8AA0B8"/>
              <w:bottom w:val="single" w:sz="4" w:color="8AA0B8"/>
              <w:left w:val="single" w:sz="4" w:color="8AA0B8"/>
              <w:right w:val="single" w:sz="4" w:color="8AA0B8"/>
            </w:tcBorders>
          </w:tcPr>
          <w:p>
            <w:pPr>
              <w:spacing w:before="60" w:after="60"/>
              <w:jc w:val="center"/>
            </w:pPr>
            <w:r>
              <w:rPr>
                <w:rFonts w:ascii="Times New Roman" w:hAnsi="Times New Roman" w:eastAsia="Times New Roman"/>
                <w:b/>
                <w:i w:val="0"/>
                <w:color w:val="FFFFFF"/>
                <w:sz w:val="20"/>
              </w:rPr>
              <w:t>Tipo lógico</w:t>
            </w:r>
          </w:p>
        </w:tc>
        <w:tc>
          <w:tcPr>
            <w:tcW w:type="dxa" w:w="3402"/>
            <w:shd w:fill="1F3A5F" w:val="clear"/>
            <w:tcBorders>
              <w:top w:val="single" w:sz="4" w:color="8AA0B8"/>
              <w:bottom w:val="single" w:sz="4" w:color="8AA0B8"/>
              <w:left w:val="single" w:sz="4" w:color="8AA0B8"/>
              <w:right w:val="single" w:sz="4" w:color="8AA0B8"/>
            </w:tcBorders>
          </w:tcPr>
          <w:p>
            <w:pPr>
              <w:spacing w:before="60" w:after="60"/>
              <w:jc w:val="center"/>
            </w:pPr>
            <w:r>
              <w:rPr>
                <w:rFonts w:ascii="Times New Roman" w:hAnsi="Times New Roman" w:eastAsia="Times New Roman"/>
                <w:b/>
                <w:i w:val="0"/>
                <w:color w:val="FFFFFF"/>
                <w:sz w:val="20"/>
              </w:rPr>
              <w:t>Restricción</w:t>
            </w:r>
          </w:p>
        </w:tc>
      </w:tr>
      <w:tr>
        <w:trPr>
          <w:cantSplit/>
        </w:trPr>
        <w:tc>
          <w:tcPr>
            <w:tcW w:type="dxa" w:w="2551"/>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id</w:t>
            </w:r>
          </w:p>
        </w:tc>
        <w:tc>
          <w:tcPr>
            <w:tcW w:type="dxa" w:w="2835"/>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Entero autonumérico</w:t>
            </w:r>
          </w:p>
        </w:tc>
        <w:tc>
          <w:tcPr>
            <w:tcW w:type="dxa" w:w="3402"/>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Clave primaria</w:t>
            </w:r>
          </w:p>
        </w:tc>
      </w:tr>
      <w:tr>
        <w:trPr>
          <w:cantSplit/>
        </w:trPr>
        <w:tc>
          <w:tcPr>
            <w:tcW w:type="dxa" w:w="2551"/>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nombre</w:t>
            </w:r>
          </w:p>
        </w:tc>
        <w:tc>
          <w:tcPr>
            <w:tcW w:type="dxa" w:w="2835"/>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Cadena (100)</w:t>
            </w:r>
          </w:p>
        </w:tc>
        <w:tc>
          <w:tcPr>
            <w:tcW w:type="dxa" w:w="3402"/>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Único, obligatorio</w:t>
            </w:r>
          </w:p>
        </w:tc>
      </w:tr>
      <w:tr>
        <w:trPr>
          <w:cantSplit/>
        </w:trPr>
        <w:tc>
          <w:tcPr>
            <w:tcW w:type="dxa" w:w="2551"/>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jefe_encargado</w:t>
            </w:r>
          </w:p>
        </w:tc>
        <w:tc>
          <w:tcPr>
            <w:tcW w:type="dxa" w:w="2835"/>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Cadena (100)</w:t>
            </w:r>
          </w:p>
        </w:tc>
        <w:tc>
          <w:tcPr>
            <w:tcW w:type="dxa" w:w="3402"/>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Opcional</w:t>
            </w:r>
          </w:p>
        </w:tc>
      </w:tr>
      <w:tr>
        <w:trPr>
          <w:cantSplit/>
        </w:trPr>
        <w:tc>
          <w:tcPr>
            <w:tcW w:type="dxa" w:w="2551"/>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descripcion</w:t>
            </w:r>
          </w:p>
        </w:tc>
        <w:tc>
          <w:tcPr>
            <w:tcW w:type="dxa" w:w="2835"/>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Texto</w:t>
            </w:r>
          </w:p>
        </w:tc>
        <w:tc>
          <w:tcPr>
            <w:tcW w:type="dxa" w:w="3402"/>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Opcional</w:t>
            </w:r>
          </w:p>
        </w:tc>
      </w:tr>
    </w:tbl>
    <w:p>
      <w:pPr>
        <w:spacing w:before="80" w:after="240" w:line="240" w:lineRule="auto"/>
        <w:ind w:firstLine="0"/>
        <w:jc w:val="center"/>
      </w:pPr>
      <w:r>
        <w:rPr>
          <w:rFonts w:ascii="Times New Roman" w:hAnsi="Times New Roman" w:eastAsia="Times New Roman"/>
          <w:b w:val="0"/>
          <w:i/>
          <w:color w:val="4A5568"/>
          <w:sz w:val="20"/>
        </w:rPr>
        <w:t>Tabla 6. Estructura lógica de v2_areas.</w:t>
      </w:r>
    </w:p>
    <w:p>
      <w:pPr>
        <w:spacing w:before="200" w:after="80" w:line="276" w:lineRule="auto"/>
        <w:ind w:firstLine="0"/>
        <w:jc w:val="left"/>
      </w:pPr>
      <w:r>
        <w:rPr>
          <w:rFonts w:ascii="Times New Roman" w:hAnsi="Times New Roman" w:eastAsia="Times New Roman"/>
          <w:b/>
          <w:i w:val="0"/>
          <w:color w:val="1F3A5F"/>
          <w:sz w:val="24"/>
        </w:rPr>
        <w:t>v2_usuarios</w:t>
      </w:r>
    </w:p>
    <w:tbl>
      <w:tblPr>
        <w:tblW w:type="auto" w:w="0"/>
        <w:jc w:val="center"/>
        <w:tblLayout w:type="fixed"/>
        <w:tblLook w:firstColumn="1" w:firstRow="1" w:lastColumn="0" w:lastRow="0" w:noHBand="0" w:noVBand="1" w:val="04A0"/>
      </w:tblPr>
      <w:tblGrid>
        <w:gridCol w:w="2929"/>
        <w:gridCol w:w="2929"/>
        <w:gridCol w:w="2929"/>
      </w:tblGrid>
      <w:tr>
        <w:tc>
          <w:tcPr>
            <w:tcW w:type="dxa" w:w="2551"/>
            <w:shd w:fill="1F3A5F" w:val="clear"/>
            <w:tcBorders>
              <w:top w:val="single" w:sz="4" w:color="8AA0B8"/>
              <w:bottom w:val="single" w:sz="4" w:color="8AA0B8"/>
              <w:left w:val="single" w:sz="4" w:color="8AA0B8"/>
              <w:right w:val="single" w:sz="4" w:color="8AA0B8"/>
            </w:tcBorders>
          </w:tcPr>
          <w:p>
            <w:pPr>
              <w:spacing w:before="60" w:after="60"/>
              <w:jc w:val="center"/>
            </w:pPr>
            <w:r>
              <w:rPr>
                <w:rFonts w:ascii="Times New Roman" w:hAnsi="Times New Roman" w:eastAsia="Times New Roman"/>
                <w:b/>
                <w:i w:val="0"/>
                <w:color w:val="FFFFFF"/>
                <w:sz w:val="20"/>
              </w:rPr>
              <w:t>Atributo</w:t>
            </w:r>
          </w:p>
        </w:tc>
        <w:tc>
          <w:tcPr>
            <w:tcW w:type="dxa" w:w="3628"/>
            <w:shd w:fill="1F3A5F" w:val="clear"/>
            <w:tcBorders>
              <w:top w:val="single" w:sz="4" w:color="8AA0B8"/>
              <w:bottom w:val="single" w:sz="4" w:color="8AA0B8"/>
              <w:left w:val="single" w:sz="4" w:color="8AA0B8"/>
              <w:right w:val="single" w:sz="4" w:color="8AA0B8"/>
            </w:tcBorders>
          </w:tcPr>
          <w:p>
            <w:pPr>
              <w:spacing w:before="60" w:after="60"/>
              <w:jc w:val="center"/>
            </w:pPr>
            <w:r>
              <w:rPr>
                <w:rFonts w:ascii="Times New Roman" w:hAnsi="Times New Roman" w:eastAsia="Times New Roman"/>
                <w:b/>
                <w:i w:val="0"/>
                <w:color w:val="FFFFFF"/>
                <w:sz w:val="20"/>
              </w:rPr>
              <w:t>Tipo lógico</w:t>
            </w:r>
          </w:p>
        </w:tc>
        <w:tc>
          <w:tcPr>
            <w:tcW w:type="dxa" w:w="2608"/>
            <w:shd w:fill="1F3A5F" w:val="clear"/>
            <w:tcBorders>
              <w:top w:val="single" w:sz="4" w:color="8AA0B8"/>
              <w:bottom w:val="single" w:sz="4" w:color="8AA0B8"/>
              <w:left w:val="single" w:sz="4" w:color="8AA0B8"/>
              <w:right w:val="single" w:sz="4" w:color="8AA0B8"/>
            </w:tcBorders>
          </w:tcPr>
          <w:p>
            <w:pPr>
              <w:spacing w:before="60" w:after="60"/>
              <w:jc w:val="center"/>
            </w:pPr>
            <w:r>
              <w:rPr>
                <w:rFonts w:ascii="Times New Roman" w:hAnsi="Times New Roman" w:eastAsia="Times New Roman"/>
                <w:b/>
                <w:i w:val="0"/>
                <w:color w:val="FFFFFF"/>
                <w:sz w:val="20"/>
              </w:rPr>
              <w:t>Restricción</w:t>
            </w:r>
          </w:p>
        </w:tc>
      </w:tr>
      <w:tr>
        <w:trPr>
          <w:cantSplit/>
        </w:trPr>
        <w:tc>
          <w:tcPr>
            <w:tcW w:type="dxa" w:w="2551"/>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id</w:t>
            </w:r>
          </w:p>
        </w:tc>
        <w:tc>
          <w:tcPr>
            <w:tcW w:type="dxa" w:w="3628"/>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Entero autonumérico</w:t>
            </w:r>
          </w:p>
        </w:tc>
        <w:tc>
          <w:tcPr>
            <w:tcW w:type="dxa" w:w="2608"/>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Clave primaria</w:t>
            </w:r>
          </w:p>
        </w:tc>
      </w:tr>
      <w:tr>
        <w:trPr>
          <w:cantSplit/>
        </w:trPr>
        <w:tc>
          <w:tcPr>
            <w:tcW w:type="dxa" w:w="2551"/>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nombre_completo</w:t>
            </w:r>
          </w:p>
        </w:tc>
        <w:tc>
          <w:tcPr>
            <w:tcW w:type="dxa" w:w="3628"/>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Cadena (100)</w:t>
            </w:r>
          </w:p>
        </w:tc>
        <w:tc>
          <w:tcPr>
            <w:tcW w:type="dxa" w:w="2608"/>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Obligatorio</w:t>
            </w:r>
          </w:p>
        </w:tc>
      </w:tr>
      <w:tr>
        <w:trPr>
          <w:cantSplit/>
        </w:trPr>
        <w:tc>
          <w:tcPr>
            <w:tcW w:type="dxa" w:w="2551"/>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usuario</w:t>
            </w:r>
          </w:p>
        </w:tc>
        <w:tc>
          <w:tcPr>
            <w:tcW w:type="dxa" w:w="3628"/>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Cadena (50)</w:t>
            </w:r>
          </w:p>
        </w:tc>
        <w:tc>
          <w:tcPr>
            <w:tcW w:type="dxa" w:w="2608"/>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Único, obligatorio</w:t>
            </w:r>
          </w:p>
        </w:tc>
      </w:tr>
      <w:tr>
        <w:trPr>
          <w:cantSplit/>
        </w:trPr>
        <w:tc>
          <w:tcPr>
            <w:tcW w:type="dxa" w:w="2551"/>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password_hash</w:t>
            </w:r>
          </w:p>
        </w:tc>
        <w:tc>
          <w:tcPr>
            <w:tcW w:type="dxa" w:w="3628"/>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Cadena (255)</w:t>
            </w:r>
          </w:p>
        </w:tc>
        <w:tc>
          <w:tcPr>
            <w:tcW w:type="dxa" w:w="2608"/>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Hash bcrypt, no texto plano</w:t>
            </w:r>
          </w:p>
        </w:tc>
      </w:tr>
      <w:tr>
        <w:trPr>
          <w:cantSplit/>
        </w:trPr>
        <w:tc>
          <w:tcPr>
            <w:tcW w:type="dxa" w:w="2551"/>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rol</w:t>
            </w:r>
          </w:p>
        </w:tc>
        <w:tc>
          <w:tcPr>
            <w:tcW w:type="dxa" w:w="3628"/>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Dominio {Administrador, Tecnico, Practicante}</w:t>
            </w:r>
          </w:p>
        </w:tc>
        <w:tc>
          <w:tcPr>
            <w:tcW w:type="dxa" w:w="2608"/>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Obligatorio</w:t>
            </w:r>
          </w:p>
        </w:tc>
      </w:tr>
      <w:tr>
        <w:trPr>
          <w:cantSplit/>
        </w:trPr>
        <w:tc>
          <w:tcPr>
            <w:tcW w:type="dxa" w:w="2551"/>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area_id</w:t>
            </w:r>
          </w:p>
        </w:tc>
        <w:tc>
          <w:tcPr>
            <w:tcW w:type="dxa" w:w="3628"/>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Entero</w:t>
            </w:r>
          </w:p>
        </w:tc>
        <w:tc>
          <w:tcPr>
            <w:tcW w:type="dxa" w:w="2608"/>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FK a v2_areas, opcional</w:t>
            </w:r>
          </w:p>
        </w:tc>
      </w:tr>
    </w:tbl>
    <w:p>
      <w:pPr>
        <w:spacing w:before="80" w:after="240" w:line="240" w:lineRule="auto"/>
        <w:ind w:firstLine="0"/>
        <w:jc w:val="center"/>
      </w:pPr>
      <w:r>
        <w:rPr>
          <w:rFonts w:ascii="Times New Roman" w:hAnsi="Times New Roman" w:eastAsia="Times New Roman"/>
          <w:b w:val="0"/>
          <w:i/>
          <w:color w:val="4A5568"/>
          <w:sz w:val="20"/>
        </w:rPr>
        <w:t>Tabla 7. Estructura lógica de v2_usuarios.</w:t>
      </w:r>
    </w:p>
    <w:p>
      <w:pPr>
        <w:spacing w:before="200" w:after="80" w:line="276" w:lineRule="auto"/>
        <w:ind w:firstLine="0"/>
        <w:jc w:val="left"/>
      </w:pPr>
      <w:r>
        <w:rPr>
          <w:rFonts w:ascii="Times New Roman" w:hAnsi="Times New Roman" w:eastAsia="Times New Roman"/>
          <w:b/>
          <w:i w:val="0"/>
          <w:color w:val="1F3A5F"/>
          <w:sz w:val="24"/>
        </w:rPr>
        <w:t>v2_equipos</w:t>
      </w:r>
    </w:p>
    <w:tbl>
      <w:tblPr>
        <w:tblW w:type="auto" w:w="0"/>
        <w:jc w:val="center"/>
        <w:tblLayout w:type="fixed"/>
        <w:tblLook w:firstColumn="1" w:firstRow="1" w:lastColumn="0" w:lastRow="0" w:noHBand="0" w:noVBand="1" w:val="04A0"/>
      </w:tblPr>
      <w:tblGrid>
        <w:gridCol w:w="2929"/>
        <w:gridCol w:w="2929"/>
        <w:gridCol w:w="2929"/>
      </w:tblGrid>
      <w:tr>
        <w:tc>
          <w:tcPr>
            <w:tcW w:type="dxa" w:w="3288"/>
            <w:shd w:fill="1F3A5F" w:val="clear"/>
            <w:tcBorders>
              <w:top w:val="single" w:sz="4" w:color="8AA0B8"/>
              <w:bottom w:val="single" w:sz="4" w:color="8AA0B8"/>
              <w:left w:val="single" w:sz="4" w:color="8AA0B8"/>
              <w:right w:val="single" w:sz="4" w:color="8AA0B8"/>
            </w:tcBorders>
          </w:tcPr>
          <w:p>
            <w:pPr>
              <w:spacing w:before="60" w:after="60"/>
              <w:jc w:val="center"/>
            </w:pPr>
            <w:r>
              <w:rPr>
                <w:rFonts w:ascii="Times New Roman" w:hAnsi="Times New Roman" w:eastAsia="Times New Roman"/>
                <w:b/>
                <w:i w:val="0"/>
                <w:color w:val="FFFFFF"/>
                <w:sz w:val="20"/>
              </w:rPr>
              <w:t>Atributo</w:t>
            </w:r>
          </w:p>
        </w:tc>
        <w:tc>
          <w:tcPr>
            <w:tcW w:type="dxa" w:w="2608"/>
            <w:shd w:fill="1F3A5F" w:val="clear"/>
            <w:tcBorders>
              <w:top w:val="single" w:sz="4" w:color="8AA0B8"/>
              <w:bottom w:val="single" w:sz="4" w:color="8AA0B8"/>
              <w:left w:val="single" w:sz="4" w:color="8AA0B8"/>
              <w:right w:val="single" w:sz="4" w:color="8AA0B8"/>
            </w:tcBorders>
          </w:tcPr>
          <w:p>
            <w:pPr>
              <w:spacing w:before="60" w:after="60"/>
              <w:jc w:val="center"/>
            </w:pPr>
            <w:r>
              <w:rPr>
                <w:rFonts w:ascii="Times New Roman" w:hAnsi="Times New Roman" w:eastAsia="Times New Roman"/>
                <w:b/>
                <w:i w:val="0"/>
                <w:color w:val="FFFFFF"/>
                <w:sz w:val="20"/>
              </w:rPr>
              <w:t>Tipo lógico</w:t>
            </w:r>
          </w:p>
        </w:tc>
        <w:tc>
          <w:tcPr>
            <w:tcW w:type="dxa" w:w="2891"/>
            <w:shd w:fill="1F3A5F" w:val="clear"/>
            <w:tcBorders>
              <w:top w:val="single" w:sz="4" w:color="8AA0B8"/>
              <w:bottom w:val="single" w:sz="4" w:color="8AA0B8"/>
              <w:left w:val="single" w:sz="4" w:color="8AA0B8"/>
              <w:right w:val="single" w:sz="4" w:color="8AA0B8"/>
            </w:tcBorders>
          </w:tcPr>
          <w:p>
            <w:pPr>
              <w:spacing w:before="60" w:after="60"/>
              <w:jc w:val="center"/>
            </w:pPr>
            <w:r>
              <w:rPr>
                <w:rFonts w:ascii="Times New Roman" w:hAnsi="Times New Roman" w:eastAsia="Times New Roman"/>
                <w:b/>
                <w:i w:val="0"/>
                <w:color w:val="FFFFFF"/>
                <w:sz w:val="20"/>
              </w:rPr>
              <w:t>Nota de diseño</w:t>
            </w:r>
          </w:p>
        </w:tc>
      </w:tr>
      <w:tr>
        <w:trPr>
          <w:cantSplit/>
        </w:trPr>
        <w:tc>
          <w:tcPr>
            <w:tcW w:type="dxa" w:w="3288"/>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id</w:t>
            </w:r>
          </w:p>
        </w:tc>
        <w:tc>
          <w:tcPr>
            <w:tcW w:type="dxa" w:w="2608"/>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Entero</w:t>
            </w:r>
          </w:p>
        </w:tc>
        <w:tc>
          <w:tcPr>
            <w:tcW w:type="dxa" w:w="2891"/>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Clave primaria</w:t>
            </w:r>
          </w:p>
        </w:tc>
      </w:tr>
      <w:tr>
        <w:trPr>
          <w:cantSplit/>
        </w:trPr>
        <w:tc>
          <w:tcPr>
            <w:tcW w:type="dxa" w:w="3288"/>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codigo_patrimonial</w:t>
            </w:r>
          </w:p>
        </w:tc>
        <w:tc>
          <w:tcPr>
            <w:tcW w:type="dxa" w:w="2608"/>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Cadena (50)</w:t>
            </w:r>
          </w:p>
        </w:tc>
        <w:tc>
          <w:tcPr>
            <w:tcW w:type="dxa" w:w="2891"/>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Único; regla de negocio: 12 dígitos</w:t>
            </w:r>
          </w:p>
        </w:tc>
      </w:tr>
      <w:tr>
        <w:trPr>
          <w:cantSplit/>
        </w:trPr>
        <w:tc>
          <w:tcPr>
            <w:tcW w:type="dxa" w:w="3288"/>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tipo_equipo</w:t>
            </w:r>
          </w:p>
        </w:tc>
        <w:tc>
          <w:tcPr>
            <w:tcW w:type="dxa" w:w="2608"/>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Dominio {Laptop, CPU, Impresora, Monitor, Otro}</w:t>
            </w:r>
          </w:p>
        </w:tc>
        <w:tc>
          <w:tcPr>
            <w:tcW w:type="dxa" w:w="2891"/>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Clasificación operativa y de ML</w:t>
            </w:r>
          </w:p>
        </w:tc>
      </w:tr>
      <w:tr>
        <w:trPr>
          <w:cantSplit/>
        </w:trPr>
        <w:tc>
          <w:tcPr>
            <w:tcW w:type="dxa" w:w="3288"/>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ram_gb, almacenamiento_gb</w:t>
            </w:r>
          </w:p>
        </w:tc>
        <w:tc>
          <w:tcPr>
            <w:tcW w:type="dxa" w:w="2608"/>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Entero</w:t>
            </w:r>
          </w:p>
        </w:tc>
        <w:tc>
          <w:tcPr>
            <w:tcW w:type="dxa" w:w="2891"/>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Numérico para ML (no «8 GB»)</w:t>
            </w:r>
          </w:p>
        </w:tc>
      </w:tr>
      <w:tr>
        <w:trPr>
          <w:cantSplit/>
        </w:trPr>
        <w:tc>
          <w:tcPr>
            <w:tcW w:type="dxa" w:w="3288"/>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tipo_disco</w:t>
            </w:r>
          </w:p>
        </w:tc>
        <w:tc>
          <w:tcPr>
            <w:tcW w:type="dxa" w:w="2608"/>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Dominio {HDD, SSD, NVMe}</w:t>
            </w:r>
          </w:p>
        </w:tc>
        <w:tc>
          <w:tcPr>
            <w:tcW w:type="dxa" w:w="2891"/>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Feature del modelo de riesgo</w:t>
            </w:r>
          </w:p>
        </w:tc>
      </w:tr>
      <w:tr>
        <w:trPr>
          <w:cantSplit/>
        </w:trPr>
        <w:tc>
          <w:tcPr>
            <w:tcW w:type="dxa" w:w="3288"/>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horas_uso, errores_smart, contador_paginas</w:t>
            </w:r>
          </w:p>
        </w:tc>
        <w:tc>
          <w:tcPr>
            <w:tcW w:type="dxa" w:w="2608"/>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Entero</w:t>
            </w:r>
          </w:p>
        </w:tc>
        <w:tc>
          <w:tcPr>
            <w:tcW w:type="dxa" w:w="2891"/>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Telemetría (instantánea vigente)</w:t>
            </w:r>
          </w:p>
        </w:tc>
      </w:tr>
      <w:tr>
        <w:trPr>
          <w:cantSplit/>
        </w:trPr>
        <w:tc>
          <w:tcPr>
            <w:tcW w:type="dxa" w:w="3288"/>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salud_bateria, ultima_temp_cpu, ultima_temp_disco</w:t>
            </w:r>
          </w:p>
        </w:tc>
        <w:tc>
          <w:tcPr>
            <w:tcW w:type="dxa" w:w="2608"/>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Decimal (5,2)</w:t>
            </w:r>
          </w:p>
        </w:tc>
        <w:tc>
          <w:tcPr>
            <w:tcW w:type="dxa" w:w="2891"/>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Lecturas de la última evaluación</w:t>
            </w:r>
          </w:p>
        </w:tc>
      </w:tr>
      <w:tr>
        <w:trPr>
          <w:cantSplit/>
        </w:trPr>
        <w:tc>
          <w:tcPr>
            <w:tcW w:type="dxa" w:w="3288"/>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fecha_adquisicion</w:t>
            </w:r>
          </w:p>
        </w:tc>
        <w:tc>
          <w:tcPr>
            <w:tcW w:type="dxa" w:w="2608"/>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Fecha</w:t>
            </w:r>
          </w:p>
        </w:tc>
        <w:tc>
          <w:tcPr>
            <w:tcW w:type="dxa" w:w="2891"/>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Permite calcular antigüedad en meses</w:t>
            </w:r>
          </w:p>
        </w:tc>
      </w:tr>
      <w:tr>
        <w:trPr>
          <w:cantSplit/>
        </w:trPr>
        <w:tc>
          <w:tcPr>
            <w:tcW w:type="dxa" w:w="3288"/>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costo_estimado</w:t>
            </w:r>
          </w:p>
        </w:tc>
        <w:tc>
          <w:tcPr>
            <w:tcW w:type="dxa" w:w="2608"/>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Decimal (10,2)</w:t>
            </w:r>
          </w:p>
        </w:tc>
        <w:tc>
          <w:tcPr>
            <w:tcW w:type="dxa" w:w="2891"/>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Dato patrimonial</w:t>
            </w:r>
          </w:p>
        </w:tc>
      </w:tr>
      <w:tr>
        <w:trPr>
          <w:cantSplit/>
        </w:trPr>
        <w:tc>
          <w:tcPr>
            <w:tcW w:type="dxa" w:w="3288"/>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area_id</w:t>
            </w:r>
          </w:p>
        </w:tc>
        <w:tc>
          <w:tcPr>
            <w:tcW w:type="dxa" w:w="2608"/>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Entero</w:t>
            </w:r>
          </w:p>
        </w:tc>
        <w:tc>
          <w:tcPr>
            <w:tcW w:type="dxa" w:w="2891"/>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FK obligatoria a v2_areas</w:t>
            </w:r>
          </w:p>
        </w:tc>
      </w:tr>
      <w:tr>
        <w:trPr>
          <w:cantSplit/>
        </w:trPr>
        <w:tc>
          <w:tcPr>
            <w:tcW w:type="dxa" w:w="3288"/>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responsable_id</w:t>
            </w:r>
          </w:p>
        </w:tc>
        <w:tc>
          <w:tcPr>
            <w:tcW w:type="dxa" w:w="2608"/>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Entero</w:t>
            </w:r>
          </w:p>
        </w:tc>
        <w:tc>
          <w:tcPr>
            <w:tcW w:type="dxa" w:w="2891"/>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FK opcional a v2_usuarios</w:t>
            </w:r>
          </w:p>
        </w:tc>
      </w:tr>
      <w:tr>
        <w:trPr>
          <w:cantSplit/>
        </w:trPr>
        <w:tc>
          <w:tcPr>
            <w:tcW w:type="dxa" w:w="3288"/>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estado_conservacion / estado_operativo</w:t>
            </w:r>
          </w:p>
        </w:tc>
        <w:tc>
          <w:tcPr>
            <w:tcW w:type="dxa" w:w="2608"/>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Dominios ENUM</w:t>
            </w:r>
          </w:p>
        </w:tc>
        <w:tc>
          <w:tcPr>
            <w:tcW w:type="dxa" w:w="2891"/>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Estados controlados, no texto libre</w:t>
            </w:r>
          </w:p>
        </w:tc>
      </w:tr>
      <w:tr>
        <w:trPr>
          <w:cantSplit/>
        </w:trPr>
        <w:tc>
          <w:tcPr>
            <w:tcW w:type="dxa" w:w="3288"/>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fecha_ultimo_mantenimiento</w:t>
            </w:r>
          </w:p>
        </w:tc>
        <w:tc>
          <w:tcPr>
            <w:tcW w:type="dxa" w:w="2608"/>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Fecha</w:t>
            </w:r>
          </w:p>
        </w:tc>
        <w:tc>
          <w:tcPr>
            <w:tcW w:type="dxa" w:w="2891"/>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Apoyo a alertas y al dataset ML</w:t>
            </w:r>
          </w:p>
        </w:tc>
      </w:tr>
    </w:tbl>
    <w:p>
      <w:pPr>
        <w:spacing w:before="80" w:after="240" w:line="240" w:lineRule="auto"/>
        <w:ind w:firstLine="0"/>
        <w:jc w:val="center"/>
      </w:pPr>
      <w:r>
        <w:rPr>
          <w:rFonts w:ascii="Times New Roman" w:hAnsi="Times New Roman" w:eastAsia="Times New Roman"/>
          <w:b w:val="0"/>
          <w:i/>
          <w:color w:val="4A5568"/>
          <w:sz w:val="20"/>
        </w:rPr>
        <w:t>Tabla 8. Estructura lógica de v2_equipos (atributos principales).</w:t>
      </w:r>
    </w:p>
    <w:p>
      <w:pPr>
        <w:spacing w:before="200" w:after="80" w:line="276" w:lineRule="auto"/>
        <w:ind w:firstLine="0"/>
        <w:jc w:val="left"/>
      </w:pPr>
      <w:r>
        <w:rPr>
          <w:rFonts w:ascii="Times New Roman" w:hAnsi="Times New Roman" w:eastAsia="Times New Roman"/>
          <w:b/>
          <w:i w:val="0"/>
          <w:color w:val="1F3A5F"/>
          <w:sz w:val="24"/>
        </w:rPr>
        <w:t>Resto de tablas del modelo lógico</w:t>
      </w:r>
    </w:p>
    <w:tbl>
      <w:tblPr>
        <w:tblW w:type="auto" w:w="0"/>
        <w:jc w:val="center"/>
        <w:tblLayout w:type="fixed"/>
        <w:tblLook w:firstColumn="1" w:firstRow="1" w:lastColumn="0" w:lastRow="0" w:noHBand="0" w:noVBand="1" w:val="04A0"/>
      </w:tblPr>
      <w:tblGrid>
        <w:gridCol w:w="4394"/>
        <w:gridCol w:w="4394"/>
      </w:tblGrid>
      <w:tr>
        <w:tc>
          <w:tcPr>
            <w:tcW w:type="dxa" w:w="3061"/>
            <w:shd w:fill="1F3A5F" w:val="clear"/>
            <w:tcBorders>
              <w:top w:val="single" w:sz="4" w:color="8AA0B8"/>
              <w:bottom w:val="single" w:sz="4" w:color="8AA0B8"/>
              <w:left w:val="single" w:sz="4" w:color="8AA0B8"/>
              <w:right w:val="single" w:sz="4" w:color="8AA0B8"/>
            </w:tcBorders>
          </w:tcPr>
          <w:p>
            <w:pPr>
              <w:spacing w:before="60" w:after="60"/>
              <w:jc w:val="center"/>
            </w:pPr>
            <w:r>
              <w:rPr>
                <w:rFonts w:ascii="Times New Roman" w:hAnsi="Times New Roman" w:eastAsia="Times New Roman"/>
                <w:b/>
                <w:i w:val="0"/>
                <w:color w:val="FFFFFF"/>
                <w:sz w:val="20"/>
              </w:rPr>
              <w:t>Tabla</w:t>
            </w:r>
          </w:p>
        </w:tc>
        <w:tc>
          <w:tcPr>
            <w:tcW w:type="dxa" w:w="5726"/>
            <w:shd w:fill="1F3A5F" w:val="clear"/>
            <w:tcBorders>
              <w:top w:val="single" w:sz="4" w:color="8AA0B8"/>
              <w:bottom w:val="single" w:sz="4" w:color="8AA0B8"/>
              <w:left w:val="single" w:sz="4" w:color="8AA0B8"/>
              <w:right w:val="single" w:sz="4" w:color="8AA0B8"/>
            </w:tcBorders>
          </w:tcPr>
          <w:p>
            <w:pPr>
              <w:spacing w:before="60" w:after="60"/>
              <w:jc w:val="center"/>
            </w:pPr>
            <w:r>
              <w:rPr>
                <w:rFonts w:ascii="Times New Roman" w:hAnsi="Times New Roman" w:eastAsia="Times New Roman"/>
                <w:b/>
                <w:i w:val="0"/>
                <w:color w:val="FFFFFF"/>
                <w:sz w:val="20"/>
              </w:rPr>
              <w:t>Claves y tipos esenciales</w:t>
            </w:r>
          </w:p>
        </w:tc>
      </w:tr>
      <w:tr>
        <w:trPr>
          <w:cantSplit/>
        </w:trPr>
        <w:tc>
          <w:tcPr>
            <w:tcW w:type="dxa" w:w="3061"/>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v2_fichas_tecnicas</w:t>
            </w:r>
          </w:p>
        </w:tc>
        <w:tc>
          <w:tcPr>
            <w:tcW w:type="dxa" w:w="5726"/>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id PK; equipo_id UNIQUE FK (relación 1:1); numero_ficha único; procesador, SO (ENUM), MAC, IP, observaciones, imágenes</w:t>
            </w:r>
          </w:p>
        </w:tc>
      </w:tr>
      <w:tr>
        <w:trPr>
          <w:cantSplit/>
        </w:trPr>
        <w:tc>
          <w:tcPr>
            <w:tcW w:type="dxa" w:w="3061"/>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v2_categorias_falla</w:t>
            </w:r>
          </w:p>
        </w:tc>
        <w:tc>
          <w:tcPr>
            <w:tcW w:type="dxa" w:w="5726"/>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id PK; nombre; severidad {Baja, Media, Alta, Critica}</w:t>
            </w:r>
          </w:p>
        </w:tc>
      </w:tr>
      <w:tr>
        <w:trPr>
          <w:cantSplit/>
        </w:trPr>
        <w:tc>
          <w:tcPr>
            <w:tcW w:type="dxa" w:w="3061"/>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v2_fichas_mantenimiento</w:t>
            </w:r>
          </w:p>
        </w:tc>
        <w:tc>
          <w:tcPr>
            <w:tcW w:type="dxa" w:w="5726"/>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id PK; nro_orden; equipo_id FK; tecnico_id FK; categoria_falla_id FK; tipo {Preventivo, Correctivo, Predictivo, Evaluacion}; telemetría de la visita; costo Decimal(10,2); estado_post_mantenimiento</w:t>
            </w:r>
          </w:p>
        </w:tc>
      </w:tr>
      <w:tr>
        <w:trPr>
          <w:cantSplit/>
        </w:trPr>
        <w:tc>
          <w:tcPr>
            <w:tcW w:type="dxa" w:w="3061"/>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v2_historial_asignaciones</w:t>
            </w:r>
          </w:p>
        </w:tc>
        <w:tc>
          <w:tcPr>
            <w:tcW w:type="dxa" w:w="5726"/>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id PK; equipo_id FK; área y responsable de origen/destino; tipo_movimiento ENUM; fecha_movimiento</w:t>
            </w:r>
          </w:p>
        </w:tc>
      </w:tr>
      <w:tr>
        <w:trPr>
          <w:cantSplit/>
        </w:trPr>
        <w:tc>
          <w:tcPr>
            <w:tcW w:type="dxa" w:w="3061"/>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v2_cronograma_mantenimiento</w:t>
            </w:r>
          </w:p>
        </w:tc>
        <w:tc>
          <w:tcPr>
            <w:tcW w:type="dxa" w:w="5726"/>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id PK; equipo_id FK; frecuencia_dias; proxima_fecha; prioridad; estado de programación</w:t>
            </w:r>
          </w:p>
        </w:tc>
      </w:tr>
      <w:tr>
        <w:trPr>
          <w:cantSplit/>
        </w:trPr>
        <w:tc>
          <w:tcPr>
            <w:tcW w:type="dxa" w:w="3061"/>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v2_hojas_baja</w:t>
            </w:r>
          </w:p>
        </w:tc>
        <w:tc>
          <w:tcPr>
            <w:tcW w:type="dxa" w:w="5726"/>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id PK; numero_ficha único; equipo_id FK; causales booleanas; creado_por y validado_por FK</w:t>
            </w:r>
          </w:p>
        </w:tc>
      </w:tr>
      <w:tr>
        <w:trPr>
          <w:cantSplit/>
        </w:trPr>
        <w:tc>
          <w:tcPr>
            <w:tcW w:type="dxa" w:w="3061"/>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v2_predicciones_ml</w:t>
            </w:r>
          </w:p>
        </w:tc>
        <w:tc>
          <w:tcPr>
            <w:tcW w:type="dxa" w:w="5726"/>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id PK; equipo_id FK; modelo_version; score_riesgo Decimal(5,2); nivel_riesgo ENUM; factores_json; categoria_sugerida_id FK</w:t>
            </w:r>
          </w:p>
        </w:tc>
      </w:tr>
      <w:tr>
        <w:trPr>
          <w:cantSplit/>
        </w:trPr>
        <w:tc>
          <w:tcPr>
            <w:tcW w:type="dxa" w:w="3061"/>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v2_metricas_equipo</w:t>
            </w:r>
          </w:p>
        </w:tc>
        <w:tc>
          <w:tcPr>
            <w:tcW w:type="dxa" w:w="5726"/>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id PK; equipo_id FK; mantenimiento_id FK opcional; horas, SMART, temperaturas, polvo; registrado_en</w:t>
            </w:r>
          </w:p>
        </w:tc>
      </w:tr>
    </w:tbl>
    <w:p>
      <w:pPr>
        <w:spacing w:before="80" w:after="240" w:line="240" w:lineRule="auto"/>
        <w:ind w:firstLine="0"/>
        <w:jc w:val="center"/>
      </w:pPr>
      <w:r>
        <w:rPr>
          <w:rFonts w:ascii="Times New Roman" w:hAnsi="Times New Roman" w:eastAsia="Times New Roman"/>
          <w:b w:val="0"/>
          <w:i/>
          <w:color w:val="4A5568"/>
          <w:sz w:val="20"/>
        </w:rPr>
        <w:t>Tabla 9. Resto del modelo lógico.</w:t>
      </w:r>
    </w:p>
    <w:p>
      <w:pPr>
        <w:spacing w:before="0" w:after="160" w:line="360" w:lineRule="auto"/>
        <w:ind w:firstLine="425"/>
        <w:jc w:val="both"/>
      </w:pPr>
      <w:r>
        <w:rPr>
          <w:rFonts w:ascii="Times New Roman" w:hAnsi="Times New Roman" w:eastAsia="Times New Roman"/>
          <w:b w:val="0"/>
          <w:i w:val="0"/>
          <w:color w:val="1A1A1A"/>
          <w:sz w:val="24"/>
        </w:rPr>
        <w:t>Reglas lógicas de integridad: un equipo tiene un área vigente y una ficha técnica; puede acumular muchas intervenciones y muchas predicciones. Las predicciones no alteran el inventario: solo anotan un score asociado a una versión de modelo.</w:t>
      </w:r>
    </w:p>
    <w:p>
      <w:pPr>
        <w:spacing w:before="280" w:after="120" w:line="276" w:lineRule="auto"/>
        <w:ind w:firstLine="0"/>
        <w:jc w:val="left"/>
      </w:pPr>
      <w:r>
        <w:rPr>
          <w:rFonts w:ascii="Times New Roman" w:hAnsi="Times New Roman" w:eastAsia="Times New Roman"/>
          <w:b/>
          <w:i w:val="0"/>
          <w:color w:val="1A5F7A"/>
          <w:sz w:val="26"/>
        </w:rPr>
        <w:t>4.2.4.  Normalización en fase 2</w:t>
      </w:r>
    </w:p>
    <w:p>
      <w:pPr>
        <w:spacing w:before="0" w:after="160" w:line="360" w:lineRule="auto"/>
        <w:ind w:firstLine="425"/>
        <w:jc w:val="both"/>
      </w:pPr>
      <w:r>
        <w:rPr>
          <w:rFonts w:ascii="Times New Roman" w:hAnsi="Times New Roman" w:eastAsia="Times New Roman"/>
          <w:b w:val="0"/>
          <w:i w:val="0"/>
          <w:color w:val="1A1A1A"/>
          <w:sz w:val="24"/>
        </w:rPr>
        <w:t>La segunda pasada resuelve las relaciones muchos a muchos. En este dominio no aparecen pivotes vacíos (una tabla equipo_categoria con solo dos identificadores). La relación N:N tiene atributos propios —fecha, costo, síntoma, score—, de modo que se materializa como tabla intermedia con significado de negocio.</w:t>
      </w:r>
    </w:p>
    <w:tbl>
      <w:tblPr>
        <w:tblW w:type="auto" w:w="0"/>
        <w:jc w:val="center"/>
        <w:tblLayout w:type="fixed"/>
        <w:tblLook w:firstColumn="1" w:firstRow="1" w:lastColumn="0" w:lastRow="0" w:noHBand="0" w:noVBand="1" w:val="04A0"/>
      </w:tblPr>
      <w:tblGrid>
        <w:gridCol w:w="2929"/>
        <w:gridCol w:w="2929"/>
        <w:gridCol w:w="2929"/>
      </w:tblGrid>
      <w:tr>
        <w:tc>
          <w:tcPr>
            <w:tcW w:type="dxa" w:w="2721"/>
            <w:shd w:fill="1F3A5F" w:val="clear"/>
            <w:tcBorders>
              <w:top w:val="single" w:sz="4" w:color="8AA0B8"/>
              <w:bottom w:val="single" w:sz="4" w:color="8AA0B8"/>
              <w:left w:val="single" w:sz="4" w:color="8AA0B8"/>
              <w:right w:val="single" w:sz="4" w:color="8AA0B8"/>
            </w:tcBorders>
          </w:tcPr>
          <w:p>
            <w:pPr>
              <w:spacing w:before="60" w:after="60"/>
              <w:jc w:val="center"/>
            </w:pPr>
            <w:r>
              <w:rPr>
                <w:rFonts w:ascii="Times New Roman" w:hAnsi="Times New Roman" w:eastAsia="Times New Roman"/>
                <w:b/>
                <w:i w:val="0"/>
                <w:color w:val="FFFFFF"/>
                <w:sz w:val="20"/>
              </w:rPr>
              <w:t>Relación N:N conceptual</w:t>
            </w:r>
          </w:p>
        </w:tc>
        <w:tc>
          <w:tcPr>
            <w:tcW w:type="dxa" w:w="2494"/>
            <w:shd w:fill="1F3A5F" w:val="clear"/>
            <w:tcBorders>
              <w:top w:val="single" w:sz="4" w:color="8AA0B8"/>
              <w:bottom w:val="single" w:sz="4" w:color="8AA0B8"/>
              <w:left w:val="single" w:sz="4" w:color="8AA0B8"/>
              <w:right w:val="single" w:sz="4" w:color="8AA0B8"/>
            </w:tcBorders>
          </w:tcPr>
          <w:p>
            <w:pPr>
              <w:spacing w:before="60" w:after="60"/>
              <w:jc w:val="center"/>
            </w:pPr>
            <w:r>
              <w:rPr>
                <w:rFonts w:ascii="Times New Roman" w:hAnsi="Times New Roman" w:eastAsia="Times New Roman"/>
                <w:b/>
                <w:i w:val="0"/>
                <w:color w:val="FFFFFF"/>
                <w:sz w:val="20"/>
              </w:rPr>
              <w:t>Tabla intermedia</w:t>
            </w:r>
          </w:p>
        </w:tc>
        <w:tc>
          <w:tcPr>
            <w:tcW w:type="dxa" w:w="3572"/>
            <w:shd w:fill="1F3A5F" w:val="clear"/>
            <w:tcBorders>
              <w:top w:val="single" w:sz="4" w:color="8AA0B8"/>
              <w:bottom w:val="single" w:sz="4" w:color="8AA0B8"/>
              <w:left w:val="single" w:sz="4" w:color="8AA0B8"/>
              <w:right w:val="single" w:sz="4" w:color="8AA0B8"/>
            </w:tcBorders>
          </w:tcPr>
          <w:p>
            <w:pPr>
              <w:spacing w:before="60" w:after="60"/>
              <w:jc w:val="center"/>
            </w:pPr>
            <w:r>
              <w:rPr>
                <w:rFonts w:ascii="Times New Roman" w:hAnsi="Times New Roman" w:eastAsia="Times New Roman"/>
                <w:b/>
                <w:i w:val="0"/>
                <w:color w:val="FFFFFF"/>
                <w:sz w:val="20"/>
              </w:rPr>
              <w:t>Atributos propios (por eso no es un pivote vacío)</w:t>
            </w:r>
          </w:p>
        </w:tc>
      </w:tr>
      <w:tr>
        <w:trPr>
          <w:cantSplit/>
        </w:trPr>
        <w:tc>
          <w:tcPr>
            <w:tcW w:type="dxa" w:w="2721"/>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Equipo N:N Categoría de falla</w:t>
            </w:r>
          </w:p>
        </w:tc>
        <w:tc>
          <w:tcPr>
            <w:tcW w:type="dxa" w:w="2494"/>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v2_fichas_mantenimiento</w:t>
            </w:r>
          </w:p>
        </w:tc>
        <w:tc>
          <w:tcPr>
            <w:tcW w:type="dxa" w:w="3572"/>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Fecha, tipo, síntoma, costo, estado posterior</w:t>
            </w:r>
          </w:p>
        </w:tc>
      </w:tr>
      <w:tr>
        <w:trPr>
          <w:cantSplit/>
        </w:trPr>
        <w:tc>
          <w:tcPr>
            <w:tcW w:type="dxa" w:w="2721"/>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Equipo N:N Usuario (como técnico)</w:t>
            </w:r>
          </w:p>
        </w:tc>
        <w:tc>
          <w:tcPr>
            <w:tcW w:type="dxa" w:w="2494"/>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v2_fichas_mantenimiento</w:t>
            </w:r>
          </w:p>
        </w:tc>
        <w:tc>
          <w:tcPr>
            <w:tcW w:type="dxa" w:w="3572"/>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Quién intervino y qué hizo</w:t>
            </w:r>
          </w:p>
        </w:tc>
      </w:tr>
      <w:tr>
        <w:trPr>
          <w:cantSplit/>
        </w:trPr>
        <w:tc>
          <w:tcPr>
            <w:tcW w:type="dxa" w:w="2721"/>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Equipo N:N Área (en el tiempo)</w:t>
            </w:r>
          </w:p>
        </w:tc>
        <w:tc>
          <w:tcPr>
            <w:tcW w:type="dxa" w:w="2494"/>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v2_historial_asignaciones</w:t>
            </w:r>
          </w:p>
        </w:tc>
        <w:tc>
          <w:tcPr>
            <w:tcW w:type="dxa" w:w="3572"/>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Origen, destino, motivo y fecha</w:t>
            </w:r>
          </w:p>
        </w:tc>
      </w:tr>
      <w:tr>
        <w:trPr>
          <w:cantSplit/>
        </w:trPr>
        <w:tc>
          <w:tcPr>
            <w:tcW w:type="dxa" w:w="2721"/>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Equipo N:N lectura de sensores</w:t>
            </w:r>
          </w:p>
        </w:tc>
        <w:tc>
          <w:tcPr>
            <w:tcW w:type="dxa" w:w="2494"/>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v2_metricas_equipo</w:t>
            </w:r>
          </w:p>
        </w:tc>
        <w:tc>
          <w:tcPr>
            <w:tcW w:type="dxa" w:w="3572"/>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Instantánea de telemetría</w:t>
            </w:r>
          </w:p>
        </w:tc>
      </w:tr>
      <w:tr>
        <w:trPr>
          <w:cantSplit/>
        </w:trPr>
        <w:tc>
          <w:tcPr>
            <w:tcW w:type="dxa" w:w="2721"/>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Equipo N:N versión de modelo ML</w:t>
            </w:r>
          </w:p>
        </w:tc>
        <w:tc>
          <w:tcPr>
            <w:tcW w:type="dxa" w:w="2494"/>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v2_predicciones_ml</w:t>
            </w:r>
          </w:p>
        </w:tc>
        <w:tc>
          <w:tcPr>
            <w:tcW w:type="dxa" w:w="3572"/>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Score, nivel y JSON de factores</w:t>
            </w:r>
          </w:p>
        </w:tc>
      </w:tr>
    </w:tbl>
    <w:p>
      <w:pPr>
        <w:spacing w:before="80" w:after="240" w:line="240" w:lineRule="auto"/>
        <w:ind w:firstLine="0"/>
        <w:jc w:val="center"/>
      </w:pPr>
      <w:r>
        <w:rPr>
          <w:rFonts w:ascii="Times New Roman" w:hAnsi="Times New Roman" w:eastAsia="Times New Roman"/>
          <w:b w:val="0"/>
          <w:i/>
          <w:color w:val="4A5568"/>
          <w:sz w:val="20"/>
        </w:rPr>
        <w:t>Tabla 10. Tablas intermedias de la normalización de fase 2.</w:t>
      </w:r>
    </w:p>
    <w:p>
      <w:pPr>
        <w:spacing w:before="0" w:after="160" w:line="360" w:lineRule="auto"/>
        <w:ind w:firstLine="425"/>
        <w:jc w:val="both"/>
      </w:pPr>
      <w:r>
        <w:rPr>
          <w:rFonts w:ascii="Times New Roman" w:hAnsi="Times New Roman" w:eastAsia="Times New Roman"/>
          <w:b w:val="0"/>
          <w:i w:val="0"/>
          <w:color w:val="1A1A1A"/>
          <w:sz w:val="24"/>
        </w:rPr>
        <w:t>La asignación actual Equipo–Área y Equipo–Responsable se dejó en N:1 (area_id, responsable_id) para que las consultas del inventario sean directas. El historial guarda el muchos a muchos temporal. Con ello el esquema queda, en lo esencial, en tercera forma normal: cada hecho no clave depende de la clave de su tabla y no de otra entidad.</w:t>
      </w:r>
    </w:p>
    <w:p>
      <w:pPr>
        <w:spacing w:before="0" w:after="160" w:line="360" w:lineRule="auto"/>
        <w:ind w:firstLine="0"/>
        <w:jc w:val="both"/>
      </w:pPr>
      <w:r>
        <w:rPr>
          <w:rFonts w:ascii="Times New Roman" w:hAnsi="Times New Roman" w:eastAsia="Times New Roman"/>
          <w:b w:val="0"/>
          <w:i w:val="0"/>
          <w:color w:val="1A1A1A"/>
          <w:sz w:val="24"/>
        </w:rPr>
        <w:t>Excepciones deliberadas (desnormalización controlada):</w:t>
      </w:r>
    </w:p>
    <w:p>
      <w:pPr>
        <w:spacing w:before="0" w:after="80" w:line="276" w:lineRule="auto"/>
        <w:ind w:left="567" w:hanging="227"/>
        <w:jc w:val="both"/>
      </w:pPr>
      <w:r>
        <w:rPr>
          <w:rFonts w:ascii="Times New Roman" w:hAnsi="Times New Roman" w:eastAsia="Times New Roman"/>
          <w:b w:val="0"/>
          <w:i w:val="0"/>
          <w:color w:val="1A5F7A"/>
          <w:sz w:val="24"/>
        </w:rPr>
        <w:t xml:space="preserve">•  </w:t>
      </w:r>
      <w:r>
        <w:rPr>
          <w:rFonts w:ascii="Times New Roman" w:hAnsi="Times New Roman" w:eastAsia="Times New Roman"/>
          <w:b/>
          <w:i w:val="0"/>
          <w:color w:val="1A1A1A"/>
          <w:sz w:val="24"/>
        </w:rPr>
        <w:t>Snapshot vigente:</w:t>
      </w:r>
      <w:r>
        <w:rPr>
          <w:rFonts w:ascii="Times New Roman" w:hAnsi="Times New Roman" w:eastAsia="Times New Roman"/>
          <w:b w:val="0"/>
          <w:i w:val="0"/>
          <w:color w:val="1A1A1A"/>
          <w:sz w:val="24"/>
        </w:rPr>
        <w:t xml:space="preserve"> instantánea de telemetría en v2_equipos (última temperatura, horas de uso) además de la serie en v2_metricas_equipo, para acelerar el dashboard y las features del modelo.</w:t>
      </w:r>
    </w:p>
    <w:p>
      <w:pPr>
        <w:spacing w:before="0" w:after="80" w:line="276" w:lineRule="auto"/>
        <w:ind w:left="567" w:hanging="227"/>
        <w:jc w:val="both"/>
      </w:pPr>
      <w:r>
        <w:rPr>
          <w:rFonts w:ascii="Times New Roman" w:hAnsi="Times New Roman" w:eastAsia="Times New Roman"/>
          <w:b w:val="0"/>
          <w:i w:val="0"/>
          <w:color w:val="1A5F7A"/>
          <w:sz w:val="24"/>
        </w:rPr>
        <w:t xml:space="preserve">•  </w:t>
      </w:r>
      <w:r>
        <w:rPr>
          <w:rFonts w:ascii="Times New Roman" w:hAnsi="Times New Roman" w:eastAsia="Times New Roman"/>
          <w:b/>
          <w:i w:val="0"/>
          <w:color w:val="1A1A1A"/>
          <w:sz w:val="24"/>
        </w:rPr>
        <w:t>Vista de extracción:</w:t>
      </w:r>
      <w:r>
        <w:rPr>
          <w:rFonts w:ascii="Times New Roman" w:hAnsi="Times New Roman" w:eastAsia="Times New Roman"/>
          <w:b w:val="0"/>
          <w:i w:val="0"/>
          <w:color w:val="1A1A1A"/>
          <w:sz w:val="24"/>
        </w:rPr>
        <w:t xml:space="preserve"> v2_ml_equipos_features no es una tabla base; agrega correctivos a doce meses, antigüedad y severidad máxima. Es el dataset lógico del modelo, no una violación de la 3FN en el esquema operativo.</w:t>
      </w:r>
    </w:p>
    <w:p>
      <w:pPr>
        <w:spacing w:before="280" w:after="120" w:line="276" w:lineRule="auto"/>
        <w:ind w:firstLine="0"/>
        <w:jc w:val="left"/>
      </w:pPr>
      <w:r>
        <w:rPr>
          <w:rFonts w:ascii="Times New Roman" w:hAnsi="Times New Roman" w:eastAsia="Times New Roman"/>
          <w:b/>
          <w:i w:val="0"/>
          <w:color w:val="1A5F7A"/>
          <w:sz w:val="26"/>
        </w:rPr>
        <w:t>4.2.5.  Modelo físico (entidad-relación implementado)</w:t>
      </w:r>
    </w:p>
    <w:p>
      <w:pPr>
        <w:spacing w:before="0" w:after="160" w:line="360" w:lineRule="auto"/>
        <w:ind w:firstLine="425"/>
        <w:jc w:val="both"/>
      </w:pPr>
      <w:r>
        <w:rPr>
          <w:rFonts w:ascii="Times New Roman" w:hAnsi="Times New Roman" w:eastAsia="Times New Roman"/>
          <w:b w:val="0"/>
          <w:i w:val="0"/>
          <w:color w:val="1A1A1A"/>
          <w:sz w:val="24"/>
        </w:rPr>
        <w:t>El modelo físico es el esquema ya creado en el gestor MySQL: motor InnoDB, juego de caracteres utf8mb4, claves primarias autonuméricas, claves foráneas e índices. Es el diagrama que phpMyAdmin muestra como diseñador o como vista de relaciones: el modelo implementado, no el bosquejo conceptual. Se despliega en XAMPP (desarrollo) y en phpMyAdmin / hPanel (Hostinger).</w:t>
      </w:r>
    </w:p>
    <w:p>
      <w:pPr>
        <w:spacing w:before="0" w:after="160" w:line="360" w:lineRule="auto"/>
        <w:ind w:firstLine="0"/>
        <w:jc w:val="both"/>
      </w:pPr>
      <w:r>
        <w:rPr>
          <w:rFonts w:ascii="Times New Roman" w:hAnsi="Times New Roman" w:eastAsia="Times New Roman"/>
          <w:b w:val="0"/>
          <w:i w:val="0"/>
          <w:color w:val="1A1A1A"/>
          <w:sz w:val="24"/>
        </w:rPr>
        <w:t>Scripts de implementación (fuente de verdad del modelo físico):</w:t>
      </w:r>
    </w:p>
    <w:tbl>
      <w:tblPr>
        <w:tblW w:type="auto" w:w="0"/>
        <w:jc w:val="center"/>
        <w:tblLayout w:type="fixed"/>
        <w:tblLook w:firstColumn="1" w:firstRow="1" w:lastColumn="0" w:lastRow="0" w:noHBand="0" w:noVBand="1" w:val="04A0"/>
      </w:tblPr>
      <w:tblGrid>
        <w:gridCol w:w="4394"/>
        <w:gridCol w:w="4394"/>
      </w:tblGrid>
      <w:tr>
        <w:tc>
          <w:tcPr>
            <w:tcW w:type="dxa" w:w="3628"/>
            <w:shd w:fill="1F3A5F" w:val="clear"/>
            <w:tcBorders>
              <w:top w:val="single" w:sz="4" w:color="8AA0B8"/>
              <w:bottom w:val="single" w:sz="4" w:color="8AA0B8"/>
              <w:left w:val="single" w:sz="4" w:color="8AA0B8"/>
              <w:right w:val="single" w:sz="4" w:color="8AA0B8"/>
            </w:tcBorders>
          </w:tcPr>
          <w:p>
            <w:pPr>
              <w:spacing w:before="60" w:after="60"/>
              <w:jc w:val="center"/>
            </w:pPr>
            <w:r>
              <w:rPr>
                <w:rFonts w:ascii="Times New Roman" w:hAnsi="Times New Roman" w:eastAsia="Times New Roman"/>
                <w:b/>
                <w:i w:val="0"/>
                <w:color w:val="FFFFFF"/>
                <w:sz w:val="20"/>
              </w:rPr>
              <w:t>Script</w:t>
            </w:r>
          </w:p>
        </w:tc>
        <w:tc>
          <w:tcPr>
            <w:tcW w:type="dxa" w:w="5159"/>
            <w:shd w:fill="1F3A5F" w:val="clear"/>
            <w:tcBorders>
              <w:top w:val="single" w:sz="4" w:color="8AA0B8"/>
              <w:bottom w:val="single" w:sz="4" w:color="8AA0B8"/>
              <w:left w:val="single" w:sz="4" w:color="8AA0B8"/>
              <w:right w:val="single" w:sz="4" w:color="8AA0B8"/>
            </w:tcBorders>
          </w:tcPr>
          <w:p>
            <w:pPr>
              <w:spacing w:before="60" w:after="60"/>
              <w:jc w:val="center"/>
            </w:pPr>
            <w:r>
              <w:rPr>
                <w:rFonts w:ascii="Times New Roman" w:hAnsi="Times New Roman" w:eastAsia="Times New Roman"/>
                <w:b/>
                <w:i w:val="0"/>
                <w:color w:val="FFFFFF"/>
                <w:sz w:val="20"/>
              </w:rPr>
              <w:t>Qué materializa</w:t>
            </w:r>
          </w:p>
        </w:tc>
      </w:tr>
      <w:tr>
        <w:trPr>
          <w:cantSplit/>
        </w:trPr>
        <w:tc>
          <w:tcPr>
            <w:tcW w:type="dxa" w:w="3628"/>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backend/sql/v2_estructura.sql</w:t>
            </w:r>
          </w:p>
        </w:tc>
        <w:tc>
          <w:tcPr>
            <w:tcW w:type="dxa" w:w="5159"/>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Núcleo: áreas, usuarios, equipos, fichas, catálogo de fallas, historial, cronograma y bajas</w:t>
            </w:r>
          </w:p>
        </w:tc>
      </w:tr>
      <w:tr>
        <w:trPr>
          <w:cantSplit/>
        </w:trPr>
        <w:tc>
          <w:tcPr>
            <w:tcW w:type="dxa" w:w="3628"/>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backend/sql/v2_extension_fase7.sql</w:t>
            </w:r>
          </w:p>
        </w:tc>
        <w:tc>
          <w:tcPr>
            <w:tcW w:type="dxa" w:w="5159"/>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Telemetría en equipos, campos estructurados de la intervención y numeración de fichas</w:t>
            </w:r>
          </w:p>
        </w:tc>
      </w:tr>
      <w:tr>
        <w:trPr>
          <w:cantSplit/>
        </w:trPr>
        <w:tc>
          <w:tcPr>
            <w:tcW w:type="dxa" w:w="3628"/>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backend/sql/v2_ml_predicciones.sql</w:t>
            </w:r>
          </w:p>
        </w:tc>
        <w:tc>
          <w:tcPr>
            <w:tcW w:type="dxa" w:w="5159"/>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Tabla de predicciones del modelo</w:t>
            </w:r>
          </w:p>
        </w:tc>
      </w:tr>
      <w:tr>
        <w:trPr>
          <w:cantSplit/>
        </w:trPr>
        <w:tc>
          <w:tcPr>
            <w:tcW w:type="dxa" w:w="3628"/>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backend/sql/v2_metricas_equipo.sql</w:t>
            </w:r>
          </w:p>
        </w:tc>
        <w:tc>
          <w:tcPr>
            <w:tcW w:type="dxa" w:w="5159"/>
            <w:shd w:fill="FFFFFF"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Serie temporal de lecturas por equipo</w:t>
            </w:r>
          </w:p>
        </w:tc>
      </w:tr>
      <w:tr>
        <w:trPr>
          <w:cantSplit/>
        </w:trPr>
        <w:tc>
          <w:tcPr>
            <w:tcW w:type="dxa" w:w="3628"/>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backend/sql/v2_ml_dataset_view.sql</w:t>
            </w:r>
          </w:p>
        </w:tc>
        <w:tc>
          <w:tcPr>
            <w:tcW w:type="dxa" w:w="5159"/>
            <w:shd w:fill="F4F7FB" w:val="clear"/>
            <w:tcBorders>
              <w:top w:val="single" w:sz="4" w:color="8AA0B8"/>
              <w:bottom w:val="single" w:sz="4" w:color="8AA0B8"/>
              <w:left w:val="single" w:sz="4" w:color="8AA0B8"/>
              <w:right w:val="single" w:sz="4" w:color="8AA0B8"/>
            </w:tcBorders>
          </w:tcPr>
          <w:p>
            <w:pPr>
              <w:spacing w:before="40" w:after="40"/>
              <w:jc w:val="left"/>
            </w:pPr>
            <w:r>
              <w:rPr>
                <w:rFonts w:ascii="Times New Roman" w:hAnsi="Times New Roman" w:eastAsia="Times New Roman"/>
                <w:b w:val="0"/>
                <w:i w:val="0"/>
                <w:color w:val="1A1A1A"/>
                <w:sz w:val="20"/>
              </w:rPr>
              <w:t>Vista v2_ml_equipos_features para el dataset A</w:t>
            </w:r>
          </w:p>
        </w:tc>
      </w:tr>
    </w:tbl>
    <w:p>
      <w:pPr>
        <w:spacing w:before="80" w:after="240" w:line="240" w:lineRule="auto"/>
        <w:ind w:firstLine="0"/>
        <w:jc w:val="center"/>
      </w:pPr>
      <w:r>
        <w:rPr>
          <w:rFonts w:ascii="Times New Roman" w:hAnsi="Times New Roman" w:eastAsia="Times New Roman"/>
          <w:b w:val="0"/>
          <w:i/>
          <w:color w:val="4A5568"/>
          <w:sz w:val="20"/>
        </w:rPr>
        <w:t>Tabla 11. Scripts que constituyen el modelo físico.</w:t>
      </w:r>
    </w:p>
    <w:p>
      <w:pPr>
        <w:spacing w:before="0" w:after="160" w:line="360" w:lineRule="auto"/>
        <w:ind w:firstLine="0"/>
        <w:jc w:val="both"/>
      </w:pPr>
      <w:r>
        <w:rPr>
          <w:rFonts w:ascii="Times New Roman" w:hAnsi="Times New Roman" w:eastAsia="Times New Roman"/>
          <w:b w:val="0"/>
          <w:i w:val="0"/>
          <w:color w:val="1A1A1A"/>
          <w:sz w:val="24"/>
        </w:rPr>
        <w:t>Integridad referencial implementada en el gestor:</w:t>
      </w:r>
    </w:p>
    <w:p>
      <w:pPr>
        <w:spacing w:before="0" w:after="80" w:line="276" w:lineRule="auto"/>
        <w:ind w:left="567" w:hanging="227"/>
        <w:jc w:val="both"/>
      </w:pPr>
      <w:r>
        <w:rPr>
          <w:rFonts w:ascii="Times New Roman" w:hAnsi="Times New Roman" w:eastAsia="Times New Roman"/>
          <w:b w:val="0"/>
          <w:i w:val="0"/>
          <w:color w:val="1A5F7A"/>
          <w:sz w:val="24"/>
        </w:rPr>
        <w:t xml:space="preserve">•  </w:t>
      </w:r>
      <w:r>
        <w:rPr>
          <w:rFonts w:ascii="Times New Roman" w:hAnsi="Times New Roman" w:eastAsia="Times New Roman"/>
          <w:b/>
          <w:i w:val="0"/>
          <w:color w:val="1A1A1A"/>
          <w:sz w:val="24"/>
        </w:rPr>
        <w:t>ON DELETE CASCADE:</w:t>
      </w:r>
      <w:r>
        <w:rPr>
          <w:rFonts w:ascii="Times New Roman" w:hAnsi="Times New Roman" w:eastAsia="Times New Roman"/>
          <w:b w:val="0"/>
          <w:i w:val="0"/>
          <w:color w:val="1A1A1A"/>
          <w:sz w:val="24"/>
        </w:rPr>
        <w:t xml:space="preserve"> al borrar un equipo se eliminan su ficha técnica, mantenimientos, predicciones y métricas.</w:t>
      </w:r>
    </w:p>
    <w:p>
      <w:pPr>
        <w:spacing w:before="0" w:after="80" w:line="276" w:lineRule="auto"/>
        <w:ind w:left="567" w:hanging="227"/>
        <w:jc w:val="both"/>
      </w:pPr>
      <w:r>
        <w:rPr>
          <w:rFonts w:ascii="Times New Roman" w:hAnsi="Times New Roman" w:eastAsia="Times New Roman"/>
          <w:b w:val="0"/>
          <w:i w:val="0"/>
          <w:color w:val="1A5F7A"/>
          <w:sz w:val="24"/>
        </w:rPr>
        <w:t xml:space="preserve">•  </w:t>
      </w:r>
      <w:r>
        <w:rPr>
          <w:rFonts w:ascii="Times New Roman" w:hAnsi="Times New Roman" w:eastAsia="Times New Roman"/>
          <w:b/>
          <w:i w:val="0"/>
          <w:color w:val="1A1A1A"/>
          <w:sz w:val="24"/>
        </w:rPr>
        <w:t>ON DELETE SET NULL:</w:t>
      </w:r>
      <w:r>
        <w:rPr>
          <w:rFonts w:ascii="Times New Roman" w:hAnsi="Times New Roman" w:eastAsia="Times New Roman"/>
          <w:b w:val="0"/>
          <w:i w:val="0"/>
          <w:color w:val="1A1A1A"/>
          <w:sz w:val="24"/>
        </w:rPr>
        <w:t xml:space="preserve"> al borrar un usuario, las fichas conservan el hecho histórico (tecnico_id queda nulo); no se borra la intervención.</w:t>
      </w:r>
    </w:p>
    <w:p>
      <w:pPr>
        <w:spacing w:before="0" w:after="80" w:line="276" w:lineRule="auto"/>
        <w:ind w:left="567" w:hanging="227"/>
        <w:jc w:val="both"/>
      </w:pPr>
      <w:r>
        <w:rPr>
          <w:rFonts w:ascii="Times New Roman" w:hAnsi="Times New Roman" w:eastAsia="Times New Roman"/>
          <w:b w:val="0"/>
          <w:i w:val="0"/>
          <w:color w:val="1A5F7A"/>
          <w:sz w:val="24"/>
        </w:rPr>
        <w:t xml:space="preserve">•  </w:t>
      </w:r>
      <w:r>
        <w:rPr>
          <w:rFonts w:ascii="Times New Roman" w:hAnsi="Times New Roman" w:eastAsia="Times New Roman"/>
          <w:b/>
          <w:i w:val="0"/>
          <w:color w:val="1A1A1A"/>
          <w:sz w:val="24"/>
        </w:rPr>
        <w:t>Índices:</w:t>
      </w:r>
      <w:r>
        <w:rPr>
          <w:rFonts w:ascii="Times New Roman" w:hAnsi="Times New Roman" w:eastAsia="Times New Roman"/>
          <w:b w:val="0"/>
          <w:i w:val="0"/>
          <w:color w:val="1A1A1A"/>
          <w:sz w:val="24"/>
        </w:rPr>
        <w:t xml:space="preserve"> equipo_id, fecha_movimiento, proxima_fecha, nivel_riesgo, horas_uso y errores_smart, orientados a reportes y a consultas del modelo.</w:t>
      </w:r>
    </w:p>
    <w:p>
      <w:pPr>
        <w:spacing w:before="0" w:after="80" w:line="276" w:lineRule="auto"/>
        <w:ind w:left="567" w:hanging="227"/>
        <w:jc w:val="both"/>
      </w:pPr>
      <w:r>
        <w:rPr>
          <w:rFonts w:ascii="Times New Roman" w:hAnsi="Times New Roman" w:eastAsia="Times New Roman"/>
          <w:b w:val="0"/>
          <w:i w:val="0"/>
          <w:color w:val="1A5F7A"/>
          <w:sz w:val="24"/>
        </w:rPr>
        <w:t xml:space="preserve">•  </w:t>
      </w:r>
      <w:r>
        <w:rPr>
          <w:rFonts w:ascii="Times New Roman" w:hAnsi="Times New Roman" w:eastAsia="Times New Roman"/>
          <w:b/>
          <w:i w:val="0"/>
          <w:color w:val="1A1A1A"/>
          <w:sz w:val="24"/>
        </w:rPr>
        <w:t>Unicidad:</w:t>
      </w:r>
      <w:r>
        <w:rPr>
          <w:rFonts w:ascii="Times New Roman" w:hAnsi="Times New Roman" w:eastAsia="Times New Roman"/>
          <w:b w:val="0"/>
          <w:i w:val="0"/>
          <w:color w:val="1A1A1A"/>
          <w:sz w:val="24"/>
        </w:rPr>
        <w:t xml:space="preserve"> codigo_patrimonial, usuario, nombre de área y numero_ficha.</w:t>
      </w:r>
    </w:p>
    <w:p>
      <w:pPr>
        <w:spacing w:before="0" w:after="160" w:line="360" w:lineRule="auto"/>
        <w:ind w:firstLine="425"/>
        <w:jc w:val="both"/>
      </w:pPr>
      <w:r>
        <w:rPr>
          <w:rFonts w:ascii="Times New Roman" w:hAnsi="Times New Roman" w:eastAsia="Times New Roman"/>
          <w:b w:val="0"/>
          <w:i w:val="0"/>
          <w:color w:val="1A1A1A"/>
          <w:sz w:val="24"/>
        </w:rPr>
        <w:t>En el gestor, el diagrama entidad-relación físico es exactamente el conjunto de tablas v2_* unidas por esas claves foráneas. Esa es la evidencia de que el modelo conceptual y el lógico no se quedaron en el papel: están creados, con motor transaccional, y son los que usa la API V2 en tiempo de ejecución.</w:t>
      </w:r>
    </w:p>
    <w:p>
      <w:pPr>
        <w:spacing w:before="360" w:after="160" w:line="276" w:lineRule="auto"/>
        <w:ind w:firstLine="0"/>
        <w:jc w:val="left"/>
        <w:pBdr>
          <w:bottom w:val="single" w:sz="8" w:space="4" w:color="1A5F7A"/>
        </w:pBdr>
      </w:pPr>
      <w:r>
        <w:rPr>
          <w:rFonts w:ascii="Times New Roman" w:hAnsi="Times New Roman" w:eastAsia="Times New Roman"/>
          <w:b/>
          <w:i w:val="0"/>
          <w:color w:val="1F3A5F"/>
          <w:sz w:val="32"/>
        </w:rPr>
        <w:t>4.3.  Síntesis para la defensa</w:t>
      </w:r>
    </w:p>
    <w:p>
      <w:pPr>
        <w:spacing w:before="0" w:after="160" w:line="360" w:lineRule="auto"/>
        <w:ind w:firstLine="425"/>
        <w:jc w:val="both"/>
      </w:pPr>
      <w:r>
        <w:rPr>
          <w:rFonts w:ascii="Times New Roman" w:hAnsi="Times New Roman" w:eastAsia="Times New Roman"/>
          <w:b w:val="0"/>
          <w:i w:val="0"/>
          <w:color w:val="1A1A1A"/>
          <w:sz w:val="24"/>
        </w:rPr>
        <w:t>La arquitectura de Sigemad MPA V2 es de tres capas con API REST y un microservicio de machine learning opcional. El backend replica el MVC sin Laravel; el frontend se organiza por dominios de negocio. La base de datos se diseñó en modelo conceptual, lógico y físico, con normalización de catálogos en la fase 1 y tablas intermedias con atributos para las relaciones muchos a muchos históricas en la fase 2. El dato sirve a la vez a la operación municipal y al modelo predictivo, y el sistema sigue operando si el servicio de inteligencia no está disponible.</w:t>
      </w:r>
    </w:p>
    <w:p>
      <w:pPr>
        <w:spacing w:before="360" w:after="160" w:line="276" w:lineRule="auto"/>
        <w:ind w:firstLine="0"/>
        <w:jc w:val="left"/>
        <w:pBdr>
          <w:bottom w:val="single" w:sz="8" w:space="4" w:color="1A5F7A"/>
        </w:pBdr>
      </w:pPr>
      <w:r>
        <w:rPr>
          <w:rFonts w:ascii="Times New Roman" w:hAnsi="Times New Roman" w:eastAsia="Times New Roman"/>
          <w:b/>
          <w:i w:val="0"/>
          <w:color w:val="1F3A5F"/>
          <w:sz w:val="32"/>
        </w:rPr>
        <w:t>Referencias de diseño del repositorio</w:t>
      </w:r>
    </w:p>
    <w:p>
      <w:pPr>
        <w:spacing w:before="0" w:after="80" w:line="276" w:lineRule="auto"/>
        <w:ind w:left="567" w:hanging="567"/>
        <w:jc w:val="both"/>
      </w:pPr>
      <w:r>
        <w:rPr>
          <w:rFonts w:ascii="Times New Roman" w:hAnsi="Times New Roman" w:eastAsia="Times New Roman"/>
          <w:b w:val="0"/>
          <w:i w:val="0"/>
          <w:color w:val="1A1A1A"/>
          <w:sz w:val="22"/>
        </w:rPr>
        <w:t>[1]  ADR-001. Stack y arquitectura V2. documents/02_diseno/adr/ADR-001-stack-arquitectura.md</w:t>
      </w:r>
    </w:p>
    <w:p>
      <w:pPr>
        <w:spacing w:before="0" w:after="80" w:line="276" w:lineRule="auto"/>
        <w:ind w:left="567" w:hanging="567"/>
        <w:jc w:val="both"/>
      </w:pPr>
      <w:r>
        <w:rPr>
          <w:rFonts w:ascii="Times New Roman" w:hAnsi="Times New Roman" w:eastAsia="Times New Roman"/>
          <w:b w:val="0"/>
          <w:i w:val="0"/>
          <w:color w:val="1A1A1A"/>
          <w:sz w:val="22"/>
        </w:rPr>
        <w:t>[2]  Arquitectura V2. documents/02_diseno/architecture.md</w:t>
      </w:r>
    </w:p>
    <w:p>
      <w:pPr>
        <w:spacing w:before="0" w:after="80" w:line="276" w:lineRule="auto"/>
        <w:ind w:left="567" w:hanging="567"/>
        <w:jc w:val="both"/>
      </w:pPr>
      <w:r>
        <w:rPr>
          <w:rFonts w:ascii="Times New Roman" w:hAnsi="Times New Roman" w:eastAsia="Times New Roman"/>
          <w:b w:val="0"/>
          <w:i w:val="0"/>
          <w:color w:val="1A1A1A"/>
          <w:sz w:val="22"/>
        </w:rPr>
        <w:t>[3]  Prompt D-001. Modelo de datos V2. prompts/02_diseno/D-001_modelo_datos_v1.md</w:t>
      </w:r>
    </w:p>
    <w:p>
      <w:pPr>
        <w:spacing w:before="0" w:after="80" w:line="276" w:lineRule="auto"/>
        <w:ind w:left="567" w:hanging="567"/>
        <w:jc w:val="both"/>
      </w:pPr>
      <w:r>
        <w:rPr>
          <w:rFonts w:ascii="Times New Roman" w:hAnsi="Times New Roman" w:eastAsia="Times New Roman"/>
          <w:b w:val="0"/>
          <w:i w:val="0"/>
          <w:color w:val="1A1A1A"/>
          <w:sz w:val="22"/>
        </w:rPr>
        <w:t>[4]  Prompt D-002. Decisión de arquitectura. prompts/02_diseno/D-002_decision_arquitectura_v1.md</w:t>
      </w:r>
    </w:p>
    <w:p>
      <w:pPr>
        <w:spacing w:before="0" w:after="80" w:line="276" w:lineRule="auto"/>
        <w:ind w:left="567" w:hanging="567"/>
        <w:jc w:val="both"/>
      </w:pPr>
      <w:r>
        <w:rPr>
          <w:rFonts w:ascii="Times New Roman" w:hAnsi="Times New Roman" w:eastAsia="Times New Roman"/>
          <w:b w:val="0"/>
          <w:i w:val="0"/>
          <w:color w:val="1A1A1A"/>
          <w:sz w:val="22"/>
        </w:rPr>
        <w:t>[5]  Ficha de proyecto SIGEMAD-MPA-V2. documents/01_requisitos/ficha-proyecto.md</w:t>
      </w:r>
    </w:p>
    <w:p>
      <w:pPr>
        <w:spacing w:before="0" w:after="80" w:line="276" w:lineRule="auto"/>
        <w:ind w:left="567" w:hanging="567"/>
        <w:jc w:val="both"/>
      </w:pPr>
      <w:r>
        <w:rPr>
          <w:rFonts w:ascii="Times New Roman" w:hAnsi="Times New Roman" w:eastAsia="Times New Roman"/>
          <w:b w:val="0"/>
          <w:i w:val="0"/>
          <w:color w:val="1A1A1A"/>
          <w:sz w:val="22"/>
        </w:rPr>
        <w:t>[6]  Esquema físico. backend/sql/v2_estructura.sql y scripts complementarios v2_*.sql</w:t>
      </w:r>
    </w:p>
    <w:sectPr w:rsidR="00FC693F" w:rsidRPr="0006063C" w:rsidSect="00034616">
      <w:headerReference w:type="default" r:id="rId9"/>
      <w:footerReference w:type="default" r:id="rId10"/>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4A5568"/>
        <w:sz w:val="18"/>
      </w:rPr>
      <w:t>Municipalidad Provincial de Acobamba</w:t>
    </w:r>
    <w:r>
      <w:rPr>
        <w:rFonts w:ascii="Times New Roman" w:hAnsi="Times New Roman" w:eastAsia="Times New Roman"/>
        <w:b w:val="0"/>
        <w:i w:val="0"/>
        <w:color w:val="4A5568"/>
        <w:sz w:val="18"/>
      </w:rPr>
      <w:t xml:space="preserve">     —     </w:t>
    </w:r>
    <w:r>
      <w:rPr>
        <w:rFonts w:ascii="Times New Roman" w:hAnsi="Times New Roman" w:eastAsia="Times New Roman"/>
        <w:b w:val="0"/>
        <w:i w:val="0"/>
        <w:color w:val="4A5568"/>
        <w:sz w:val="2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val="0"/>
        <w:i/>
        <w:color w:val="4A5568"/>
        <w:sz w:val="18"/>
      </w:rPr>
      <w:t>Sigemad MPA V2  ·  Intervención metodológica  ·  Diseño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