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8B0000"/>
          <w:sz w:val="48"/>
          <w:szCs w:val="48"/>
        </w:rPr>
        <w:t xml:space="preserve">PACIFIC GROUP</w:t>
      </w:r>
    </w:p>
    <w:p>
      <w:pPr>
        <w:spacing w:after="6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Information Technology Department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IT Strategy Document</w:t>
      </w:r>
    </w:p>
    <w:p>
      <w:pPr>
        <w:spacing w:after="60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FY2025–2027</w:t>
      </w:r>
    </w:p>
    <w:p>
      <w:pPr>
        <w:pBdr>
          <w:bottom w:val="single" w:color="993C1D" w:sz="8" w:space="1"/>
        </w:pBdr>
        <w:spacing w:after="300"/>
      </w:pPr>
    </w:p>
    <w:p>
      <w:pPr>
        <w:spacing w:after="6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CONFIDENTIAL — EXECUTIVE AND IT DIRECTOR ACCESS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PG-IT-GOV-001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Level 3 — IT Executives Only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Information Technology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Strategy Period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FY2025–2027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 Director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Chief Executive Officer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993C1D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993C1D"/>
          <w:sz w:val="36"/>
          <w:szCs w:val="36"/>
        </w:rPr>
        <w:t xml:space="preserve">1. Executive Summary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IT Strategy sets out Pacific Group's technology direction for the FY2025–2027 period. It aligns IT investment and capability development with the company's mission to deliver world-class marine technology solutions. The strategy focuses on three pillars: operational resilience, data-driven innovation, and security maturity.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planned IT investment across the strategy period is AUD $4.2M, subject to annual budget approval by the Board. The IT Director is accountable for delivery against this strategy.</w:t>
      </w:r>
    </w:p>
    <w:p>
      <w:pPr>
        <w:pStyle w:val="Heading1"/>
        <w:pBdr>
          <w:bottom w:val="single" w:color="993C1D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993C1D"/>
          <w:sz w:val="36"/>
          <w:szCs w:val="36"/>
        </w:rPr>
        <w:t xml:space="preserve">2. Business Context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Pacific Group operates at the intersection of ocean science and technology. Our customers include government agencies, environmental research institutions, and commercial maritime operators across the Asia-Pacific region.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business drivers influencing this strategy: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Growing demand for real-time ocean data analytics from government and commercial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Expansion into Southeast Asian markets requiring scalable, cloud-native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Increasing regulatory requirements around data sovereignty and environmental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Competitive pressure from well-funded international marine tech firms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993C1D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993C1D"/>
          <w:sz w:val="36"/>
          <w:szCs w:val="36"/>
        </w:rPr>
        <w:t xml:space="preserve">3. Strategic Pillars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Pillar 1 — Operational Resilience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 will modernise our core infrastructure to eliminate single points of failure and achieve the availability targets committed to in our client SLAs. Key initiatives: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Migrate on-premises data centre workloads to a hybrid cloud architecture (AWS + Azure) by Q3 2025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zero-trust network architecture across all environments by Q4 2025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Establish a 24/7 monitoring capability with automated alerting by Q2 2025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Achieve ISO 27001 certification by Q2 2026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Pillar 2 — Data-Driven Innovation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Pacific Group's competitive advantage lies in our ability to collect, process, and interpret marine data at scale. IT will enable the business to unlock more value from data: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 centralised marine data lake capable of ingesting 10TB+ per month of sensor data by Q1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AI-assisted anomaly detection for environmental monitoring platforms by Q3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Establish an internal RAG-based knowledge system for IT and Operations teams in FY2025 (this document)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Partner with the Research team to prototype ocean current prediction models using ML by Q4 2026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Pillar 3 — Security Maturity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Pacific Group's data assets grow, so does our attack surface. We will invest in maturing our security posture: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a Security Operations Centre (SOC) function — initially outsourced, in-housed by FY2027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Achieve 100% MFA adoption across all systems by Q1 2025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Conduct annual third-party penetration testing from Q2 2025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Establish a formal vulnerability disclosure programme by Q3 2025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993C1D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993C1D"/>
          <w:sz w:val="36"/>
          <w:szCs w:val="36"/>
        </w:rPr>
        <w:t xml:space="preserve">4. Technology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20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Q1–Q2 2025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Q3–Q4 2025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FY2026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FY2027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Migration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Planning &amp; design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Workload migration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Optimisation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Cost efficiency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Trust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Policy design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Rollout Phase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Rollout Phase 2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maturity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Marine Data Lake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&amp; test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Production + AI models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Expansion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 / Security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 provider RFP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Outsourced SOC live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in-house team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 in-house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ISO 27001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Gap analysis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Certification audit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Surveillance audit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993C1D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993C1D"/>
          <w:sz w:val="36"/>
          <w:szCs w:val="36"/>
        </w:rPr>
        <w:t xml:space="preserve">5. Budget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20"/>
        <w:gridCol w:w="1620"/>
        <w:gridCol w:w="1620"/>
        <w:gridCol w:w="100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FY2025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FY2026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FY2027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Infrastructure &amp; Cloud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$480K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$390K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$310K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$1.18M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&amp; Compliance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$280K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$350K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$320K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$950K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&amp; Analytics Platforms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$210K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$480K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$360K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$1.05M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Software &amp; Licences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$180K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$190K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$195K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$565K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People &amp; Training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$120K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$145K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$150K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$415K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$1.27M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$1.555M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$1.335M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$4.16M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993C1D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993C1D"/>
          <w:sz w:val="36"/>
          <w:szCs w:val="36"/>
        </w:rPr>
        <w:t xml:space="preserve">6. Governance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Progress against this strategy is reported quarterly to the Executive Leadership Team and bi-annually to the Board Audit and Risk Committee. The IT Director is accountable for all initiatives. Major deviations from budget or timeline require CEO approval.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top w:val="single" w:color="993C1D" w:sz="2" w:space="1"/>
        </w:pBdr>
        <w:spacing w:before="200"/>
      </w:pPr>
      <w:r>
        <w:rPr>
          <w:rFonts w:ascii="Arial" w:cs="Arial" w:eastAsia="Arial" w:hAnsi="Arial"/>
          <w:color w:val="993C1D"/>
          <w:sz w:val="16"/>
          <w:szCs w:val="16"/>
        </w:rPr>
        <w:t xml:space="preserve">Pacific Group — CONFIDENTIAL | IT Department | Document: PG-IT-GOV-001 | Version 1.0 | Level 3 Executive Access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2026-03-29T08:26:12.154Z</dcterms:created>
  <dcterms:modified xsi:type="dcterms:W3CDTF">2026-03-29T08:26:12.154Z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