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85FA5"/>
          <w:sz w:val="48"/>
          <w:szCs w:val="48"/>
        </w:rPr>
        <w:t xml:space="preserve">PACIFIC GROUP</w:t>
      </w:r>
    </w:p>
    <w:p>
      <w:pPr>
        <w:spacing w:after="60"/>
      </w:pPr>
      <w:r>
        <w:rPr>
          <w:rFonts w:ascii="Arial" w:cs="Arial" w:eastAsia="Arial" w:hAnsi="Arial"/>
          <w:color w:val="555555"/>
          <w:sz w:val="24"/>
          <w:szCs w:val="24"/>
        </w:rPr>
        <w:t xml:space="preserve">Information Technology Department</w:t>
      </w:r>
    </w:p>
    <w:p>
      <w:pPr>
        <w:spacing w:after="60"/>
      </w:pPr>
      <w:r>
        <w:t xml:space="preserve"/>
      </w:r>
    </w:p>
    <w:p>
      <w:pPr>
        <w:spacing w:after="80"/>
      </w:pPr>
      <w:r>
        <w:rPr>
          <w:rFonts w:ascii="Arial" w:cs="Arial" w:eastAsia="Arial" w:hAnsi="Arial"/>
          <w:b/>
          <w:bCs/>
          <w:color w:val="1A1A1A"/>
          <w:sz w:val="48"/>
          <w:szCs w:val="48"/>
        </w:rPr>
        <w:t xml:space="preserve">Risk Assessment &amp; Risk Register</w:t>
      </w:r>
    </w:p>
    <w:p>
      <w:pPr>
        <w:pBdr>
          <w:bottom w:val="single" w:color="185FA5" w:sz="8" w:space="1"/>
        </w:pBdr>
        <w:spacing w:after="300"/>
      </w:pP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Document ID</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PG-IT-SEC-001</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Access Level</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Level 2 — Leads &amp; Managers (IT)</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Department</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Information Technology</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Version</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Effective Date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 April 2025</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Review Date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 October 2025</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Document Owner</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IT Security Lead</w:t>
            </w:r>
          </w:p>
        </w:tc>
      </w:tr>
    </w:tbl>
    <w:p>
      <w:pPr>
        <w:spacing w:after="60"/>
      </w:pPr>
      <w:r>
        <w:t xml:space="preserve"/>
      </w:r>
    </w:p>
    <w:p>
      <w:pPr>
        <w:spacing w:after="60"/>
      </w:pPr>
      <w:r>
        <w:t xml:space="preserve"/>
      </w:r>
    </w:p>
    <w:p>
      <w:pPr>
        <w:pStyle w:val="Heading1"/>
        <w:pBdr>
          <w:bottom w:val="single" w:color="185FA5" w:sz="6" w:space="1"/>
        </w:pBdr>
        <w:spacing w:before="360" w:after="120"/>
      </w:pPr>
      <w:r>
        <w:rPr>
          <w:rFonts w:ascii="Arial" w:cs="Arial" w:eastAsia="Arial" w:hAnsi="Arial"/>
          <w:b/>
          <w:bCs/>
          <w:color w:val="185FA5"/>
          <w:sz w:val="36"/>
          <w:szCs w:val="36"/>
        </w:rPr>
        <w:t xml:space="preserve">1. Purpose</w:t>
      </w:r>
    </w:p>
    <w:p>
      <w:pPr>
        <w:spacing w:after="140"/>
      </w:pPr>
      <w:r>
        <w:rPr>
          <w:rFonts w:ascii="Arial" w:cs="Arial" w:eastAsia="Arial" w:hAnsi="Arial"/>
          <w:color w:val="1A1A1A"/>
          <w:sz w:val="22"/>
          <w:szCs w:val="22"/>
        </w:rPr>
        <w:t xml:space="preserve">This document records the current IT risk assessment for Pacific Group's Information Technology department. It identifies risks to IT systems, data, and operations, assesses their likelihood and impact, and documents the mitigation controls in place.</w:t>
      </w:r>
    </w:p>
    <w:p>
      <w:pPr>
        <w:spacing w:after="140"/>
      </w:pPr>
      <w:r>
        <w:rPr>
          <w:rFonts w:ascii="Arial" w:cs="Arial" w:eastAsia="Arial" w:hAnsi="Arial"/>
          <w:color w:val="1A1A1A"/>
          <w:sz w:val="22"/>
          <w:szCs w:val="22"/>
        </w:rPr>
        <w:t xml:space="preserve">This register is a restricted document. Access is limited to IT leads, managers, and department heads who have operational responsibility for risk controls.</w:t>
      </w:r>
    </w:p>
    <w:p>
      <w:pPr>
        <w:pStyle w:val="Heading1"/>
        <w:pBdr>
          <w:bottom w:val="single" w:color="185FA5" w:sz="6" w:space="1"/>
        </w:pBdr>
        <w:spacing w:before="360" w:after="120"/>
      </w:pPr>
      <w:r>
        <w:rPr>
          <w:rFonts w:ascii="Arial" w:cs="Arial" w:eastAsia="Arial" w:hAnsi="Arial"/>
          <w:b/>
          <w:bCs/>
          <w:color w:val="185FA5"/>
          <w:sz w:val="36"/>
          <w:szCs w:val="36"/>
        </w:rPr>
        <w:t xml:space="preserve">2. Risk Assessment Methodology</w:t>
      </w:r>
    </w:p>
    <w:p>
      <w:pPr>
        <w:pStyle w:val="Heading2"/>
        <w:spacing w:before="280" w:after="80"/>
      </w:pPr>
      <w:r>
        <w:rPr>
          <w:rFonts w:ascii="Arial" w:cs="Arial" w:eastAsia="Arial" w:hAnsi="Arial"/>
          <w:b/>
          <w:bCs/>
          <w:color w:val="1A1A1A"/>
          <w:sz w:val="26"/>
          <w:szCs w:val="26"/>
        </w:rPr>
        <w:t xml:space="preserve">2.1 Scoring</w:t>
      </w:r>
    </w:p>
    <w:p>
      <w:pPr>
        <w:spacing w:after="140"/>
      </w:pPr>
      <w:r>
        <w:rPr>
          <w:rFonts w:ascii="Arial" w:cs="Arial" w:eastAsia="Arial" w:hAnsi="Arial"/>
          <w:color w:val="1A1A1A"/>
          <w:sz w:val="22"/>
          <w:szCs w:val="22"/>
        </w:rPr>
        <w:t xml:space="preserve">Each risk is assessed using a 1–5 scale for both likelihood and impact. The risk score is calculated as: Likelihood x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3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48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Impact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Rare (once in 5+ years)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Negligible — no disruption to operations</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Unlikely (once in 2–5 years)</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Minor — small operational impact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Possible (once per year)</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Moderate — department affected temporarily</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Likely (multiple times per year)</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Significant — major service disruption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Almost certain (monthly)</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 — regulatory breach or data loss</w:t>
            </w:r>
          </w:p>
        </w:tc>
      </w:tr>
    </w:tbl>
    <w:p>
      <w:pPr>
        <w:spacing w:after="60"/>
      </w:pPr>
      <w:r>
        <w:t xml:space="preserve"/>
      </w:r>
    </w:p>
    <w:p>
      <w:pPr>
        <w:pStyle w:val="Heading2"/>
        <w:spacing w:before="280" w:after="80"/>
      </w:pPr>
      <w:r>
        <w:rPr>
          <w:rFonts w:ascii="Arial" w:cs="Arial" w:eastAsia="Arial" w:hAnsi="Arial"/>
          <w:b/>
          <w:bCs/>
          <w:color w:val="1A1A1A"/>
          <w:sz w:val="26"/>
          <w:szCs w:val="26"/>
        </w:rPr>
        <w:t xml:space="preserve">2.2 Risk Tolerance</w:t>
      </w:r>
    </w:p>
    <w:p>
      <w:pPr>
        <w:spacing w:after="140"/>
      </w:pPr>
      <w:r>
        <w:rPr>
          <w:rFonts w:ascii="Arial" w:cs="Arial" w:eastAsia="Arial" w:hAnsi="Arial"/>
          <w:color w:val="1A1A1A"/>
          <w:sz w:val="22"/>
          <w:szCs w:val="22"/>
        </w:rPr>
        <w:t xml:space="preserve">Risks with a score of 15 or above (High/Critical) require immediate executive escalation. Risks scored 8–14 (Medium) require active mitigation plans and quarterly review. Risks below 8 (Low) are accepted and monitored annually.</w:t>
      </w:r>
    </w:p>
    <w:p>
      <w:pPr>
        <w:pStyle w:val="Heading1"/>
        <w:pBdr>
          <w:bottom w:val="single" w:color="185FA5" w:sz="6" w:space="1"/>
        </w:pBdr>
        <w:spacing w:before="360" w:after="120"/>
      </w:pPr>
      <w:r>
        <w:rPr>
          <w:rFonts w:ascii="Arial" w:cs="Arial" w:eastAsia="Arial" w:hAnsi="Arial"/>
          <w:b/>
          <w:bCs/>
          <w:color w:val="185FA5"/>
          <w:sz w:val="36"/>
          <w:szCs w:val="36"/>
        </w:rPr>
        <w:t xml:space="preserve">3. IT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200"/>
        <w:gridCol w:w="800"/>
        <w:gridCol w:w="800"/>
        <w:gridCol w:w="1100"/>
        <w:gridCol w:w="2760"/>
      </w:tblGrid>
      <w:tr>
        <w:trPr>
          <w:tblHeader/>
        </w:trPr>
        <w:tc>
          <w:tcPr>
            <w:tcW w:type="dxa" w:w="7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2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Risk Description</w:t>
            </w:r>
          </w:p>
        </w:tc>
        <w:tc>
          <w:tcPr>
            <w:tcW w:type="dxa" w:w="12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8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8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1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27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Mitigation Controls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R-01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Ransomware attack on internal servers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Cybersecurity</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(HIGH)</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EDR tools, daily backups, staff phishing training, network segmentation</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R-02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Unauthorised data exfiltration by insider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 Security</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 (MED)</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DLP controls, access logging, least-privilege policy, quarterly access reviews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R-03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 service provider outage (M365)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Availability</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 (MED)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 monitoring, local cached data, incident comms plan</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R-04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Loss of marine sensor data in transit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 Integrity</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 (MED)</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Encrypted transmission, checksums, redundant data paths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R-05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Failure of on-premises backup systems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Continuity</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 (MED)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Offsite cloud backup, monthly restore testing, alert monitoring</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R-06</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Phishing attack leading to credential compromise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Cybersecurity</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 (MED)</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MFA enforced on all systems, security awareness training quarterly</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R-07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access to sensitive data without controls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Third-Party</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 (LOW)</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risk assessments, contractual data controls, limited access provisioning</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R-08</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Outdated software with known vulnerabilities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Compliance</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9 (MED)</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Monthly patching cycle, vulnerability scanner, EOL software tracking</w:t>
            </w:r>
          </w:p>
        </w:tc>
      </w:tr>
    </w:tbl>
    <w:p>
      <w:pPr>
        <w:spacing w:after="60"/>
      </w:pPr>
      <w:r>
        <w:t xml:space="preserve"/>
      </w:r>
    </w:p>
    <w:p>
      <w:pPr>
        <w:pStyle w:val="Heading1"/>
        <w:pBdr>
          <w:bottom w:val="single" w:color="185FA5" w:sz="6" w:space="1"/>
        </w:pBdr>
        <w:spacing w:before="360" w:after="120"/>
      </w:pPr>
      <w:r>
        <w:rPr>
          <w:rFonts w:ascii="Arial" w:cs="Arial" w:eastAsia="Arial" w:hAnsi="Arial"/>
          <w:b/>
          <w:bCs/>
          <w:color w:val="185FA5"/>
          <w:sz w:val="36"/>
          <w:szCs w:val="36"/>
        </w:rPr>
        <w:t xml:space="preserve">4. Risk Treatment Plan</w:t>
      </w:r>
    </w:p>
    <w:p>
      <w:pPr>
        <w:pStyle w:val="Heading2"/>
        <w:spacing w:before="280" w:after="80"/>
      </w:pPr>
      <w:r>
        <w:rPr>
          <w:rFonts w:ascii="Arial" w:cs="Arial" w:eastAsia="Arial" w:hAnsi="Arial"/>
          <w:b/>
          <w:bCs/>
          <w:color w:val="1A1A1A"/>
          <w:sz w:val="26"/>
          <w:szCs w:val="26"/>
        </w:rPr>
        <w:t xml:space="preserve">4.1 High Risks (Score 15+)</w:t>
      </w:r>
    </w:p>
    <w:p>
      <w:pPr>
        <w:spacing w:after="140"/>
      </w:pPr>
      <w:r>
        <w:rPr>
          <w:rFonts w:ascii="Arial" w:cs="Arial" w:eastAsia="Arial" w:hAnsi="Arial"/>
          <w:color w:val="1A1A1A"/>
          <w:sz w:val="22"/>
          <w:szCs w:val="22"/>
        </w:rPr>
        <w:t xml:space="preserve">R-01 (Ransomware) is the only current high-rated risk. The following additional controls are being implemented in Q2 2025:</w:t>
      </w:r>
    </w:p>
    <w:p>
      <w:pPr>
        <w:pStyle w:val="ListParagraph"/>
        <w:numPr>
          <w:ilvl w:val="0"/>
          <w:numId w:val="2"/>
        </w:numPr>
        <w:spacing w:after="80"/>
      </w:pPr>
      <w:r>
        <w:rPr>
          <w:rFonts w:ascii="Arial" w:cs="Arial" w:eastAsia="Arial" w:hAnsi="Arial"/>
          <w:color w:val="1A1A1A"/>
          <w:sz w:val="22"/>
          <w:szCs w:val="22"/>
        </w:rPr>
        <w:t xml:space="preserve">Deployment of zero-trust network segmentation across all IT subnets</w:t>
      </w:r>
    </w:p>
    <w:p>
      <w:pPr>
        <w:pStyle w:val="ListParagraph"/>
        <w:numPr>
          <w:ilvl w:val="0"/>
          <w:numId w:val="2"/>
        </w:numPr>
        <w:spacing w:after="80"/>
      </w:pPr>
      <w:r>
        <w:rPr>
          <w:rFonts w:ascii="Arial" w:cs="Arial" w:eastAsia="Arial" w:hAnsi="Arial"/>
          <w:color w:val="1A1A1A"/>
          <w:sz w:val="22"/>
          <w:szCs w:val="22"/>
        </w:rPr>
        <w:t xml:space="preserve">Implementation of immutable backup storage to prevent ransomware encryption of backups</w:t>
      </w:r>
    </w:p>
    <w:p>
      <w:pPr>
        <w:pStyle w:val="ListParagraph"/>
        <w:numPr>
          <w:ilvl w:val="0"/>
          <w:numId w:val="2"/>
        </w:numPr>
        <w:spacing w:after="80"/>
      </w:pPr>
      <w:r>
        <w:rPr>
          <w:rFonts w:ascii="Arial" w:cs="Arial" w:eastAsia="Arial" w:hAnsi="Arial"/>
          <w:color w:val="1A1A1A"/>
          <w:sz w:val="22"/>
          <w:szCs w:val="22"/>
        </w:rPr>
        <w:t xml:space="preserve">Mandatory annual tabletop exercises simulating a ransomware event for all IT leads</w:t>
      </w:r>
    </w:p>
    <w:p>
      <w:pPr>
        <w:spacing w:after="60"/>
      </w:pPr>
      <w:r>
        <w:t xml:space="preserve"/>
      </w:r>
    </w:p>
    <w:p>
      <w:pPr>
        <w:pStyle w:val="Heading2"/>
        <w:spacing w:before="280" w:after="80"/>
      </w:pPr>
      <w:r>
        <w:rPr>
          <w:rFonts w:ascii="Arial" w:cs="Arial" w:eastAsia="Arial" w:hAnsi="Arial"/>
          <w:b/>
          <w:bCs/>
          <w:color w:val="1A1A1A"/>
          <w:sz w:val="26"/>
          <w:szCs w:val="26"/>
        </w:rPr>
        <w:t xml:space="preserve">4.2 Medium Risks (Score 8–14)</w:t>
      </w:r>
    </w:p>
    <w:p>
      <w:pPr>
        <w:spacing w:after="140"/>
      </w:pPr>
      <w:r>
        <w:rPr>
          <w:rFonts w:ascii="Arial" w:cs="Arial" w:eastAsia="Arial" w:hAnsi="Arial"/>
          <w:color w:val="1A1A1A"/>
          <w:sz w:val="22"/>
          <w:szCs w:val="22"/>
        </w:rPr>
        <w:t xml:space="preserve">All medium risks have active owners assigned and are reviewed at the monthly IT Governance meeting. Mitigation progress is reported to the IT Director.</w:t>
      </w:r>
    </w:p>
    <w:p>
      <w:pPr>
        <w:pStyle w:val="Heading1"/>
        <w:pBdr>
          <w:bottom w:val="single" w:color="185FA5" w:sz="6" w:space="1"/>
        </w:pBdr>
        <w:spacing w:before="360" w:after="120"/>
      </w:pPr>
      <w:r>
        <w:rPr>
          <w:rFonts w:ascii="Arial" w:cs="Arial" w:eastAsia="Arial" w:hAnsi="Arial"/>
          <w:b/>
          <w:bCs/>
          <w:color w:val="185FA5"/>
          <w:sz w:val="36"/>
          <w:szCs w:val="36"/>
        </w:rPr>
        <w:t xml:space="preserve">5. Review Schedule</w:t>
      </w:r>
    </w:p>
    <w:p>
      <w:pPr>
        <w:spacing w:after="140"/>
      </w:pPr>
      <w:r>
        <w:rPr>
          <w:rFonts w:ascii="Arial" w:cs="Arial" w:eastAsia="Arial" w:hAnsi="Arial"/>
          <w:color w:val="1A1A1A"/>
          <w:sz w:val="22"/>
          <w:szCs w:val="22"/>
        </w:rPr>
        <w:t xml:space="preserve">This risk register is reviewed in full every six months and updated following any significant security incident, infrastructure change, or audit finding. The IT Security Lead is responsible for maintaining this document.</w:t>
      </w:r>
    </w:p>
    <w:p>
      <w:pPr>
        <w:spacing w:after="60"/>
      </w:pPr>
      <w:r>
        <w:t xml:space="preserve"/>
      </w:r>
    </w:p>
    <w:p>
      <w:pPr>
        <w:spacing w:after="60"/>
      </w:pPr>
      <w:r>
        <w:t xml:space="preserve"/>
      </w:r>
    </w:p>
    <w:p>
      <w:pPr>
        <w:pBdr>
          <w:top w:val="single" w:color="CCCCCC" w:sz="2" w:space="1"/>
        </w:pBdr>
        <w:spacing w:before="200"/>
      </w:pPr>
      <w:r>
        <w:rPr>
          <w:rFonts w:ascii="Arial" w:cs="Arial" w:eastAsia="Arial" w:hAnsi="Arial"/>
          <w:color w:val="555555"/>
          <w:sz w:val="16"/>
          <w:szCs w:val="16"/>
        </w:rPr>
        <w:t xml:space="preserve">Pacific Group — RESTRICTED | IT Department | Document: PG-IT-SEC-001 | Version 1.0 | Level 2 Access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6"/>
      <w:szCs w:val="36"/>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2026-03-29T08:26:11.969Z</dcterms:created>
  <dcterms:modified xsi:type="dcterms:W3CDTF">2026-03-29T08:26:11.969Z</dcterms:modified>
</cp:coreProperties>
</file>

<file path=docProps/custom.xml><?xml version="1.0" encoding="utf-8"?>
<Properties xmlns="http://schemas.openxmlformats.org/officeDocument/2006/custom-properties" xmlns:vt="http://schemas.openxmlformats.org/officeDocument/2006/docPropsVTypes"/>
</file>