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B0000"/>
          <w:sz w:val="48"/>
          <w:szCs w:val="48"/>
        </w:rPr>
        <w:t xml:space="preserve">PACIFIC GROUP</w:t>
      </w:r>
    </w:p>
    <w:p>
      <w:pPr>
        <w:spacing w:after="60"/>
      </w:pPr>
      <w:r>
        <w:rPr>
          <w:rFonts w:ascii="Arial" w:cs="Arial" w:eastAsia="Arial" w:hAnsi="Arial"/>
          <w:color w:val="555555"/>
          <w:sz w:val="24"/>
          <w:szCs w:val="24"/>
        </w:rPr>
        <w:t xml:space="preserve">Information Technology Department</w:t>
      </w:r>
    </w:p>
    <w:p>
      <w:pPr>
        <w:spacing w:after="60"/>
      </w:pPr>
      <w:r>
        <w:t xml:space="preserve"/>
      </w:r>
    </w:p>
    <w:p>
      <w:pPr>
        <w:spacing w:after="80"/>
      </w:pPr>
      <w:r>
        <w:rPr>
          <w:rFonts w:ascii="Arial" w:cs="Arial" w:eastAsia="Arial" w:hAnsi="Arial"/>
          <w:b/>
          <w:bCs/>
          <w:color w:val="1A1A1A"/>
          <w:sz w:val="52"/>
          <w:szCs w:val="52"/>
        </w:rPr>
        <w:t xml:space="preserve">Business Continuity Plan</w:t>
      </w:r>
    </w:p>
    <w:p>
      <w:pPr>
        <w:pBdr>
          <w:bottom w:val="single" w:color="993C1D" w:sz="8" w:space="1"/>
        </w:pBdr>
        <w:spacing w:after="300"/>
      </w:pPr>
    </w:p>
    <w:p>
      <w:pPr>
        <w:spacing w:after="60"/>
      </w:pPr>
      <w:r>
        <w:t xml:space="preserve"/>
      </w:r>
    </w:p>
    <w:p>
      <w:pPr>
        <w:spacing w:after="200"/>
      </w:pPr>
      <w:r>
        <w:rPr>
          <w:rFonts w:ascii="Arial" w:cs="Arial" w:eastAsia="Arial" w:hAnsi="Arial"/>
          <w:b/>
          <w:bCs/>
          <w:caps w:val="false"/>
          <w:color w:val="993C1D"/>
          <w:sz w:val="22"/>
          <w:szCs w:val="22"/>
        </w:rPr>
        <w:t xml:space="preserve">CONFIDENTIAL — EXECUTIVE AND IT DIRECTOR ACCESS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ID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PG-IT-GOV-005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Access Level</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Level 3 — IT Executives Only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Department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Information Technology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Classification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Confidential</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Effective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Review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2026</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IT Director</w:t>
            </w:r>
          </w:p>
        </w:tc>
      </w:tr>
    </w:tbl>
    <w:p>
      <w:pPr>
        <w:spacing w:after="60"/>
      </w:pPr>
      <w:r>
        <w:t xml:space="preserve"/>
      </w:r>
    </w:p>
    <w:p>
      <w:pPr>
        <w:spacing w:after="60"/>
      </w:pPr>
      <w:r>
        <w:t xml:space="preserve"/>
      </w:r>
    </w:p>
    <w:p>
      <w:pPr>
        <w:pStyle w:val="Heading1"/>
        <w:pBdr>
          <w:bottom w:val="single" w:color="993C1D" w:sz="6" w:space="1"/>
        </w:pBdr>
        <w:spacing w:before="360" w:after="120"/>
      </w:pPr>
      <w:r>
        <w:rPr>
          <w:rFonts w:ascii="Arial" w:cs="Arial" w:eastAsia="Arial" w:hAnsi="Arial"/>
          <w:b/>
          <w:bCs/>
          <w:color w:val="993C1D"/>
          <w:sz w:val="36"/>
          <w:szCs w:val="36"/>
        </w:rPr>
        <w:t xml:space="preserve">1. Introduction</w:t>
      </w:r>
    </w:p>
    <w:p>
      <w:pPr>
        <w:spacing w:after="140"/>
      </w:pPr>
      <w:r>
        <w:rPr>
          <w:rFonts w:ascii="Arial" w:cs="Arial" w:eastAsia="Arial" w:hAnsi="Arial"/>
          <w:color w:val="1A1A1A"/>
          <w:sz w:val="22"/>
          <w:szCs w:val="22"/>
        </w:rPr>
        <w:t xml:space="preserve">This Business Continuity Plan (BCP) defines how Pacific Group's IT Department will maintain or restore critical IT operations during a disruptive event. This document is classified as Confidential and is restricted to IT executives, the IT Director, and the Executive Leadership Team.</w:t>
      </w:r>
    </w:p>
    <w:p>
      <w:pPr>
        <w:spacing w:after="140"/>
      </w:pPr>
      <w:r>
        <w:rPr>
          <w:rFonts w:ascii="Arial" w:cs="Arial" w:eastAsia="Arial" w:hAnsi="Arial"/>
          <w:color w:val="1A1A1A"/>
          <w:sz w:val="22"/>
          <w:szCs w:val="22"/>
        </w:rPr>
        <w:t xml:space="preserve">Pacific Group's marine technology operations depend on continuous IT availability. Disruptions to core systems may affect vessel data feeds, research data pipelines, operational communications, and regulatory reporting obligations.</w:t>
      </w:r>
    </w:p>
    <w:p>
      <w:pPr>
        <w:pStyle w:val="Heading1"/>
        <w:pBdr>
          <w:bottom w:val="single" w:color="993C1D" w:sz="6" w:space="1"/>
        </w:pBdr>
        <w:spacing w:before="360" w:after="120"/>
      </w:pPr>
      <w:r>
        <w:rPr>
          <w:rFonts w:ascii="Arial" w:cs="Arial" w:eastAsia="Arial" w:hAnsi="Arial"/>
          <w:b/>
          <w:bCs/>
          <w:color w:val="993C1D"/>
          <w:sz w:val="36"/>
          <w:szCs w:val="36"/>
        </w:rPr>
        <w:t xml:space="preserve">2. Business Impact Analysis</w:t>
      </w:r>
    </w:p>
    <w:p>
      <w:pPr>
        <w:pStyle w:val="Heading2"/>
        <w:spacing w:before="280" w:after="80"/>
      </w:pPr>
      <w:r>
        <w:rPr>
          <w:rFonts w:ascii="Arial" w:cs="Arial" w:eastAsia="Arial" w:hAnsi="Arial"/>
          <w:b/>
          <w:bCs/>
          <w:color w:val="1A1A1A"/>
          <w:sz w:val="26"/>
          <w:szCs w:val="26"/>
        </w:rPr>
        <w:t xml:space="preserve">2.1 Critical IT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18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20"/>
                <w:szCs w:val="20"/>
              </w:rPr>
              <w:t xml:space="preserve">RTO</w:t>
            </w:r>
          </w:p>
        </w:tc>
        <w:tc>
          <w:tcPr>
            <w:tcW w:type="dxa" w:w="18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20"/>
                <w:szCs w:val="20"/>
              </w:rPr>
              <w:t xml:space="preserve">RPO</w:t>
            </w:r>
          </w:p>
        </w:tc>
        <w:tc>
          <w:tcPr>
            <w:tcW w:type="dxa" w:w="316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20"/>
                <w:szCs w:val="20"/>
              </w:rPr>
              <w:t xml:space="preserve">Impact of Outage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MariData Platform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hours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hour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Loss of marine sensor feeds; operational blindness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(Microsoft 365)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hours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hours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 and external communication failure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VPN / Remote Access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hours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Remote staff cannot access systems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File Storage (SharePoint)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 hours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hours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Inability to access project files and documentation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Service Portal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hours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Staff cannot log support issues; workaround via phone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Financial Systems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 hours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hours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Payroll and billing disruption</w:t>
            </w:r>
          </w:p>
        </w:tc>
      </w:tr>
    </w:tbl>
    <w:p>
      <w:pPr>
        <w:spacing w:after="60"/>
      </w:pPr>
      <w:r>
        <w:t xml:space="preserve"/>
      </w:r>
    </w:p>
    <w:p>
      <w:pPr>
        <w:pStyle w:val="Heading1"/>
        <w:pBdr>
          <w:bottom w:val="single" w:color="993C1D" w:sz="6" w:space="1"/>
        </w:pBdr>
        <w:spacing w:before="360" w:after="120"/>
      </w:pPr>
      <w:r>
        <w:rPr>
          <w:rFonts w:ascii="Arial" w:cs="Arial" w:eastAsia="Arial" w:hAnsi="Arial"/>
          <w:b/>
          <w:bCs/>
          <w:color w:val="993C1D"/>
          <w:sz w:val="36"/>
          <w:szCs w:val="36"/>
        </w:rPr>
        <w:t xml:space="preserve">3. Continuity Strategies</w:t>
      </w:r>
    </w:p>
    <w:p>
      <w:pPr>
        <w:pStyle w:val="Heading2"/>
        <w:spacing w:before="280" w:after="80"/>
      </w:pPr>
      <w:r>
        <w:rPr>
          <w:rFonts w:ascii="Arial" w:cs="Arial" w:eastAsia="Arial" w:hAnsi="Arial"/>
          <w:b/>
          <w:bCs/>
          <w:color w:val="1A1A1A"/>
          <w:sz w:val="26"/>
          <w:szCs w:val="26"/>
        </w:rPr>
        <w:t xml:space="preserve">3.1 Scenario 1 — Cyber Incident (Ransomware)</w:t>
      </w:r>
    </w:p>
    <w:p>
      <w:pPr>
        <w:spacing w:after="140"/>
      </w:pPr>
      <w:r>
        <w:rPr>
          <w:rFonts w:ascii="Arial" w:cs="Arial" w:eastAsia="Arial" w:hAnsi="Arial"/>
          <w:color w:val="1A1A1A"/>
          <w:sz w:val="22"/>
          <w:szCs w:val="22"/>
        </w:rPr>
        <w:t xml:space="preserve">Immediate action: Isolate affected systems from the network. Activate the Incident Response Team. Contact the IT Director and CEO within 30 minutes. Engage the cyber insurance provider and forensic partner (RetainedPartner: CyberResponse Pty Ltd — contact in Appendix A).</w:t>
      </w:r>
    </w:p>
    <w:p>
      <w:pPr>
        <w:spacing w:after="140"/>
      </w:pPr>
      <w:r>
        <w:rPr>
          <w:rFonts w:ascii="Arial" w:cs="Arial" w:eastAsia="Arial" w:hAnsi="Arial"/>
          <w:color w:val="1A1A1A"/>
          <w:sz w:val="22"/>
          <w:szCs w:val="22"/>
        </w:rPr>
        <w:t xml:space="preserve">Recovery path: Restore from immutable offsite backups. Rebuild affected servers in cloud environment. Restore services in order of criticality: MariData, Email, VPN, File Storage, Service Portal.</w:t>
      </w:r>
    </w:p>
    <w:p>
      <w:pPr>
        <w:pStyle w:val="Heading2"/>
        <w:spacing w:before="280" w:after="80"/>
      </w:pPr>
      <w:r>
        <w:rPr>
          <w:rFonts w:ascii="Arial" w:cs="Arial" w:eastAsia="Arial" w:hAnsi="Arial"/>
          <w:b/>
          <w:bCs/>
          <w:color w:val="1A1A1A"/>
          <w:sz w:val="26"/>
          <w:szCs w:val="26"/>
        </w:rPr>
        <w:t xml:space="preserve">3.2 Scenario 2 — Data Centre Failure</w:t>
      </w:r>
    </w:p>
    <w:p>
      <w:pPr>
        <w:spacing w:after="140"/>
      </w:pPr>
      <w:r>
        <w:rPr>
          <w:rFonts w:ascii="Arial" w:cs="Arial" w:eastAsia="Arial" w:hAnsi="Arial"/>
          <w:color w:val="1A1A1A"/>
          <w:sz w:val="22"/>
          <w:szCs w:val="22"/>
        </w:rPr>
        <w:t xml:space="preserve">Immediate action: Failover to the secondary cloud environment (AWS Sydney region). IT Director authorises emergency budget for cloud scaling if required. All critical services have warm standby configurations pre-deployed.</w:t>
      </w:r>
    </w:p>
    <w:p>
      <w:pPr>
        <w:pStyle w:val="Heading2"/>
        <w:spacing w:before="280" w:after="80"/>
      </w:pPr>
      <w:r>
        <w:rPr>
          <w:rFonts w:ascii="Arial" w:cs="Arial" w:eastAsia="Arial" w:hAnsi="Arial"/>
          <w:b/>
          <w:bCs/>
          <w:color w:val="1A1A1A"/>
          <w:sz w:val="26"/>
          <w:szCs w:val="26"/>
        </w:rPr>
        <w:t xml:space="preserve">3.3 Scenario 3 — Key Personnel Unavailability</w:t>
      </w:r>
    </w:p>
    <w:p>
      <w:pPr>
        <w:spacing w:after="140"/>
      </w:pPr>
      <w:r>
        <w:rPr>
          <w:rFonts w:ascii="Arial" w:cs="Arial" w:eastAsia="Arial" w:hAnsi="Arial"/>
          <w:color w:val="1A1A1A"/>
          <w:sz w:val="22"/>
          <w:szCs w:val="22"/>
        </w:rPr>
        <w:t xml:space="preserve">If the IT Director is unavailable, the IT Operations Lead assumes command. If both are unavailable, the CTO assumes operational control. Contact trees for all executive and lead roles are maintained in Appendix B and updated quarterly.</w:t>
      </w:r>
    </w:p>
    <w:p>
      <w:pPr>
        <w:pStyle w:val="Heading1"/>
        <w:pBdr>
          <w:bottom w:val="single" w:color="993C1D" w:sz="6" w:space="1"/>
        </w:pBdr>
        <w:spacing w:before="360" w:after="120"/>
      </w:pPr>
      <w:r>
        <w:rPr>
          <w:rFonts w:ascii="Arial" w:cs="Arial" w:eastAsia="Arial" w:hAnsi="Arial"/>
          <w:b/>
          <w:bCs/>
          <w:color w:val="993C1D"/>
          <w:sz w:val="36"/>
          <w:szCs w:val="36"/>
        </w:rPr>
        <w:t xml:space="preserve">4. Crisis Communication Plan</w:t>
      </w:r>
    </w:p>
    <w:p>
      <w:pPr>
        <w:spacing w:after="140"/>
      </w:pPr>
      <w:r>
        <w:rPr>
          <w:rFonts w:ascii="Arial" w:cs="Arial" w:eastAsia="Arial" w:hAnsi="Arial"/>
          <w:color w:val="1A1A1A"/>
          <w:sz w:val="22"/>
          <w:szCs w:val="22"/>
        </w:rPr>
        <w:t xml:space="preserve">Communication during a continuity event is managed exclusively by the IT Director with approval from the CEO for external communications. Staff communications are issued via the emergency broadcast system (SMS to registered mobile numbers) and backup email channel (pg-emergency@pacificgroup.com.au).</w:t>
      </w:r>
    </w:p>
    <w:p>
      <w:pPr>
        <w:pStyle w:val="ListParagraph"/>
        <w:numPr>
          <w:ilvl w:val="0"/>
          <w:numId w:val="2"/>
        </w:numPr>
        <w:spacing w:after="80"/>
      </w:pPr>
      <w:r>
        <w:rPr>
          <w:rFonts w:ascii="Arial" w:cs="Arial" w:eastAsia="Arial" w:hAnsi="Arial"/>
          <w:color w:val="1A1A1A"/>
          <w:sz w:val="22"/>
          <w:szCs w:val="22"/>
        </w:rPr>
        <w:t xml:space="preserve">Internal updates: every 2 hours during active incident</w:t>
      </w:r>
    </w:p>
    <w:p>
      <w:pPr>
        <w:pStyle w:val="ListParagraph"/>
        <w:numPr>
          <w:ilvl w:val="0"/>
          <w:numId w:val="2"/>
        </w:numPr>
        <w:spacing w:after="80"/>
      </w:pPr>
      <w:r>
        <w:rPr>
          <w:rFonts w:ascii="Arial" w:cs="Arial" w:eastAsia="Arial" w:hAnsi="Arial"/>
          <w:color w:val="1A1A1A"/>
          <w:sz w:val="22"/>
          <w:szCs w:val="22"/>
        </w:rPr>
        <w:t xml:space="preserve">Board notification: within 4 hours of declaration of a major incident</w:t>
      </w:r>
    </w:p>
    <w:p>
      <w:pPr>
        <w:pStyle w:val="ListParagraph"/>
        <w:numPr>
          <w:ilvl w:val="0"/>
          <w:numId w:val="2"/>
        </w:numPr>
        <w:spacing w:after="80"/>
      </w:pPr>
      <w:r>
        <w:rPr>
          <w:rFonts w:ascii="Arial" w:cs="Arial" w:eastAsia="Arial" w:hAnsi="Arial"/>
          <w:color w:val="1A1A1A"/>
          <w:sz w:val="22"/>
          <w:szCs w:val="22"/>
        </w:rPr>
        <w:t xml:space="preserve">Customer/partner notification: approved by CEO before release</w:t>
      </w:r>
    </w:p>
    <w:p>
      <w:pPr>
        <w:pStyle w:val="ListParagraph"/>
        <w:numPr>
          <w:ilvl w:val="0"/>
          <w:numId w:val="2"/>
        </w:numPr>
        <w:spacing w:after="80"/>
      </w:pPr>
      <w:r>
        <w:rPr>
          <w:rFonts w:ascii="Arial" w:cs="Arial" w:eastAsia="Arial" w:hAnsi="Arial"/>
          <w:color w:val="1A1A1A"/>
          <w:sz w:val="22"/>
          <w:szCs w:val="22"/>
        </w:rPr>
        <w:t xml:space="preserve">Regulatory notification (if data breach): within 72 hours per NDB Scheme requirements</w:t>
      </w:r>
    </w:p>
    <w:p>
      <w:pPr>
        <w:spacing w:after="60"/>
      </w:pPr>
      <w:r>
        <w:t xml:space="preserve"/>
      </w:r>
    </w:p>
    <w:p>
      <w:pPr>
        <w:pStyle w:val="Heading1"/>
        <w:pBdr>
          <w:bottom w:val="single" w:color="993C1D" w:sz="6" w:space="1"/>
        </w:pBdr>
        <w:spacing w:before="360" w:after="120"/>
      </w:pPr>
      <w:r>
        <w:rPr>
          <w:rFonts w:ascii="Arial" w:cs="Arial" w:eastAsia="Arial" w:hAnsi="Arial"/>
          <w:b/>
          <w:bCs/>
          <w:color w:val="993C1D"/>
          <w:sz w:val="36"/>
          <w:szCs w:val="36"/>
        </w:rPr>
        <w:t xml:space="preserve">5. Plan Testing</w:t>
      </w:r>
    </w:p>
    <w:p>
      <w:pPr>
        <w:spacing w:after="140"/>
      </w:pPr>
      <w:r>
        <w:rPr>
          <w:rFonts w:ascii="Arial" w:cs="Arial" w:eastAsia="Arial" w:hAnsi="Arial"/>
          <w:color w:val="1A1A1A"/>
          <w:sz w:val="22"/>
          <w:szCs w:val="22"/>
        </w:rPr>
        <w:t xml:space="preserve">This BCP must be tested at least annually through a tabletop exercise involving the IT Director, IT leads, and members of the Executive Leadership Team. Any gaps identified must be remediated within 90 days. Results are reported to the Board Audit and Risk Committee.</w:t>
      </w:r>
    </w:p>
    <w:p>
      <w:pPr>
        <w:pStyle w:val="Heading1"/>
        <w:pBdr>
          <w:bottom w:val="single" w:color="993C1D" w:sz="6" w:space="1"/>
        </w:pBdr>
        <w:spacing w:before="360" w:after="120"/>
      </w:pPr>
      <w:r>
        <w:rPr>
          <w:rFonts w:ascii="Arial" w:cs="Arial" w:eastAsia="Arial" w:hAnsi="Arial"/>
          <w:b/>
          <w:bCs/>
          <w:color w:val="993C1D"/>
          <w:sz w:val="36"/>
          <w:szCs w:val="36"/>
        </w:rPr>
        <w:t xml:space="preserve">6. Plan Maintenance</w:t>
      </w:r>
    </w:p>
    <w:p>
      <w:pPr>
        <w:spacing w:after="140"/>
      </w:pPr>
      <w:r>
        <w:rPr>
          <w:rFonts w:ascii="Arial" w:cs="Arial" w:eastAsia="Arial" w:hAnsi="Arial"/>
          <w:color w:val="1A1A1A"/>
          <w:sz w:val="22"/>
          <w:szCs w:val="22"/>
        </w:rPr>
        <w:t xml:space="preserve">The IT Director is responsible for reviewing and updating this document annually or following any significant change to IT infrastructure, key personnel, or business operations. Version history must be maintained.</w:t>
      </w:r>
    </w:p>
    <w:p>
      <w:pPr>
        <w:spacing w:after="60"/>
      </w:pPr>
      <w:r>
        <w:t xml:space="preserve"/>
      </w:r>
    </w:p>
    <w:p>
      <w:pPr>
        <w:spacing w:after="60"/>
      </w:pPr>
      <w:r>
        <w:t xml:space="preserve"/>
      </w:r>
    </w:p>
    <w:p>
      <w:pPr>
        <w:pBdr>
          <w:top w:val="single" w:color="993C1D" w:sz="2" w:space="1"/>
        </w:pBdr>
        <w:spacing w:before="200"/>
      </w:pPr>
      <w:r>
        <w:rPr>
          <w:rFonts w:ascii="Arial" w:cs="Arial" w:eastAsia="Arial" w:hAnsi="Arial"/>
          <w:color w:val="993C1D"/>
          <w:sz w:val="16"/>
          <w:szCs w:val="16"/>
        </w:rPr>
        <w:t xml:space="preserve">Pacific Group — CONFIDENTIAL | IT Department | Document: PG-IT-GOV-005 | Version 1.0 | Level 3 Executive Access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2026-03-29T08:26:12.142Z</dcterms:created>
  <dcterms:modified xsi:type="dcterms:W3CDTF">2026-03-29T08:26:12.142Z</dcterms:modified>
</cp:coreProperties>
</file>

<file path=docProps/custom.xml><?xml version="1.0" encoding="utf-8"?>
<Properties xmlns="http://schemas.openxmlformats.org/officeDocument/2006/custom-properties" xmlns:vt="http://schemas.openxmlformats.org/officeDocument/2006/docPropsVTypes"/>
</file>