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A7C6E"/>
          <w:sz w:val="48"/>
          <w:szCs w:val="48"/>
        </w:rPr>
        <w:t xml:space="preserve">PACIFIC GROUP</w:t>
      </w:r>
    </w:p>
    <w:p>
      <w:pPr>
        <w:spacing w:after="60"/>
      </w:pPr>
      <w:r>
        <w:rPr>
          <w:rFonts w:ascii="Arial" w:cs="Arial" w:eastAsia="Arial" w:hAnsi="Arial"/>
          <w:color w:val="555555"/>
          <w:sz w:val="24"/>
          <w:szCs w:val="24"/>
        </w:rPr>
        <w:t xml:space="preserve">Information Technology Department</w:t>
      </w:r>
    </w:p>
    <w:p>
      <w:pPr>
        <w:spacing w:after="60"/>
      </w:pPr>
      <w:r>
        <w:t xml:space="preserve"/>
      </w:r>
    </w:p>
    <w:p>
      <w:pPr>
        <w:spacing w:after="80"/>
      </w:pPr>
      <w:r>
        <w:rPr>
          <w:rFonts w:ascii="Arial" w:cs="Arial" w:eastAsia="Arial" w:hAnsi="Arial"/>
          <w:b/>
          <w:bCs/>
          <w:color w:val="1A1A1A"/>
          <w:sz w:val="52"/>
          <w:szCs w:val="52"/>
        </w:rPr>
        <w:t xml:space="preserve">Acceptable Use Policy</w:t>
      </w:r>
    </w:p>
    <w:p>
      <w:pPr>
        <w:pBdr>
          <w:bottom w:val="single" w:color="0A7C6E" w:sz="8" w:space="1"/>
        </w:pBdr>
        <w:spacing w:after="300"/>
      </w:pP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Document ID</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PG-IT-POL-002</w:t>
            </w:r>
          </w:p>
        </w:tc>
      </w:tr>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Access Level</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Level 1 — All Employees</w:t>
            </w:r>
          </w:p>
        </w:tc>
      </w:tr>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Department</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Information Technology</w:t>
            </w:r>
          </w:p>
        </w:tc>
      </w:tr>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Version</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1.0</w:t>
            </w:r>
          </w:p>
        </w:tc>
      </w:tr>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Effective Date</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1 April 2025</w:t>
            </w:r>
          </w:p>
        </w:tc>
      </w:tr>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Review Date</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1 April 2026</w:t>
            </w:r>
          </w:p>
        </w:tc>
      </w:tr>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Document Owner</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IT Governance Team</w:t>
            </w:r>
          </w:p>
        </w:tc>
      </w:tr>
    </w:tbl>
    <w:p>
      <w:pPr>
        <w:spacing w:after="60"/>
      </w:pPr>
      <w:r>
        <w:t xml:space="preserve"/>
      </w:r>
    </w:p>
    <w:p>
      <w:pPr>
        <w:spacing w:after="60"/>
      </w:pPr>
      <w:r>
        <w:t xml:space="preserve"/>
      </w:r>
    </w:p>
    <w:p>
      <w:pPr>
        <w:pStyle w:val="Heading1"/>
        <w:pBdr>
          <w:bottom w:val="single" w:color="0A7C6E" w:sz="6" w:space="1"/>
        </w:pBdr>
        <w:spacing w:before="360" w:after="120"/>
      </w:pPr>
      <w:r>
        <w:rPr>
          <w:rFonts w:ascii="Arial" w:cs="Arial" w:eastAsia="Arial" w:hAnsi="Arial"/>
          <w:b/>
          <w:bCs/>
          <w:color w:val="0A7C6E"/>
          <w:sz w:val="36"/>
          <w:szCs w:val="36"/>
        </w:rPr>
        <w:t xml:space="preserve">1. Purpose</w:t>
      </w:r>
    </w:p>
    <w:p>
      <w:pPr>
        <w:spacing w:after="140"/>
      </w:pPr>
      <w:r>
        <w:rPr>
          <w:rFonts w:ascii="Arial" w:cs="Arial" w:eastAsia="Arial" w:hAnsi="Arial"/>
          <w:color w:val="1A1A1A"/>
          <w:sz w:val="22"/>
          <w:szCs w:val="22"/>
        </w:rPr>
        <w:t xml:space="preserve">This Acceptable Use Policy (AUP) defines the standards for appropriate use of Pacific Group's information technology systems, networks, and resources. All employees, contractors, and third parties with access to Pacific Group's IT environment are required to comply with this policy.</w:t>
      </w:r>
    </w:p>
    <w:p>
      <w:pPr>
        <w:spacing w:after="140"/>
      </w:pPr>
      <w:r>
        <w:rPr>
          <w:rFonts w:ascii="Arial" w:cs="Arial" w:eastAsia="Arial" w:hAnsi="Arial"/>
          <w:color w:val="1A1A1A"/>
          <w:sz w:val="22"/>
          <w:szCs w:val="22"/>
        </w:rPr>
        <w:t xml:space="preserve">Pacific Group provides IT resources to support business operations in the marine technology sector. These resources must be used responsibly, ethically, and in compliance with applicable laws and regulations.</w:t>
      </w:r>
    </w:p>
    <w:p>
      <w:pPr>
        <w:pStyle w:val="Heading1"/>
        <w:pBdr>
          <w:bottom w:val="single" w:color="0A7C6E" w:sz="6" w:space="1"/>
        </w:pBdr>
        <w:spacing w:before="360" w:after="120"/>
      </w:pPr>
      <w:r>
        <w:rPr>
          <w:rFonts w:ascii="Arial" w:cs="Arial" w:eastAsia="Arial" w:hAnsi="Arial"/>
          <w:b/>
          <w:bCs/>
          <w:color w:val="0A7C6E"/>
          <w:sz w:val="36"/>
          <w:szCs w:val="36"/>
        </w:rPr>
        <w:t xml:space="preserve">2. Scope</w:t>
      </w:r>
    </w:p>
    <w:p>
      <w:pPr>
        <w:spacing w:after="140"/>
      </w:pPr>
      <w:r>
        <w:rPr>
          <w:rFonts w:ascii="Arial" w:cs="Arial" w:eastAsia="Arial" w:hAnsi="Arial"/>
          <w:color w:val="1A1A1A"/>
          <w:sz w:val="22"/>
          <w:szCs w:val="22"/>
        </w:rPr>
        <w:t xml:space="preserve">This policy applies to all individuals who access Pacific Group systems, including:</w:t>
      </w:r>
    </w:p>
    <w:p>
      <w:pPr>
        <w:pStyle w:val="ListParagraph"/>
        <w:numPr>
          <w:ilvl w:val="0"/>
          <w:numId w:val="2"/>
        </w:numPr>
        <w:spacing w:after="80"/>
      </w:pPr>
      <w:r>
        <w:rPr>
          <w:rFonts w:ascii="Arial" w:cs="Arial" w:eastAsia="Arial" w:hAnsi="Arial"/>
          <w:color w:val="1A1A1A"/>
          <w:sz w:val="22"/>
          <w:szCs w:val="22"/>
        </w:rPr>
        <w:t xml:space="preserve">Full-time and part-time employees across all departments</w:t>
      </w:r>
    </w:p>
    <w:p>
      <w:pPr>
        <w:pStyle w:val="ListParagraph"/>
        <w:numPr>
          <w:ilvl w:val="0"/>
          <w:numId w:val="2"/>
        </w:numPr>
        <w:spacing w:after="80"/>
      </w:pPr>
      <w:r>
        <w:rPr>
          <w:rFonts w:ascii="Arial" w:cs="Arial" w:eastAsia="Arial" w:hAnsi="Arial"/>
          <w:color w:val="1A1A1A"/>
          <w:sz w:val="22"/>
          <w:szCs w:val="22"/>
        </w:rPr>
        <w:t xml:space="preserve">Contractors, consultants, and temporary staff</w:t>
      </w:r>
    </w:p>
    <w:p>
      <w:pPr>
        <w:pStyle w:val="ListParagraph"/>
        <w:numPr>
          <w:ilvl w:val="0"/>
          <w:numId w:val="2"/>
        </w:numPr>
        <w:spacing w:after="80"/>
      </w:pPr>
      <w:r>
        <w:rPr>
          <w:rFonts w:ascii="Arial" w:cs="Arial" w:eastAsia="Arial" w:hAnsi="Arial"/>
          <w:color w:val="1A1A1A"/>
          <w:sz w:val="22"/>
          <w:szCs w:val="22"/>
        </w:rPr>
        <w:t xml:space="preserve">Third-party vendors with system access</w:t>
      </w:r>
    </w:p>
    <w:p>
      <w:pPr>
        <w:pStyle w:val="ListParagraph"/>
        <w:numPr>
          <w:ilvl w:val="0"/>
          <w:numId w:val="2"/>
        </w:numPr>
        <w:spacing w:after="80"/>
      </w:pPr>
      <w:r>
        <w:rPr>
          <w:rFonts w:ascii="Arial" w:cs="Arial" w:eastAsia="Arial" w:hAnsi="Arial"/>
          <w:color w:val="1A1A1A"/>
          <w:sz w:val="22"/>
          <w:szCs w:val="22"/>
        </w:rPr>
        <w:t xml:space="preserve">Any individual using Pacific Group-owned or managed devices</w:t>
      </w:r>
    </w:p>
    <w:p>
      <w:pPr>
        <w:spacing w:after="60"/>
      </w:pPr>
      <w:r>
        <w:t xml:space="preserve"/>
      </w:r>
    </w:p>
    <w:p>
      <w:pPr>
        <w:pStyle w:val="Heading1"/>
        <w:pBdr>
          <w:bottom w:val="single" w:color="0A7C6E" w:sz="6" w:space="1"/>
        </w:pBdr>
        <w:spacing w:before="360" w:after="120"/>
      </w:pPr>
      <w:r>
        <w:rPr>
          <w:rFonts w:ascii="Arial" w:cs="Arial" w:eastAsia="Arial" w:hAnsi="Arial"/>
          <w:b/>
          <w:bCs/>
          <w:color w:val="0A7C6E"/>
          <w:sz w:val="36"/>
          <w:szCs w:val="36"/>
        </w:rPr>
        <w:t xml:space="preserve">3. Permitted Use</w:t>
      </w:r>
    </w:p>
    <w:p>
      <w:pPr>
        <w:pStyle w:val="Heading2"/>
        <w:spacing w:before="280" w:after="80"/>
      </w:pPr>
      <w:r>
        <w:rPr>
          <w:rFonts w:ascii="Arial" w:cs="Arial" w:eastAsia="Arial" w:hAnsi="Arial"/>
          <w:b/>
          <w:bCs/>
          <w:color w:val="1A1A1A"/>
          <w:sz w:val="26"/>
          <w:szCs w:val="26"/>
        </w:rPr>
        <w:t xml:space="preserve">3.1 Approved Activities</w:t>
      </w:r>
    </w:p>
    <w:p>
      <w:pPr>
        <w:spacing w:after="140"/>
      </w:pPr>
      <w:r>
        <w:rPr>
          <w:rFonts w:ascii="Arial" w:cs="Arial" w:eastAsia="Arial" w:hAnsi="Arial"/>
          <w:color w:val="1A1A1A"/>
          <w:sz w:val="22"/>
          <w:szCs w:val="22"/>
        </w:rPr>
        <w:t xml:space="preserve">IT resources may be used for the following purposes:</w:t>
      </w:r>
    </w:p>
    <w:p>
      <w:pPr>
        <w:pStyle w:val="ListParagraph"/>
        <w:numPr>
          <w:ilvl w:val="0"/>
          <w:numId w:val="2"/>
        </w:numPr>
        <w:spacing w:after="80"/>
      </w:pPr>
      <w:r>
        <w:rPr>
          <w:rFonts w:ascii="Arial" w:cs="Arial" w:eastAsia="Arial" w:hAnsi="Arial"/>
          <w:color w:val="1A1A1A"/>
          <w:sz w:val="22"/>
          <w:szCs w:val="22"/>
        </w:rPr>
        <w:t xml:space="preserve">Conducting assigned work tasks and business-related communication</w:t>
      </w:r>
    </w:p>
    <w:p>
      <w:pPr>
        <w:pStyle w:val="ListParagraph"/>
        <w:numPr>
          <w:ilvl w:val="0"/>
          <w:numId w:val="2"/>
        </w:numPr>
        <w:spacing w:after="80"/>
      </w:pPr>
      <w:r>
        <w:rPr>
          <w:rFonts w:ascii="Arial" w:cs="Arial" w:eastAsia="Arial" w:hAnsi="Arial"/>
          <w:color w:val="1A1A1A"/>
          <w:sz w:val="22"/>
          <w:szCs w:val="22"/>
        </w:rPr>
        <w:t xml:space="preserve">Accessing approved internal systems and cloud services</w:t>
      </w:r>
    </w:p>
    <w:p>
      <w:pPr>
        <w:pStyle w:val="ListParagraph"/>
        <w:numPr>
          <w:ilvl w:val="0"/>
          <w:numId w:val="2"/>
        </w:numPr>
        <w:spacing w:after="80"/>
      </w:pPr>
      <w:r>
        <w:rPr>
          <w:rFonts w:ascii="Arial" w:cs="Arial" w:eastAsia="Arial" w:hAnsi="Arial"/>
          <w:color w:val="1A1A1A"/>
          <w:sz w:val="22"/>
          <w:szCs w:val="22"/>
        </w:rPr>
        <w:t xml:space="preserve">Participation in company-approved training and development</w:t>
      </w:r>
    </w:p>
    <w:p>
      <w:pPr>
        <w:pStyle w:val="ListParagraph"/>
        <w:numPr>
          <w:ilvl w:val="0"/>
          <w:numId w:val="2"/>
        </w:numPr>
        <w:spacing w:after="80"/>
      </w:pPr>
      <w:r>
        <w:rPr>
          <w:rFonts w:ascii="Arial" w:cs="Arial" w:eastAsia="Arial" w:hAnsi="Arial"/>
          <w:color w:val="1A1A1A"/>
          <w:sz w:val="22"/>
          <w:szCs w:val="22"/>
        </w:rPr>
        <w:t xml:space="preserve">Limited personal use that does not interfere with work duties or consume significant resources</w:t>
      </w:r>
    </w:p>
    <w:p>
      <w:pPr>
        <w:spacing w:after="60"/>
      </w:pPr>
      <w:r>
        <w:t xml:space="preserve"/>
      </w:r>
    </w:p>
    <w:p>
      <w:pPr>
        <w:pStyle w:val="Heading2"/>
        <w:spacing w:before="280" w:after="80"/>
      </w:pPr>
      <w:r>
        <w:rPr>
          <w:rFonts w:ascii="Arial" w:cs="Arial" w:eastAsia="Arial" w:hAnsi="Arial"/>
          <w:b/>
          <w:bCs/>
          <w:color w:val="1A1A1A"/>
          <w:sz w:val="26"/>
          <w:szCs w:val="26"/>
        </w:rPr>
        <w:t xml:space="preserve">3.2 Approved Devices</w:t>
      </w:r>
    </w:p>
    <w:p>
      <w:pPr>
        <w:spacing w:after="140"/>
      </w:pPr>
      <w:r>
        <w:rPr>
          <w:rFonts w:ascii="Arial" w:cs="Arial" w:eastAsia="Arial" w:hAnsi="Arial"/>
          <w:color w:val="1A1A1A"/>
          <w:sz w:val="22"/>
          <w:szCs w:val="22"/>
        </w:rPr>
        <w:t xml:space="preserve">Users must only connect company-approved and registered devices to the Pacific Group network. Personal devices require explicit approval from the IT department and must comply with the Remote Work and BYOD Policy.</w:t>
      </w:r>
    </w:p>
    <w:p>
      <w:pPr>
        <w:pStyle w:val="Heading1"/>
        <w:pBdr>
          <w:bottom w:val="single" w:color="0A7C6E" w:sz="6" w:space="1"/>
        </w:pBdr>
        <w:spacing w:before="360" w:after="120"/>
      </w:pPr>
      <w:r>
        <w:rPr>
          <w:rFonts w:ascii="Arial" w:cs="Arial" w:eastAsia="Arial" w:hAnsi="Arial"/>
          <w:b/>
          <w:bCs/>
          <w:color w:val="0A7C6E"/>
          <w:sz w:val="36"/>
          <w:szCs w:val="36"/>
        </w:rPr>
        <w:t xml:space="preserve">4. Prohibited Activities</w:t>
      </w:r>
    </w:p>
    <w:p>
      <w:pPr>
        <w:spacing w:after="140"/>
      </w:pPr>
      <w:r>
        <w:rPr>
          <w:rFonts w:ascii="Arial" w:cs="Arial" w:eastAsia="Arial" w:hAnsi="Arial"/>
          <w:color w:val="1A1A1A"/>
          <w:sz w:val="22"/>
          <w:szCs w:val="22"/>
        </w:rPr>
        <w:t xml:space="preserve">The following activities are strictly prohibited on all Pacific Group IT systems:</w:t>
      </w:r>
    </w:p>
    <w:p>
      <w:pPr>
        <w:pStyle w:val="ListParagraph"/>
        <w:numPr>
          <w:ilvl w:val="0"/>
          <w:numId w:val="2"/>
        </w:numPr>
        <w:spacing w:after="80"/>
      </w:pPr>
      <w:r>
        <w:rPr>
          <w:rFonts w:ascii="Arial" w:cs="Arial" w:eastAsia="Arial" w:hAnsi="Arial"/>
          <w:color w:val="1A1A1A"/>
          <w:sz w:val="22"/>
          <w:szCs w:val="22"/>
        </w:rPr>
        <w:t xml:space="preserve">Accessing, downloading, or distributing illegal, offensive, or inappropriate content</w:t>
      </w:r>
    </w:p>
    <w:p>
      <w:pPr>
        <w:pStyle w:val="ListParagraph"/>
        <w:numPr>
          <w:ilvl w:val="0"/>
          <w:numId w:val="2"/>
        </w:numPr>
        <w:spacing w:after="80"/>
      </w:pPr>
      <w:r>
        <w:rPr>
          <w:rFonts w:ascii="Arial" w:cs="Arial" w:eastAsia="Arial" w:hAnsi="Arial"/>
          <w:color w:val="1A1A1A"/>
          <w:sz w:val="22"/>
          <w:szCs w:val="22"/>
        </w:rPr>
        <w:t xml:space="preserve">Attempting to bypass security controls, firewalls, or access restrictions</w:t>
      </w:r>
    </w:p>
    <w:p>
      <w:pPr>
        <w:pStyle w:val="ListParagraph"/>
        <w:numPr>
          <w:ilvl w:val="0"/>
          <w:numId w:val="2"/>
        </w:numPr>
        <w:spacing w:after="80"/>
      </w:pPr>
      <w:r>
        <w:rPr>
          <w:rFonts w:ascii="Arial" w:cs="Arial" w:eastAsia="Arial" w:hAnsi="Arial"/>
          <w:color w:val="1A1A1A"/>
          <w:sz w:val="22"/>
          <w:szCs w:val="22"/>
        </w:rPr>
        <w:t xml:space="preserve">Installing unauthorised software, applications, or browser extensions</w:t>
      </w:r>
    </w:p>
    <w:p>
      <w:pPr>
        <w:pStyle w:val="ListParagraph"/>
        <w:numPr>
          <w:ilvl w:val="0"/>
          <w:numId w:val="2"/>
        </w:numPr>
        <w:spacing w:after="80"/>
      </w:pPr>
      <w:r>
        <w:rPr>
          <w:rFonts w:ascii="Arial" w:cs="Arial" w:eastAsia="Arial" w:hAnsi="Arial"/>
          <w:color w:val="1A1A1A"/>
          <w:sz w:val="22"/>
          <w:szCs w:val="22"/>
        </w:rPr>
        <w:t xml:space="preserve">Sharing login credentials or accessing systems using another user's credentials</w:t>
      </w:r>
    </w:p>
    <w:p>
      <w:pPr>
        <w:pStyle w:val="ListParagraph"/>
        <w:numPr>
          <w:ilvl w:val="0"/>
          <w:numId w:val="2"/>
        </w:numPr>
        <w:spacing w:after="80"/>
      </w:pPr>
      <w:r>
        <w:rPr>
          <w:rFonts w:ascii="Arial" w:cs="Arial" w:eastAsia="Arial" w:hAnsi="Arial"/>
          <w:color w:val="1A1A1A"/>
          <w:sz w:val="22"/>
          <w:szCs w:val="22"/>
        </w:rPr>
        <w:t xml:space="preserve">Using company systems for personal commercial activities or financial gain</w:t>
      </w:r>
    </w:p>
    <w:p>
      <w:pPr>
        <w:pStyle w:val="ListParagraph"/>
        <w:numPr>
          <w:ilvl w:val="0"/>
          <w:numId w:val="2"/>
        </w:numPr>
        <w:spacing w:after="80"/>
      </w:pPr>
      <w:r>
        <w:rPr>
          <w:rFonts w:ascii="Arial" w:cs="Arial" w:eastAsia="Arial" w:hAnsi="Arial"/>
          <w:color w:val="1A1A1A"/>
          <w:sz w:val="22"/>
          <w:szCs w:val="22"/>
        </w:rPr>
        <w:t xml:space="preserve">Sending unsolicited bulk communications or phishing-style messages</w:t>
      </w:r>
    </w:p>
    <w:p>
      <w:pPr>
        <w:pStyle w:val="ListParagraph"/>
        <w:numPr>
          <w:ilvl w:val="0"/>
          <w:numId w:val="2"/>
        </w:numPr>
        <w:spacing w:after="80"/>
      </w:pPr>
      <w:r>
        <w:rPr>
          <w:rFonts w:ascii="Arial" w:cs="Arial" w:eastAsia="Arial" w:hAnsi="Arial"/>
          <w:color w:val="1A1A1A"/>
          <w:sz w:val="22"/>
          <w:szCs w:val="22"/>
        </w:rPr>
        <w:t xml:space="preserve">Connecting unauthorised external storage devices without IT approval</w:t>
      </w:r>
    </w:p>
    <w:p>
      <w:pPr>
        <w:pStyle w:val="ListParagraph"/>
        <w:numPr>
          <w:ilvl w:val="0"/>
          <w:numId w:val="2"/>
        </w:numPr>
        <w:spacing w:after="80"/>
      </w:pPr>
      <w:r>
        <w:rPr>
          <w:rFonts w:ascii="Arial" w:cs="Arial" w:eastAsia="Arial" w:hAnsi="Arial"/>
          <w:color w:val="1A1A1A"/>
          <w:sz w:val="22"/>
          <w:szCs w:val="22"/>
        </w:rPr>
        <w:t xml:space="preserve">Disclosing confidential company data through unapproved channels</w:t>
      </w:r>
    </w:p>
    <w:p>
      <w:pPr>
        <w:spacing w:after="60"/>
      </w:pPr>
      <w:r>
        <w:t xml:space="preserve"/>
      </w:r>
    </w:p>
    <w:p>
      <w:pPr>
        <w:pStyle w:val="Heading1"/>
        <w:pBdr>
          <w:bottom w:val="single" w:color="0A7C6E" w:sz="6" w:space="1"/>
        </w:pBdr>
        <w:spacing w:before="360" w:after="120"/>
      </w:pPr>
      <w:r>
        <w:rPr>
          <w:rFonts w:ascii="Arial" w:cs="Arial" w:eastAsia="Arial" w:hAnsi="Arial"/>
          <w:b/>
          <w:bCs/>
          <w:color w:val="0A7C6E"/>
          <w:sz w:val="36"/>
          <w:szCs w:val="36"/>
        </w:rPr>
        <w:t xml:space="preserve">5. Internet and Email Usage</w:t>
      </w:r>
    </w:p>
    <w:p>
      <w:pPr>
        <w:spacing w:after="140"/>
      </w:pPr>
      <w:r>
        <w:rPr>
          <w:rFonts w:ascii="Arial" w:cs="Arial" w:eastAsia="Arial" w:hAnsi="Arial"/>
          <w:color w:val="1A1A1A"/>
          <w:sz w:val="22"/>
          <w:szCs w:val="22"/>
        </w:rPr>
        <w:t xml:space="preserve">Internet access is provided for business purposes. Moderate personal use is tolerated provided it does not impact productivity or network performance. All internet and email activity may be monitored and logged by the IT department in accordance with applicable laws.</w:t>
      </w:r>
    </w:p>
    <w:p>
      <w:pPr>
        <w:spacing w:after="140"/>
      </w:pPr>
      <w:r>
        <w:rPr>
          <w:rFonts w:ascii="Arial" w:cs="Arial" w:eastAsia="Arial" w:hAnsi="Arial"/>
          <w:color w:val="1A1A1A"/>
          <w:sz w:val="22"/>
          <w:szCs w:val="22"/>
        </w:rPr>
        <w:t xml:space="preserve">Employees must not use personal email accounts to transmit company data. All business correspondence should use the official Pacific Group email domain.</w:t>
      </w:r>
    </w:p>
    <w:p>
      <w:pPr>
        <w:pStyle w:val="Heading1"/>
        <w:pBdr>
          <w:bottom w:val="single" w:color="0A7C6E" w:sz="6" w:space="1"/>
        </w:pBdr>
        <w:spacing w:before="360" w:after="120"/>
      </w:pPr>
      <w:r>
        <w:rPr>
          <w:rFonts w:ascii="Arial" w:cs="Arial" w:eastAsia="Arial" w:hAnsi="Arial"/>
          <w:b/>
          <w:bCs/>
          <w:color w:val="0A7C6E"/>
          <w:sz w:val="36"/>
          <w:szCs w:val="36"/>
        </w:rPr>
        <w:t xml:space="preserve">6. Monitoring and Enforcement</w:t>
      </w:r>
    </w:p>
    <w:p>
      <w:pPr>
        <w:spacing w:after="140"/>
      </w:pPr>
      <w:r>
        <w:rPr>
          <w:rFonts w:ascii="Arial" w:cs="Arial" w:eastAsia="Arial" w:hAnsi="Arial"/>
          <w:color w:val="1A1A1A"/>
          <w:sz w:val="22"/>
          <w:szCs w:val="22"/>
        </w:rPr>
        <w:t xml:space="preserve">Pacific Group reserves the right to monitor, log, and audit all use of its IT systems without prior notice. This includes network traffic, email communications, device usage, and access logs.</w:t>
      </w:r>
    </w:p>
    <w:p>
      <w:pPr>
        <w:spacing w:after="140"/>
      </w:pPr>
      <w:r>
        <w:rPr>
          <w:rFonts w:ascii="Arial" w:cs="Arial" w:eastAsia="Arial" w:hAnsi="Arial"/>
          <w:color w:val="1A1A1A"/>
          <w:sz w:val="22"/>
          <w:szCs w:val="22"/>
        </w:rPr>
        <w:t xml:space="preserve">Violations of this policy may result in disciplinary action up to and including termination of employment, legal action, or removal of system access.</w:t>
      </w:r>
    </w:p>
    <w:p>
      <w:pPr>
        <w:pStyle w:val="Heading1"/>
        <w:pBdr>
          <w:bottom w:val="single" w:color="0A7C6E" w:sz="6" w:space="1"/>
        </w:pBdr>
        <w:spacing w:before="360" w:after="120"/>
      </w:pPr>
      <w:r>
        <w:rPr>
          <w:rFonts w:ascii="Arial" w:cs="Arial" w:eastAsia="Arial" w:hAnsi="Arial"/>
          <w:b/>
          <w:bCs/>
          <w:color w:val="0A7C6E"/>
          <w:sz w:val="36"/>
          <w:szCs w:val="36"/>
        </w:rPr>
        <w:t xml:space="preserve">7. Reporting</w:t>
      </w:r>
    </w:p>
    <w:p>
      <w:pPr>
        <w:spacing w:after="140"/>
      </w:pPr>
      <w:r>
        <w:rPr>
          <w:rFonts w:ascii="Arial" w:cs="Arial" w:eastAsia="Arial" w:hAnsi="Arial"/>
          <w:color w:val="1A1A1A"/>
          <w:sz w:val="22"/>
          <w:szCs w:val="22"/>
        </w:rPr>
        <w:t xml:space="preserve">Employees who suspect a policy violation or observe inappropriate use of IT systems must report the matter to the IT Security team at security@pacificgroup.com or through the IT Service Portal.</w:t>
      </w:r>
    </w:p>
    <w:p>
      <w:pPr>
        <w:pStyle w:val="Heading1"/>
        <w:pBdr>
          <w:bottom w:val="single" w:color="0A7C6E" w:sz="6" w:space="1"/>
        </w:pBdr>
        <w:spacing w:before="360" w:after="120"/>
      </w:pPr>
      <w:r>
        <w:rPr>
          <w:rFonts w:ascii="Arial" w:cs="Arial" w:eastAsia="Arial" w:hAnsi="Arial"/>
          <w:b/>
          <w:bCs/>
          <w:color w:val="0A7C6E"/>
          <w:sz w:val="36"/>
          <w:szCs w:val="36"/>
        </w:rPr>
        <w:t xml:space="preserve">8. Acknowledgement</w:t>
      </w:r>
    </w:p>
    <w:p>
      <w:pPr>
        <w:spacing w:after="140"/>
      </w:pPr>
      <w:r>
        <w:rPr>
          <w:rFonts w:ascii="Arial" w:cs="Arial" w:eastAsia="Arial" w:hAnsi="Arial"/>
          <w:color w:val="1A1A1A"/>
          <w:sz w:val="22"/>
          <w:szCs w:val="22"/>
        </w:rPr>
        <w:t xml:space="preserve">All employees are required to acknowledge that they have read, understood, and agree to comply with this policy. Acknowledgement is completed during onboarding and must be renewed annually.</w:t>
      </w:r>
    </w:p>
    <w:p>
      <w:pPr>
        <w:spacing w:after="60"/>
      </w:pPr>
      <w:r>
        <w:t xml:space="preserve"/>
      </w:r>
    </w:p>
    <w:p>
      <w:pPr>
        <w:spacing w:after="60"/>
      </w:pPr>
      <w:r>
        <w:t xml:space="preserve"/>
      </w:r>
    </w:p>
    <w:p>
      <w:pPr>
        <w:pBdr>
          <w:top w:val="single" w:color="CCCCCC" w:sz="2" w:space="1"/>
        </w:pBdr>
        <w:spacing w:before="200"/>
      </w:pPr>
      <w:r>
        <w:rPr>
          <w:rFonts w:ascii="Arial" w:cs="Arial" w:eastAsia="Arial" w:hAnsi="Arial"/>
          <w:color w:val="555555"/>
          <w:sz w:val="16"/>
          <w:szCs w:val="16"/>
        </w:rPr>
        <w:t xml:space="preserve">Pacific Group — Confidential | IT Department | Document: PG-IT-POL-002 | Version 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36"/>
      <w:szCs w:val="36"/>
    </w:rPr>
  </w:style>
  <w:style w:type="paragraph" w:styleId="Heading2">
    <w:name w:val="Heading 2"/>
    <w:basedOn w:val="Normal"/>
    <w:next w:val="Normal"/>
    <w:qFormat/>
    <w:pPr>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2026-03-29T08:26:11.787Z</dcterms:created>
  <dcterms:modified xsi:type="dcterms:W3CDTF">2026-03-29T08:26:11.789Z</dcterms:modified>
</cp:coreProperties>
</file>

<file path=docProps/custom.xml><?xml version="1.0" encoding="utf-8"?>
<Properties xmlns="http://schemas.openxmlformats.org/officeDocument/2006/custom-properties" xmlns:vt="http://schemas.openxmlformats.org/officeDocument/2006/docPropsVTypes"/>
</file>