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xp版是Windows通用的，Mac或Linux用不了。但是不会再加入新功能（包括但不限于多线程防卡死，进度显示，更完善的说明），Winxp只能用这个版本。</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标准版只能用在Win7以上操作系统及Linux或Mac上，会不断更新版本，加入新功能。</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求求你们了装个win7/10吧。</w:t>
      </w:r>
      <w:bookmarkStart w:id="0" w:name="_GoBack"/>
      <w:bookmarkEnd w:id="0"/>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关于无法写入文件：</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编码错误，把自带两个txt文件重新用ANSI或GBK编码保存即可。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参考：https://zhidao.baidu.com/question/1637662996932700580.html</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可以查询（包括但不限于）汉字，词语，术语，成语，歇后语（只输入上半部分），诗词（输入题目或诗中任意一句）。</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这里有一些可能的改进方向，如果</w:t>
      </w:r>
      <w:r>
        <w:rPr>
          <w:rFonts w:hint="eastAsia" w:ascii="宋体" w:hAnsi="宋体" w:eastAsia="宋体" w:cs="宋体"/>
          <w:sz w:val="24"/>
          <w:szCs w:val="24"/>
          <w:em w:val="dot"/>
          <w:lang w:val="en-US" w:eastAsia="zh-CN"/>
        </w:rPr>
        <w:t>确实需要</w:t>
      </w:r>
      <w:r>
        <w:rPr>
          <w:rFonts w:hint="eastAsia" w:ascii="宋体" w:hAnsi="宋体" w:eastAsia="宋体" w:cs="宋体"/>
          <w:sz w:val="24"/>
          <w:szCs w:val="24"/>
          <w:lang w:val="en-US" w:eastAsia="zh-CN"/>
        </w:rPr>
        <w:t>可以附在反馈里。</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·支持带序号输出</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·支持成语之间空行</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0B1A540C"/>
    <w:rsid w:val="105E76B5"/>
    <w:rsid w:val="14D901E1"/>
    <w:rsid w:val="16C95EE9"/>
    <w:rsid w:val="192B7C46"/>
    <w:rsid w:val="1D6810B8"/>
    <w:rsid w:val="219529FF"/>
    <w:rsid w:val="24495497"/>
    <w:rsid w:val="2C4B7FC7"/>
    <w:rsid w:val="2D746379"/>
    <w:rsid w:val="31DD6DB8"/>
    <w:rsid w:val="359C2988"/>
    <w:rsid w:val="3DE35C30"/>
    <w:rsid w:val="40FD2D44"/>
    <w:rsid w:val="41527D7C"/>
    <w:rsid w:val="41655D14"/>
    <w:rsid w:val="41914B6A"/>
    <w:rsid w:val="45F00DFB"/>
    <w:rsid w:val="47C07E28"/>
    <w:rsid w:val="49483CF2"/>
    <w:rsid w:val="4D25544F"/>
    <w:rsid w:val="523254B3"/>
    <w:rsid w:val="544410D3"/>
    <w:rsid w:val="5CB44B29"/>
    <w:rsid w:val="5EB82CA6"/>
    <w:rsid w:val="5F2B23B9"/>
    <w:rsid w:val="5F43582C"/>
    <w:rsid w:val="60C33DED"/>
    <w:rsid w:val="60E82B56"/>
    <w:rsid w:val="625B7339"/>
    <w:rsid w:val="65ED62BC"/>
    <w:rsid w:val="65FB3B22"/>
    <w:rsid w:val="675D387C"/>
    <w:rsid w:val="677879E5"/>
    <w:rsid w:val="68C22CE2"/>
    <w:rsid w:val="68F96714"/>
    <w:rsid w:val="6963298B"/>
    <w:rsid w:val="69E87F69"/>
    <w:rsid w:val="6BED28D1"/>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2020-02-12T03:09:15Z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