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oject-brief-ciel"/>
    <w:p>
      <w:pPr>
        <w:pStyle w:val="Heading1"/>
      </w:pPr>
      <w:r>
        <w:t xml:space="preserve">Project Brief — Ciel</w:t>
      </w:r>
    </w:p>
    <w:p>
      <w:pPr>
        <w:pStyle w:val="FirstParagraph"/>
      </w:pPr>
      <w:r>
        <w:rPr>
          <w:b/>
          <w:bCs/>
        </w:rPr>
        <w:t xml:space="preserve">Event:</w:t>
      </w:r>
      <w:r>
        <w:t xml:space="preserve"> </w:t>
      </w:r>
      <w:r>
        <w:t xml:space="preserve">Create &amp; Conquer 2026 Hackathon · Theme #2</w:t>
      </w:r>
      <w:r>
        <w:br/>
      </w:r>
      <w:r>
        <w:rPr>
          <w:b/>
          <w:bCs/>
        </w:rPr>
        <w:t xml:space="preserve">Date:</w:t>
      </w:r>
      <w:r>
        <w:t xml:space="preserve"> </w:t>
      </w:r>
      <w:r>
        <w:t xml:space="preserve">2026-06-26</w:t>
      </w:r>
      <w:r>
        <w:br/>
      </w:r>
      <w:r>
        <w:rPr>
          <w:b/>
          <w:bCs/>
        </w:rPr>
        <w:t xml:space="preserve">Team:</w:t>
      </w:r>
      <w:r>
        <w:t xml:space="preserve"> </w:t>
      </w:r>
      <w:r>
        <w:t xml:space="preserve">Ciel Team</w:t>
      </w:r>
    </w:p>
    <w:p>
      <w:r>
        <w:pict>
          <v:rect style="width:0;height:1.5pt" o:hralign="center" o:hrstd="t" o:hr="t"/>
        </w:pict>
      </w:r>
    </w:p>
    <w:bookmarkStart w:id="9" w:name="a.-creative-name-of-your-project"/>
    <w:p>
      <w:pPr>
        <w:pStyle w:val="Heading2"/>
      </w:pPr>
      <w:r>
        <w:t xml:space="preserve">A. Creative Name of Your Project</w:t>
      </w:r>
    </w:p>
    <w:p>
      <w:pPr>
        <w:pStyle w:val="FirstParagraph"/>
      </w:pPr>
      <w:r>
        <w:rPr>
          <w:b/>
          <w:bCs/>
        </w:rPr>
        <w:t xml:space="preserve">Ciel</w:t>
      </w:r>
      <w:r>
        <w:t xml:space="preserve"> </w:t>
      </w:r>
      <w:r>
        <w:rPr>
          <w:i/>
          <w:iCs/>
        </w:rPr>
        <w:t xml:space="preserve">(French:</w:t>
      </w:r>
      <w:r>
        <w:rPr>
          <w:i/>
          <w:iCs/>
        </w:rPr>
        <w:t xml:space="preserve"> </w:t>
      </w:r>
      <w:r>
        <w:rPr>
          <w:i/>
          <w:iCs/>
        </w:rPr>
        <w:t xml:space="preserve">“sky”</w:t>
      </w:r>
      <w:r>
        <w:rPr>
          <w:i/>
          <w:iCs/>
        </w:rPr>
        <w:t xml:space="preserve">; pronounced ci-yel)</w:t>
      </w:r>
    </w:p>
    <w:p>
      <w:pPr>
        <w:pStyle w:val="BodyText"/>
      </w:pPr>
      <w:r>
        <w:t xml:space="preserve">Tagline:</w:t>
      </w:r>
      <w:r>
        <w:t xml:space="preserve"> </w:t>
      </w:r>
      <w:r>
        <w:rPr>
          <w:b/>
          <w:bCs/>
        </w:rPr>
        <w:t xml:space="preserve">From pilot to scale.</w:t>
      </w:r>
    </w:p>
    <w:p>
      <w:pPr>
        <w:pStyle w:val="BodyText"/>
      </w:pPr>
      <w:r>
        <w:t xml:space="preserve">Ciel is an AI-native</w:t>
      </w:r>
      <w:r>
        <w:t xml:space="preserve"> </w:t>
      </w:r>
      <w:r>
        <w:rPr>
          <w:i/>
          <w:iCs/>
        </w:rPr>
        <w:t xml:space="preserve">Impact Operating System</w:t>
      </w:r>
      <w:r>
        <w:t xml:space="preserve"> </w:t>
      </w:r>
      <w:r>
        <w:t xml:space="preserve">for the social sector — the missing layer between</w:t>
      </w:r>
      <w:r>
        <w:t xml:space="preserve"> </w:t>
      </w:r>
      <w:r>
        <w:rPr>
          <w:i/>
          <w:iCs/>
        </w:rPr>
        <w:t xml:space="preserve">need identified</w:t>
      </w:r>
      <w:r>
        <w:t xml:space="preserve"> </w:t>
      </w:r>
      <w:r>
        <w:t xml:space="preserve">and</w:t>
      </w:r>
      <w:r>
        <w:t xml:space="preserve"> </w:t>
      </w:r>
      <w:r>
        <w:rPr>
          <w:i/>
          <w:iCs/>
        </w:rPr>
        <w:t xml:space="preserve">solution scaled</w:t>
      </w:r>
      <w:r>
        <w:t xml:space="preserve">.</w:t>
      </w:r>
    </w:p>
    <w:p>
      <w:r>
        <w:pict>
          <v:rect style="width:0;height:1.5pt" o:hralign="center" o:hrstd="t" o:hr="t"/>
        </w:pict>
      </w:r>
    </w:p>
    <w:bookmarkEnd w:id="9"/>
    <w:bookmarkStart w:id="11" w:name="b.-the-problem"/>
    <w:p>
      <w:pPr>
        <w:pStyle w:val="Heading2"/>
      </w:pPr>
      <w:r>
        <w:t xml:space="preserve">B. The Problem</w:t>
      </w:r>
    </w:p>
    <w:p>
      <w:pPr>
        <w:pStyle w:val="FirstParagraph"/>
      </w:pPr>
      <w:r>
        <w:t xml:space="preserve">Social impact organizations — governments, NGOs, and community groups — continuously identify urgent needs: education gaps, healthcare access limits, disaster vulnerability, livelihood insecurity. These needs are often well documented, but the pathway from</w:t>
      </w:r>
      <w:r>
        <w:t xml:space="preserve"> </w:t>
      </w:r>
      <w:r>
        <w:rPr>
          <w:b/>
          <w:bCs/>
        </w:rPr>
        <w:t xml:space="preserve">identification → solution design → implementation → scaling</w:t>
      </w:r>
      <w:r>
        <w:t xml:space="preserve"> </w:t>
      </w:r>
      <w:r>
        <w:t xml:space="preserve">remains fragmented and inconsistent.</w:t>
      </w:r>
    </w:p>
    <w:p>
      <w:pPr>
        <w:pStyle w:val="BodyText"/>
      </w:pPr>
      <w:r>
        <w:t xml:space="preserve">This produces</w:t>
      </w:r>
      <w:r>
        <w:t xml:space="preserve"> </w:t>
      </w:r>
      <w:r>
        <w:rPr>
          <w:b/>
          <w:bCs/>
        </w:rPr>
        <w:t xml:space="preserve">“pilotitis”</w:t>
      </w:r>
      <w:r>
        <w:t xml:space="preserve">: promising small projects that fail to scale when grants end, local policy is ignored, or field infrastructure assumptions break down. Existing nonprofit software (Salesforce, Blackbaud, Bloomerang) manages donors and fundraising but provides</w:t>
      </w:r>
      <w:r>
        <w:t xml:space="preserve"> </w:t>
      </w:r>
      <w:r>
        <w:rPr>
          <w:b/>
          <w:bCs/>
        </w:rPr>
        <w:t xml:space="preserve">no cognitive help</w:t>
      </w:r>
      <w:r>
        <w:t xml:space="preserve"> </w:t>
      </w:r>
      <w:r>
        <w:t xml:space="preserve">designing interventions or proving real-world impact. Meanwhile,</w:t>
      </w:r>
      <w:r>
        <w:t xml:space="preserve"> </w:t>
      </w:r>
      <w:r>
        <w:rPr>
          <w:b/>
          <w:bCs/>
        </w:rPr>
        <w:t xml:space="preserve">88% of organizations use AI in at least one function, but roughly two-thirds have not begun scaling it, and only 39% see enterprise-level impact</w:t>
      </w:r>
      <w:r>
        <w:t xml:space="preserve"> </w:t>
      </w:r>
      <w:r>
        <w:t xml:space="preserve">(</w:t>
      </w:r>
      <w:hyperlink r:id="rId10">
        <w:r>
          <w:rPr>
            <w:rStyle w:val="Hyperlink"/>
          </w:rPr>
          <w:t xml:space="preserve">evidence A1–A2</w:t>
        </w:r>
      </w:hyperlink>
      <w:r>
        <w:t xml:space="preserve">).</w:t>
      </w:r>
    </w:p>
    <w:p>
      <w:pPr>
        <w:pStyle w:val="BodyText"/>
      </w:pPr>
      <w:r>
        <w:rPr>
          <w:b/>
          <w:bCs/>
        </w:rPr>
        <w:t xml:space="preserve">Hackathon challenge (Theme #2):</w:t>
      </w:r>
      <w:r>
        <w:t xml:space="preserve"> </w:t>
      </w:r>
      <w:r>
        <w:rPr>
          <w:i/>
          <w:iCs/>
        </w:rPr>
        <w:t xml:space="preserve">How might we use AI to transform identified social needs into effective, context-aware solutions that can be immediately implemented and scaled?</w:t>
      </w:r>
    </w:p>
    <w:p>
      <w:r>
        <w:pict>
          <v:rect style="width:0;height:1.5pt" o:hralign="center" o:hrstd="t" o:hr="t"/>
        </w:pict>
      </w:r>
    </w:p>
    <w:bookmarkEnd w:id="11"/>
    <w:bookmarkStart w:id="12" w:name="c.-the-solution-innovation"/>
    <w:p>
      <w:pPr>
        <w:pStyle w:val="Heading2"/>
      </w:pPr>
      <w:r>
        <w:t xml:space="preserve">C. The Solution / Innovation</w:t>
      </w:r>
    </w:p>
    <w:p>
      <w:pPr>
        <w:pStyle w:val="FirstParagraph"/>
      </w:pPr>
      <w:r>
        <w:rPr>
          <w:b/>
          <w:bCs/>
        </w:rPr>
        <w:t xml:space="preserve">Ciel</w:t>
      </w:r>
      <w:r>
        <w:t xml:space="preserve"> </w:t>
      </w:r>
      <w:r>
        <w:t xml:space="preserve">productizes the consulting playbooks the sector already trusts (BCG 10-20-70, McKinsey Rewired, Deloitte Trustworthy AI) into a deployable operating system with three integrated modules:</w:t>
      </w:r>
    </w:p>
    <w:p>
      <w:pPr>
        <w:pStyle w:val="Compact"/>
        <w:numPr>
          <w:ilvl w:val="0"/>
          <w:numId w:val="1001"/>
        </w:numPr>
      </w:pPr>
      <w:r>
        <w:rPr>
          <w:b/>
          <w:bCs/>
        </w:rPr>
        <w:t xml:space="preserve">Design</w:t>
      </w:r>
      <w:r>
        <w:t xml:space="preserve"> </w:t>
      </w:r>
      <w:r>
        <w:t xml:space="preserve">— AI-assisted Theory of Change from a plain-language need, with evidence citations and</w:t>
      </w:r>
      <w:r>
        <w:t xml:space="preserve"> </w:t>
      </w:r>
      <w:r>
        <w:t xml:space="preserve">“intelligent failure”</w:t>
      </w:r>
      <w:r>
        <w:t xml:space="preserve"> </w:t>
      </w:r>
      <w:r>
        <w:t xml:space="preserve">prompts.</w:t>
      </w:r>
    </w:p>
    <w:p>
      <w:pPr>
        <w:pStyle w:val="Compact"/>
        <w:numPr>
          <w:ilvl w:val="0"/>
          <w:numId w:val="1001"/>
        </w:numPr>
      </w:pPr>
      <w:r>
        <w:rPr>
          <w:b/>
          <w:bCs/>
        </w:rPr>
        <w:t xml:space="preserve">Fund</w:t>
      </w:r>
      <w:r>
        <w:t xml:space="preserve"> </w:t>
      </w:r>
      <w:r>
        <w:t xml:space="preserve">— Automated grant writing aligned to funder KPIs, grounded in the locked logic model.</w:t>
      </w:r>
    </w:p>
    <w:p>
      <w:pPr>
        <w:pStyle w:val="Compact"/>
        <w:numPr>
          <w:ilvl w:val="0"/>
          <w:numId w:val="1001"/>
        </w:numPr>
      </w:pPr>
      <w:r>
        <w:rPr>
          <w:b/>
          <w:bCs/>
        </w:rPr>
        <w:t xml:space="preserve">Prove &amp; scale</w:t>
      </w:r>
      <w:r>
        <w:t xml:space="preserve"> </w:t>
      </w:r>
      <w:r>
        <w:t xml:space="preserve">— Predictive M&amp;E with offline/SMS field ingestion and</w:t>
      </w:r>
      <w:r>
        <w:t xml:space="preserve"> </w:t>
      </w:r>
      <w:r>
        <w:rPr>
          <w:b/>
          <w:bCs/>
        </w:rPr>
        <w:t xml:space="preserve">scale / adapt / stop</w:t>
      </w:r>
      <w:r>
        <w:t xml:space="preserve"> </w:t>
      </w:r>
      <w:r>
        <w:t xml:space="preserve">signals before funding runs out.</w:t>
      </w:r>
    </w:p>
    <w:p>
      <w:pPr>
        <w:pStyle w:val="FirstParagraph"/>
      </w:pPr>
      <w:r>
        <w:rPr>
          <w:b/>
          <w:bCs/>
        </w:rPr>
        <w:t xml:space="preserve">Innovation:</w:t>
      </w:r>
      <w:r>
        <w:t xml:space="preserve"> </w:t>
      </w:r>
      <w:r>
        <w:t xml:space="preserve">Ciel occupies an unclaimed category — program execution and impact proof — adjacent to, not competing with, donor CRMs. Incumbents manage the</w:t>
      </w:r>
      <w:r>
        <w:t xml:space="preserve"> </w:t>
      </w:r>
      <w:r>
        <w:rPr>
          <w:i/>
          <w:iCs/>
        </w:rPr>
        <w:t xml:space="preserve">money</w:t>
      </w:r>
      <w:r>
        <w:t xml:space="preserve">; Ciel is the</w:t>
      </w:r>
      <w:r>
        <w:t xml:space="preserve"> </w:t>
      </w:r>
      <w:r>
        <w:rPr>
          <w:i/>
          <w:iCs/>
        </w:rPr>
        <w:t xml:space="preserve">brain</w:t>
      </w:r>
      <w:r>
        <w:t xml:space="preserve"> </w:t>
      </w:r>
      <w:r>
        <w:t xml:space="preserve">that designs and proves the mission.</w:t>
      </w:r>
    </w:p>
    <w:p>
      <w:r>
        <w:pict>
          <v:rect style="width:0;height:1.5pt" o:hralign="center" o:hrstd="t" o:hr="t"/>
        </w:pict>
      </w:r>
    </w:p>
    <w:bookmarkEnd w:id="12"/>
    <w:bookmarkStart w:id="13" w:name="d.-solution-details-components-features"/>
    <w:p>
      <w:pPr>
        <w:pStyle w:val="Heading2"/>
      </w:pPr>
      <w:r>
        <w:t xml:space="preserve">D. Solution Details / Components / Features</w:t>
      </w:r>
    </w:p>
    <w:tbl>
      <w:tblPr>
        <w:tblStyle w:val="Table"/>
        <w:tblW w:type="pct" w:w="5000"/>
        <w:tblLayout w:type="fixed"/>
        <w:tblLook w:firstRow="1" w:lastRow="0" w:firstColumn="0" w:lastColumn="0" w:noHBand="0" w:noVBand="0" w:val="0020"/>
      </w:tblPr>
      <w:tblGrid>
        <w:gridCol w:w="1920"/>
        <w:gridCol w:w="2880"/>
        <w:gridCol w:w="3120"/>
      </w:tblGrid>
      <w:tr>
        <w:trPr>
          <w:tblHeader w:val="on"/>
        </w:trPr>
        <w:tc>
          <w:tcPr/>
          <w:p>
            <w:pPr>
              <w:pStyle w:val="Compact"/>
            </w:pPr>
            <w:r>
              <w:t xml:space="preserve">Module</w:t>
            </w:r>
          </w:p>
        </w:tc>
        <w:tc>
          <w:tcPr/>
          <w:p>
            <w:pPr>
              <w:pStyle w:val="Compact"/>
            </w:pPr>
            <w:r>
              <w:t xml:space="preserve">Feature ID</w:t>
            </w:r>
          </w:p>
        </w:tc>
        <w:tc>
          <w:tcPr/>
          <w:p>
            <w:pPr>
              <w:pStyle w:val="Compact"/>
            </w:pPr>
            <w:r>
              <w:t xml:space="preserve">Description</w:t>
            </w:r>
          </w:p>
        </w:tc>
      </w:tr>
      <w:tr>
        <w:tc>
          <w:tcPr/>
          <w:p>
            <w:pPr>
              <w:pStyle w:val="Compact"/>
            </w:pPr>
            <w:r>
              <w:rPr>
                <w:b/>
                <w:bCs/>
              </w:rPr>
              <w:t xml:space="preserve">ToC Generator</w:t>
            </w:r>
          </w:p>
        </w:tc>
        <w:tc>
          <w:tcPr/>
          <w:p>
            <w:pPr>
              <w:pStyle w:val="Compact"/>
            </w:pPr>
            <w:r>
              <w:t xml:space="preserve">PRD-F1</w:t>
            </w:r>
          </w:p>
        </w:tc>
        <w:tc>
          <w:tcPr/>
          <w:p>
            <w:pPr>
              <w:pStyle w:val="Compact"/>
            </w:pPr>
            <w:r>
              <w:t xml:space="preserve">Root-cause interrogation → visual + narrative Theory of Change with RAG-grounded citations; adversarial</w:t>
            </w:r>
            <w:r>
              <w:t xml:space="preserve"> </w:t>
            </w:r>
            <w:r>
              <w:t xml:space="preserve">“what failed before”</w:t>
            </w:r>
            <w:r>
              <w:t xml:space="preserve"> </w:t>
            </w:r>
            <w:r>
              <w:t xml:space="preserve">critique before lock</w:t>
            </w:r>
          </w:p>
        </w:tc>
      </w:tr>
      <w:tr>
        <w:tc>
          <w:tcPr/>
          <w:p>
            <w:pPr>
              <w:pStyle w:val="Compact"/>
            </w:pPr>
            <w:r>
              <w:rPr>
                <w:b/>
                <w:bCs/>
              </w:rPr>
              <w:t xml:space="preserve">Grant Workspace</w:t>
            </w:r>
          </w:p>
        </w:tc>
        <w:tc>
          <w:tcPr/>
          <w:p>
            <w:pPr>
              <w:pStyle w:val="Compact"/>
            </w:pPr>
            <w:r>
              <w:t xml:space="preserve">PRD-F2</w:t>
            </w:r>
          </w:p>
        </w:tc>
        <w:tc>
          <w:tcPr/>
          <w:p>
            <w:pPr>
              <w:pStyle w:val="Compact"/>
            </w:pPr>
            <w:r>
              <w:t xml:space="preserve">Locked ToC → funder-matched, compliance-ready proposal drafts; human-edited, never silently overwritten</w:t>
            </w:r>
          </w:p>
        </w:tc>
      </w:tr>
      <w:tr>
        <w:tc>
          <w:tcPr/>
          <w:p>
            <w:pPr>
              <w:pStyle w:val="Compact"/>
            </w:pPr>
            <w:r>
              <w:rPr>
                <w:b/>
                <w:bCs/>
              </w:rPr>
              <w:t xml:space="preserve">Predictive M&amp;E</w:t>
            </w:r>
          </w:p>
        </w:tc>
        <w:tc>
          <w:tcPr/>
          <w:p>
            <w:pPr>
              <w:pStyle w:val="Compact"/>
            </w:pPr>
            <w:r>
              <w:t xml:space="preserve">PRD-F3</w:t>
            </w:r>
          </w:p>
        </w:tc>
        <w:tc>
          <w:tcPr/>
          <w:p>
            <w:pPr>
              <w:pStyle w:val="Compact"/>
            </w:pPr>
            <w:r>
              <w:t xml:space="preserve">Leading indicators from web, offline PWA, or SMS; scale/adapt/stop recommendations tied to ToC assumptions</w:t>
            </w:r>
          </w:p>
        </w:tc>
      </w:tr>
      <w:tr>
        <w:tc>
          <w:tcPr/>
          <w:p>
            <w:pPr>
              <w:pStyle w:val="Compact"/>
            </w:pPr>
            <w:r>
              <w:rPr>
                <w:b/>
                <w:bCs/>
              </w:rPr>
              <w:t xml:space="preserve">Org Workspace</w:t>
            </w:r>
          </w:p>
        </w:tc>
        <w:tc>
          <w:tcPr/>
          <w:p>
            <w:pPr>
              <w:pStyle w:val="Compact"/>
            </w:pPr>
            <w:r>
              <w:t xml:space="preserve">PRD-F4</w:t>
            </w:r>
          </w:p>
        </w:tc>
        <w:tc>
          <w:tcPr/>
          <w:p>
            <w:pPr>
              <w:pStyle w:val="Compact"/>
            </w:pPr>
            <w:r>
              <w:t xml:space="preserve">Multi-org accounts, roles (admin/program/field/viewer), audit log</w:t>
            </w:r>
          </w:p>
        </w:tc>
      </w:tr>
      <w:tr>
        <w:tc>
          <w:tcPr/>
          <w:p>
            <w:pPr>
              <w:pStyle w:val="Compact"/>
            </w:pPr>
            <w:r>
              <w:rPr>
                <w:b/>
                <w:bCs/>
              </w:rPr>
              <w:t xml:space="preserve">Trustworthy AI</w:t>
            </w:r>
          </w:p>
        </w:tc>
        <w:tc>
          <w:tcPr/>
          <w:p>
            <w:pPr>
              <w:pStyle w:val="Compact"/>
            </w:pPr>
            <w:r>
              <w:t xml:space="preserve">PRD-F5</w:t>
            </w:r>
          </w:p>
        </w:tc>
        <w:tc>
          <w:tcPr/>
          <w:p>
            <w:pPr>
              <w:pStyle w:val="Compact"/>
            </w:pPr>
            <w:r>
              <w:t xml:space="preserve">Provenance on every output, HITL gates, grounded-or-silent rule</w:t>
            </w:r>
          </w:p>
        </w:tc>
      </w:tr>
      <w:tr>
        <w:tc>
          <w:tcPr/>
          <w:p>
            <w:pPr>
              <w:pStyle w:val="Compact"/>
            </w:pPr>
            <w:r>
              <w:rPr>
                <w:b/>
                <w:bCs/>
              </w:rPr>
              <w:t xml:space="preserve">Integrations</w:t>
            </w:r>
          </w:p>
        </w:tc>
        <w:tc>
          <w:tcPr/>
          <w:p>
            <w:pPr>
              <w:pStyle w:val="Compact"/>
            </w:pPr>
            <w:r>
              <w:t xml:space="preserve">PRD-F6</w:t>
            </w:r>
          </w:p>
        </w:tc>
        <w:tc>
          <w:tcPr/>
          <w:p>
            <w:pPr>
              <w:pStyle w:val="Compact"/>
            </w:pPr>
            <w:r>
              <w:t xml:space="preserve">v2: Bloomerang, Benevity (Ciel as brain, CRM as bank account)</w:t>
            </w:r>
          </w:p>
        </w:tc>
      </w:tr>
    </w:tbl>
    <w:p>
      <w:pPr>
        <w:pStyle w:val="BodyText"/>
      </w:pPr>
      <w:r>
        <w:rPr>
          <w:b/>
          <w:bCs/>
        </w:rPr>
        <w:t xml:space="preserve">Tech stack:</w:t>
      </w:r>
      <w:r>
        <w:t xml:space="preserve"> </w:t>
      </w:r>
      <w:r>
        <w:t xml:space="preserve">Next.js 16 (Vercel) · Python FastAPI + LangGraph (Google Cloud Run) · Microsoft Foundry (GPT-only) · Supabase (Postgres + pgvector + Auth)</w:t>
      </w:r>
    </w:p>
    <w:p>
      <w:r>
        <w:pict>
          <v:rect style="width:0;height:1.5pt" o:hralign="center" o:hrstd="t" o:hr="t"/>
        </w:pict>
      </w:r>
    </w:p>
    <w:bookmarkEnd w:id="13"/>
    <w:bookmarkStart w:id="16" w:name="e.-proof-of-concept-prototype"/>
    <w:p>
      <w:pPr>
        <w:pStyle w:val="Heading2"/>
      </w:pPr>
      <w:r>
        <w:t xml:space="preserve">E. Proof of Concept / Prototype</w:t>
      </w:r>
    </w:p>
    <w:p>
      <w:pPr>
        <w:pStyle w:val="FirstParagraph"/>
      </w:pPr>
      <w:r>
        <w:t xml:space="preserve">The PoC demonstrates the full</w:t>
      </w:r>
      <w:r>
        <w:t xml:space="preserve"> </w:t>
      </w:r>
      <w:r>
        <w:rPr>
          <w:b/>
          <w:bCs/>
        </w:rPr>
        <w:t xml:space="preserve">design → fund → prove</w:t>
      </w:r>
      <w:r>
        <w:t xml:space="preserve"> </w:t>
      </w:r>
      <w:r>
        <w:t xml:space="preserve">loop on a real Philippine social need:</w:t>
      </w:r>
    </w:p>
    <w:p>
      <w:pPr>
        <w:pStyle w:val="Compact"/>
        <w:numPr>
          <w:ilvl w:val="0"/>
          <w:numId w:val="1002"/>
        </w:numPr>
      </w:pPr>
      <w:r>
        <w:rPr>
          <w:b/>
          <w:bCs/>
        </w:rPr>
        <w:t xml:space="preserve">User flow:</w:t>
      </w:r>
      <w:r>
        <w:t xml:space="preserve"> </w:t>
      </w:r>
      <w:r>
        <w:t xml:space="preserve">Sign-in → org onboarding → need intake → ToC Studio (generate → challenge → lock) → Grant Workspace → Project Dashboard → field data → scale/adapt/stop signal.</w:t>
      </w:r>
    </w:p>
    <w:p>
      <w:pPr>
        <w:pStyle w:val="Compact"/>
        <w:numPr>
          <w:ilvl w:val="0"/>
          <w:numId w:val="1002"/>
        </w:numPr>
      </w:pPr>
      <w:r>
        <w:rPr>
          <w:b/>
          <w:bCs/>
        </w:rPr>
        <w:t xml:space="preserve">Architecture:</w:t>
      </w:r>
      <w:r>
        <w:t xml:space="preserve"> </w:t>
      </w:r>
      <w:r>
        <w:t xml:space="preserve">Two-tier app (Next.js + Python AI service on Cloud Run) fronting Microsoft Foundry and Supabase — see</w:t>
      </w:r>
      <w:r>
        <w:t xml:space="preserve"> </w:t>
      </w:r>
      <w:hyperlink r:id="rId14">
        <w:r>
          <w:rPr>
            <w:rStyle w:val="Hyperlink"/>
          </w:rPr>
          <w:t xml:space="preserve">PoC.md</w:t>
        </w:r>
      </w:hyperlink>
      <w:r>
        <w:t xml:space="preserve"> </w:t>
      </w:r>
      <w:r>
        <w:t xml:space="preserve">for diagrams.</w:t>
      </w:r>
    </w:p>
    <w:p>
      <w:pPr>
        <w:pStyle w:val="Compact"/>
        <w:numPr>
          <w:ilvl w:val="0"/>
          <w:numId w:val="1002"/>
        </w:numPr>
      </w:pPr>
      <w:r>
        <w:rPr>
          <w:b/>
          <w:bCs/>
        </w:rPr>
        <w:t xml:space="preserve">Demo:</w:t>
      </w:r>
      <w:r>
        <w:t xml:space="preserve"> </w:t>
      </w:r>
      <w:r>
        <w:t xml:space="preserve">1–3 minute video walkthrough per</w:t>
      </w:r>
      <w:r>
        <w:t xml:space="preserve"> </w:t>
      </w:r>
      <w:hyperlink r:id="rId15">
        <w:r>
          <w:rPr>
            <w:rStyle w:val="Hyperlink"/>
          </w:rPr>
          <w:t xml:space="preserve">elimination-video-script.md</w:t>
        </w:r>
      </w:hyperlink>
      <w:r>
        <w:t xml:space="preserve">.</w:t>
      </w:r>
    </w:p>
    <w:p>
      <w:pPr>
        <w:pStyle w:val="Compact"/>
        <w:numPr>
          <w:ilvl w:val="0"/>
          <w:numId w:val="1002"/>
        </w:numPr>
      </w:pPr>
      <w:r>
        <w:rPr>
          <w:b/>
          <w:bCs/>
        </w:rPr>
        <w:t xml:space="preserve">Repository:</w:t>
      </w:r>
      <w:r>
        <w:t xml:space="preserve"> </w:t>
      </w:r>
      <w:r>
        <w:t xml:space="preserve">Public GitHub with README and commit history.</w:t>
      </w:r>
    </w:p>
    <w:p>
      <w:r>
        <w:pict>
          <v:rect style="width:0;height:1.5pt" o:hralign="center" o:hrstd="t" o:hr="t"/>
        </w:pict>
      </w:r>
    </w:p>
    <w:bookmarkEnd w:id="16"/>
    <w:bookmarkStart w:id="17" w:name="f.-team-members-roles"/>
    <w:p>
      <w:pPr>
        <w:pStyle w:val="Heading2"/>
      </w:pPr>
      <w:r>
        <w:t xml:space="preserve">F. Team Members &amp; Roles</w:t>
      </w:r>
    </w:p>
    <w:tbl>
      <w:tblPr>
        <w:tblStyle w:val="Table"/>
        <w:tblW w:type="pct" w:w="5000"/>
        <w:tblLayout w:type="fixed"/>
        <w:tblLook w:firstRow="1" w:lastRow="0" w:firstColumn="0" w:lastColumn="0" w:noHBand="0" w:noVBand="0" w:val="0020"/>
      </w:tblPr>
      <w:tblGrid>
        <w:gridCol w:w="1697"/>
        <w:gridCol w:w="1697"/>
        <w:gridCol w:w="4525"/>
      </w:tblGrid>
      <w:tr>
        <w:trPr>
          <w:tblHeader w:val="on"/>
        </w:trPr>
        <w:tc>
          <w:tcPr/>
          <w:p>
            <w:pPr>
              <w:pStyle w:val="Compact"/>
            </w:pPr>
            <w:r>
              <w:t xml:space="preserve">Name</w:t>
            </w:r>
          </w:p>
        </w:tc>
        <w:tc>
          <w:tcPr/>
          <w:p>
            <w:pPr>
              <w:pStyle w:val="Compact"/>
            </w:pPr>
            <w:r>
              <w:t xml:space="preserve">Role</w:t>
            </w:r>
          </w:p>
        </w:tc>
        <w:tc>
          <w:tcPr/>
          <w:p>
            <w:pPr>
              <w:pStyle w:val="Compact"/>
            </w:pPr>
            <w:r>
              <w:t xml:space="preserve">Responsibility</w:t>
            </w:r>
          </w:p>
        </w:tc>
      </w:tr>
      <w:tr>
        <w:tc>
          <w:tcPr/>
          <w:p>
            <w:pPr>
              <w:pStyle w:val="Compact"/>
            </w:pPr>
            <w:r>
              <w:rPr>
                <w:i/>
                <w:iCs/>
              </w:rPr>
              <w:t xml:space="preserve">[Team Lead]</w:t>
            </w:r>
          </w:p>
        </w:tc>
        <w:tc>
          <w:tcPr/>
          <w:p>
            <w:pPr>
              <w:pStyle w:val="Compact"/>
            </w:pPr>
            <w:r>
              <w:t xml:space="preserve">Sponsor / Product lead</w:t>
            </w:r>
          </w:p>
        </w:tc>
        <w:tc>
          <w:tcPr/>
          <w:p>
            <w:pPr>
              <w:pStyle w:val="Compact"/>
            </w:pPr>
            <w:r>
              <w:t xml:space="preserve">Scope, story, submission approval</w:t>
            </w:r>
          </w:p>
        </w:tc>
      </w:tr>
      <w:tr>
        <w:tc>
          <w:tcPr/>
          <w:p>
            <w:pPr>
              <w:pStyle w:val="Compact"/>
            </w:pPr>
            <w:r>
              <w:rPr>
                <w:i/>
                <w:iCs/>
              </w:rPr>
              <w:t xml:space="preserve">[Member]</w:t>
            </w:r>
          </w:p>
        </w:tc>
        <w:tc>
          <w:tcPr/>
          <w:p>
            <w:pPr>
              <w:pStyle w:val="Compact"/>
            </w:pPr>
            <w:r>
              <w:t xml:space="preserve">Product / Research</w:t>
            </w:r>
          </w:p>
        </w:tc>
        <w:tc>
          <w:tcPr/>
          <w:p>
            <w:pPr>
              <w:pStyle w:val="Compact"/>
            </w:pPr>
            <w:r>
              <w:t xml:space="preserve">Thesis, brief, citations, GTM narrative</w:t>
            </w:r>
          </w:p>
        </w:tc>
      </w:tr>
      <w:tr>
        <w:tc>
          <w:tcPr/>
          <w:p>
            <w:pPr>
              <w:pStyle w:val="Compact"/>
            </w:pPr>
            <w:r>
              <w:rPr>
                <w:i/>
                <w:iCs/>
              </w:rPr>
              <w:t xml:space="preserve">[Member]</w:t>
            </w:r>
          </w:p>
        </w:tc>
        <w:tc>
          <w:tcPr/>
          <w:p>
            <w:pPr>
              <w:pStyle w:val="Compact"/>
            </w:pPr>
            <w:r>
              <w:t xml:space="preserve">Engineering lead</w:t>
            </w:r>
          </w:p>
        </w:tc>
        <w:tc>
          <w:tcPr/>
          <w:p>
            <w:pPr>
              <w:pStyle w:val="Compact"/>
            </w:pPr>
            <w:r>
              <w:t xml:space="preserve">Next.js + AI service + Cloud Run deploy</w:t>
            </w:r>
          </w:p>
        </w:tc>
      </w:tr>
      <w:tr>
        <w:tc>
          <w:tcPr/>
          <w:p>
            <w:pPr>
              <w:pStyle w:val="Compact"/>
            </w:pPr>
            <w:r>
              <w:rPr>
                <w:i/>
                <w:iCs/>
              </w:rPr>
              <w:t xml:space="preserve">[Member]</w:t>
            </w:r>
          </w:p>
        </w:tc>
        <w:tc>
          <w:tcPr/>
          <w:p>
            <w:pPr>
              <w:pStyle w:val="Compact"/>
            </w:pPr>
            <w:r>
              <w:t xml:space="preserve">Designer</w:t>
            </w:r>
          </w:p>
        </w:tc>
        <w:tc>
          <w:tcPr/>
          <w:p>
            <w:pPr>
              <w:pStyle w:val="Compact"/>
            </w:pPr>
            <w:r>
              <w:t xml:space="preserve">DSD, wireframes, presentation visuals</w:t>
            </w:r>
          </w:p>
        </w:tc>
      </w:tr>
      <w:tr>
        <w:tc>
          <w:tcPr/>
          <w:p>
            <w:pPr>
              <w:pStyle w:val="Compact"/>
            </w:pPr>
            <w:r>
              <w:rPr>
                <w:i/>
                <w:iCs/>
              </w:rPr>
              <w:t xml:space="preserve">[Member]</w:t>
            </w:r>
          </w:p>
        </w:tc>
        <w:tc>
          <w:tcPr/>
          <w:p>
            <w:pPr>
              <w:pStyle w:val="Compact"/>
            </w:pPr>
            <w:r>
              <w:t xml:space="preserve">Presenter</w:t>
            </w:r>
          </w:p>
        </w:tc>
        <w:tc>
          <w:tcPr/>
          <w:p>
            <w:pPr>
              <w:pStyle w:val="Compact"/>
            </w:pPr>
            <w:r>
              <w:t xml:space="preserve">Demo flow, pitch, Q&amp;A defense</w:t>
            </w:r>
          </w:p>
        </w:tc>
      </w:tr>
    </w:tbl>
    <w:p>
      <w:pPr>
        <w:pStyle w:val="BodyText"/>
      </w:pPr>
      <w:r>
        <w:rPr>
          <w:i/>
          <w:iCs/>
        </w:rPr>
        <w:t xml:space="preserve">Replace placeholders with registered team names before submission.</w:t>
      </w:r>
    </w:p>
    <w:p>
      <w:r>
        <w:pict>
          <v:rect style="width:0;height:1.5pt" o:hralign="center" o:hrstd="t" o:hr="t"/>
        </w:pict>
      </w:r>
    </w:p>
    <w:bookmarkEnd w:id="17"/>
    <w:bookmarkStart w:id="20" w:name="g.-references"/>
    <w:p>
      <w:pPr>
        <w:pStyle w:val="Heading2"/>
      </w:pPr>
      <w:r>
        <w:t xml:space="preserve">G. References</w:t>
      </w:r>
    </w:p>
    <w:p>
      <w:pPr>
        <w:pStyle w:val="Compact"/>
        <w:numPr>
          <w:ilvl w:val="0"/>
          <w:numId w:val="1003"/>
        </w:numPr>
      </w:pPr>
      <w:r>
        <w:t xml:space="preserve">McKinsey Global Survey on AI (2025) — adoption vs scaling gap (</w:t>
      </w:r>
      <w:hyperlink r:id="rId10">
        <w:r>
          <w:rPr>
            <w:rStyle w:val="Hyperlink"/>
          </w:rPr>
          <w:t xml:space="preserve">evidence A1–A2</w:t>
        </w:r>
      </w:hyperlink>
      <w:r>
        <w:t xml:space="preserve">)</w:t>
      </w:r>
    </w:p>
    <w:p>
      <w:pPr>
        <w:pStyle w:val="Compact"/>
        <w:numPr>
          <w:ilvl w:val="0"/>
          <w:numId w:val="1003"/>
        </w:numPr>
      </w:pPr>
      <w:r>
        <w:t xml:space="preserve">BCG $500M AI for social impact commitment + Anthropic partnership (</w:t>
      </w:r>
      <w:hyperlink r:id="rId10">
        <w:r>
          <w:rPr>
            <w:rStyle w:val="Hyperlink"/>
          </w:rPr>
          <w:t xml:space="preserve">evidence C2</w:t>
        </w:r>
      </w:hyperlink>
      <w:r>
        <w:t xml:space="preserve">)</w:t>
      </w:r>
    </w:p>
    <w:p>
      <w:pPr>
        <w:pStyle w:val="Compact"/>
        <w:numPr>
          <w:ilvl w:val="0"/>
          <w:numId w:val="1003"/>
        </w:numPr>
      </w:pPr>
      <w:r>
        <w:t xml:space="preserve">IBM watsonx at UHCW — ~700 extra patients/week (</w:t>
      </w:r>
      <w:hyperlink r:id="rId10">
        <w:r>
          <w:rPr>
            <w:rStyle w:val="Hyperlink"/>
          </w:rPr>
          <w:t xml:space="preserve">evidence D1</w:t>
        </w:r>
      </w:hyperlink>
      <w:r>
        <w:t xml:space="preserve">)</w:t>
      </w:r>
    </w:p>
    <w:p>
      <w:pPr>
        <w:pStyle w:val="Compact"/>
        <w:numPr>
          <w:ilvl w:val="0"/>
          <w:numId w:val="1003"/>
        </w:numPr>
      </w:pPr>
      <w:r>
        <w:t xml:space="preserve">Salesforce nonprofit</w:t>
      </w:r>
      <w:r>
        <w:t xml:space="preserve"> </w:t>
      </w:r>
      <w:r>
        <w:t xml:space="preserve">“free like a puppy”</w:t>
      </w:r>
      <w:r>
        <w:t xml:space="preserve"> </w:t>
      </w:r>
      <w:r>
        <w:t xml:space="preserve">implementation costs (</w:t>
      </w:r>
      <w:hyperlink r:id="rId10">
        <w:r>
          <w:rPr>
            <w:rStyle w:val="Hyperlink"/>
          </w:rPr>
          <w:t xml:space="preserve">evidence B1–B2</w:t>
        </w:r>
      </w:hyperlink>
      <w:r>
        <w:t xml:space="preserve">)</w:t>
      </w:r>
    </w:p>
    <w:p>
      <w:pPr>
        <w:pStyle w:val="Compact"/>
        <w:numPr>
          <w:ilvl w:val="0"/>
          <w:numId w:val="1003"/>
        </w:numPr>
      </w:pPr>
      <w:r>
        <w:t xml:space="preserve">Philippines Data Privacy Act (RA 10173) · New Government Procurement Act (RA 12009)</w:t>
      </w:r>
    </w:p>
    <w:p>
      <w:pPr>
        <w:pStyle w:val="Compact"/>
        <w:numPr>
          <w:ilvl w:val="0"/>
          <w:numId w:val="1003"/>
        </w:numPr>
      </w:pPr>
      <w:r>
        <w:t xml:space="preserve">Create &amp; Conquer 2026 Hackathon Guide —</w:t>
      </w:r>
      <w:r>
        <w:t xml:space="preserve"> </w:t>
      </w:r>
      <w:hyperlink r:id="rId18">
        <w:r>
          <w:rPr>
            <w:rStyle w:val="Hyperlink"/>
          </w:rPr>
          <w:t xml:space="preserve">hackathon-guide.md</w:t>
        </w:r>
      </w:hyperlink>
    </w:p>
    <w:p>
      <w:pPr>
        <w:pStyle w:val="Compact"/>
        <w:numPr>
          <w:ilvl w:val="0"/>
          <w:numId w:val="1003"/>
        </w:numPr>
      </w:pPr>
      <w:r>
        <w:t xml:space="preserve">Ciel documentation suite —</w:t>
      </w:r>
      <w:r>
        <w:t xml:space="preserve"> </w:t>
      </w:r>
      <w:hyperlink r:id="rId19">
        <w:r>
          <w:rPr>
            <w:rStyle w:val="Hyperlink"/>
          </w:rPr>
          <w:t xml:space="preserve">docs/index.md</w:t>
        </w:r>
      </w:hyperlink>
    </w:p>
    <w:p>
      <w:r>
        <w:pict>
          <v:rect style="width:0;height:1.5pt" o:hralign="center" o:hrstd="t" o:hr="t"/>
        </w:pict>
      </w:r>
    </w:p>
    <w:bookmarkEnd w:id="20"/>
    <w:bookmarkStart w:id="24" w:name="h.-use-of-ai-in-the-project"/>
    <w:p>
      <w:pPr>
        <w:pStyle w:val="Heading2"/>
      </w:pPr>
      <w:r>
        <w:t xml:space="preserve">H. Use of AI in the Project</w:t>
      </w:r>
    </w:p>
    <w:p>
      <w:pPr>
        <w:pStyle w:val="FirstParagraph"/>
      </w:pPr>
      <w:r>
        <w:t xml:space="preserve">AI is</w:t>
      </w:r>
      <w:r>
        <w:t xml:space="preserve"> </w:t>
      </w:r>
      <w:r>
        <w:rPr>
          <w:b/>
          <w:bCs/>
        </w:rPr>
        <w:t xml:space="preserve">core to the product</w:t>
      </w:r>
      <w:r>
        <w:t xml:space="preserve"> </w:t>
      </w:r>
      <w:r>
        <w:t xml:space="preserve">and</w:t>
      </w:r>
      <w:r>
        <w:t xml:space="preserve"> </w:t>
      </w:r>
      <w:r>
        <w:rPr>
          <w:b/>
          <w:bCs/>
        </w:rPr>
        <w:t xml:space="preserve">used in development</w:t>
      </w:r>
      <w:r>
        <w:t xml:space="preserve">:</w:t>
      </w:r>
    </w:p>
    <w:bookmarkStart w:id="21" w:name="in-the-product-runtime"/>
    <w:p>
      <w:pPr>
        <w:pStyle w:val="Heading3"/>
      </w:pPr>
      <w:r>
        <w:t xml:space="preserve">In the product (runtime)</w:t>
      </w:r>
    </w:p>
    <w:tbl>
      <w:tblPr>
        <w:tblStyle w:val="Table"/>
        <w:tblW w:type="pct" w:w="5000"/>
        <w:tblLayout w:type="fixed"/>
        <w:tblLook w:firstRow="1" w:lastRow="0" w:firstColumn="0" w:lastColumn="0" w:noHBand="0" w:noVBand="0" w:val="0020"/>
      </w:tblPr>
      <w:tblGrid>
        <w:gridCol w:w="1414"/>
        <w:gridCol w:w="3960"/>
        <w:gridCol w:w="2545"/>
      </w:tblGrid>
      <w:tr>
        <w:trPr>
          <w:tblHeader w:val="on"/>
        </w:trPr>
        <w:tc>
          <w:tcPr/>
          <w:p>
            <w:pPr>
              <w:pStyle w:val="Compact"/>
            </w:pPr>
            <w:r>
              <w:t xml:space="preserve">Use</w:t>
            </w:r>
          </w:p>
        </w:tc>
        <w:tc>
          <w:tcPr/>
          <w:p>
            <w:pPr>
              <w:pStyle w:val="Compact"/>
            </w:pPr>
            <w:r>
              <w:t xml:space="preserve">Tool / model</w:t>
            </w:r>
          </w:p>
        </w:tc>
        <w:tc>
          <w:tcPr/>
          <w:p>
            <w:pPr>
              <w:pStyle w:val="Compact"/>
            </w:pPr>
            <w:r>
              <w:t xml:space="preserve">Purpose</w:t>
            </w:r>
          </w:p>
        </w:tc>
      </w:tr>
      <w:tr>
        <w:tc>
          <w:tcPr/>
          <w:p>
            <w:pPr>
              <w:pStyle w:val="Compact"/>
            </w:pPr>
            <w:r>
              <w:t xml:space="preserve">ToC generation + critique</w:t>
            </w:r>
          </w:p>
        </w:tc>
        <w:tc>
          <w:tcPr/>
          <w:p>
            <w:pPr>
              <w:pStyle w:val="Compact"/>
            </w:pPr>
            <w:r>
              <w:t xml:space="preserve">Microsoft Foundry (GPT frontier)</w:t>
            </w:r>
          </w:p>
        </w:tc>
        <w:tc>
          <w:tcPr/>
          <w:p>
            <w:pPr>
              <w:pStyle w:val="Compact"/>
            </w:pPr>
            <w:r>
              <w:t xml:space="preserve">Grounded reasoning, adversarial failure prompts</w:t>
            </w:r>
          </w:p>
        </w:tc>
      </w:tr>
      <w:tr>
        <w:tc>
          <w:tcPr/>
          <w:p>
            <w:pPr>
              <w:pStyle w:val="Compact"/>
            </w:pPr>
            <w:r>
              <w:t xml:space="preserve">Grant section drafting</w:t>
            </w:r>
          </w:p>
        </w:tc>
        <w:tc>
          <w:tcPr/>
          <w:p>
            <w:pPr>
              <w:pStyle w:val="Compact"/>
            </w:pPr>
            <w:r>
              <w:t xml:space="preserve">Microsoft Foundry (GPT frontier)</w:t>
            </w:r>
          </w:p>
        </w:tc>
        <w:tc>
          <w:tcPr/>
          <w:p>
            <w:pPr>
              <w:pStyle w:val="Compact"/>
            </w:pPr>
            <w:r>
              <w:t xml:space="preserve">Structured long-form with citations</w:t>
            </w:r>
          </w:p>
        </w:tc>
      </w:tr>
      <w:tr>
        <w:tc>
          <w:tcPr/>
          <w:p>
            <w:pPr>
              <w:pStyle w:val="Compact"/>
            </w:pPr>
            <w:r>
              <w:t xml:space="preserve">M&amp;E signal rationale</w:t>
            </w:r>
          </w:p>
        </w:tc>
        <w:tc>
          <w:tcPr/>
          <w:p>
            <w:pPr>
              <w:pStyle w:val="Compact"/>
            </w:pPr>
            <w:r>
              <w:t xml:space="preserve">Microsoft Foundry (GPT frontier)</w:t>
            </w:r>
          </w:p>
        </w:tc>
        <w:tc>
          <w:tcPr/>
          <w:p>
            <w:pPr>
              <w:pStyle w:val="Compact"/>
            </w:pPr>
            <w:r>
              <w:t xml:space="preserve">Concise grounded interpretation</w:t>
            </w:r>
          </w:p>
        </w:tc>
      </w:tr>
      <w:tr>
        <w:tc>
          <w:tcPr/>
          <w:p>
            <w:pPr>
              <w:pStyle w:val="Compact"/>
            </w:pPr>
            <w:r>
              <w:t xml:space="preserve">SMS / classify parse</w:t>
            </w:r>
          </w:p>
        </w:tc>
        <w:tc>
          <w:tcPr/>
          <w:p>
            <w:pPr>
              <w:pStyle w:val="Compact"/>
            </w:pPr>
            <w:r>
              <w:t xml:space="preserve">Microsoft Foundry (GPT-mini)</w:t>
            </w:r>
          </w:p>
        </w:tc>
        <w:tc>
          <w:tcPr/>
          <w:p>
            <w:pPr>
              <w:pStyle w:val="Compact"/>
            </w:pPr>
            <w:r>
              <w:t xml:space="preserve">Low-cost intent parsing</w:t>
            </w:r>
          </w:p>
        </w:tc>
      </w:tr>
      <w:tr>
        <w:tc>
          <w:tcPr/>
          <w:p>
            <w:pPr>
              <w:pStyle w:val="Compact"/>
            </w:pPr>
            <w:r>
              <w:t xml:space="preserve">Evidence retrieval</w:t>
            </w:r>
          </w:p>
        </w:tc>
        <w:tc>
          <w:tcPr/>
          <w:p>
            <w:pPr>
              <w:pStyle w:val="Compact"/>
            </w:pPr>
            <w:r>
              <w:t xml:space="preserve">Foundry IQ + pgvector</w:t>
            </w:r>
          </w:p>
        </w:tc>
        <w:tc>
          <w:tcPr/>
          <w:p>
            <w:pPr>
              <w:pStyle w:val="Compact"/>
            </w:pPr>
            <w:r>
              <w:t xml:space="preserve">RAG over curated corpus</w:t>
            </w:r>
          </w:p>
        </w:tc>
      </w:tr>
    </w:tbl>
    <w:p>
      <w:pPr>
        <w:pStyle w:val="BodyText"/>
      </w:pPr>
      <w:r>
        <w:t xml:space="preserve">All outputs are</w:t>
      </w:r>
      <w:r>
        <w:t xml:space="preserve"> </w:t>
      </w:r>
      <w:r>
        <w:rPr>
          <w:b/>
          <w:bCs/>
        </w:rPr>
        <w:t xml:space="preserve">grounded or explicitly flagged unverified</w:t>
      </w:r>
      <w:r>
        <w:t xml:space="preserve">; consequential actions require human-in-the-loop approval (SDD §8.1).</w:t>
      </w:r>
    </w:p>
    <w:bookmarkEnd w:id="21"/>
    <w:bookmarkStart w:id="23" w:name="in-development-build-time"/>
    <w:p>
      <w:pPr>
        <w:pStyle w:val="Heading3"/>
      </w:pPr>
      <w:r>
        <w:t xml:space="preserve">In development (build-time)</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Tool</w:t>
            </w:r>
          </w:p>
        </w:tc>
        <w:tc>
          <w:tcPr/>
          <w:p>
            <w:pPr>
              <w:pStyle w:val="Compact"/>
            </w:pPr>
            <w:r>
              <w:t xml:space="preserve">How we used it</w:t>
            </w:r>
          </w:p>
        </w:tc>
      </w:tr>
      <w:tr>
        <w:tc>
          <w:tcPr/>
          <w:p>
            <w:pPr>
              <w:pStyle w:val="Compact"/>
            </w:pPr>
            <w:r>
              <w:rPr>
                <w:b/>
                <w:bCs/>
              </w:rPr>
              <w:t xml:space="preserve">Cursor / Claude / GPT coding agents</w:t>
            </w:r>
          </w:p>
        </w:tc>
        <w:tc>
          <w:tcPr/>
          <w:p>
            <w:pPr>
              <w:pStyle w:val="Compact"/>
            </w:pPr>
            <w:r>
              <w:t xml:space="preserve">Scaffolded Next.js UI, FastAPI routes, LangGraph nodes, migrations, and documentation</w:t>
            </w:r>
          </w:p>
        </w:tc>
      </w:tr>
      <w:tr>
        <w:tc>
          <w:tcPr/>
          <w:p>
            <w:pPr>
              <w:pStyle w:val="Compact"/>
            </w:pPr>
            <w:r>
              <w:rPr>
                <w:b/>
                <w:bCs/>
              </w:rPr>
              <w:t xml:space="preserve">Microsoft Foundry</w:t>
            </w:r>
          </w:p>
        </w:tc>
        <w:tc>
          <w:tcPr/>
          <w:p>
            <w:pPr>
              <w:pStyle w:val="Compact"/>
            </w:pPr>
            <w:r>
              <w:t xml:space="preserve">Model runtime for integration testing and eval gates</w:t>
            </w:r>
          </w:p>
        </w:tc>
      </w:tr>
      <w:tr>
        <w:tc>
          <w:tcPr/>
          <w:p>
            <w:pPr>
              <w:pStyle w:val="Compact"/>
            </w:pPr>
            <w:r>
              <w:rPr>
                <w:b/>
                <w:bCs/>
              </w:rPr>
              <w:t xml:space="preserve">GitHub Copilot-style assistance</w:t>
            </w:r>
          </w:p>
        </w:tc>
        <w:tc>
          <w:tcPr/>
          <w:p>
            <w:pPr>
              <w:pStyle w:val="Compact"/>
            </w:pPr>
            <w:r>
              <w:t xml:space="preserve">Boilerplate, test fixtures, refactors</w:t>
            </w:r>
          </w:p>
        </w:tc>
      </w:tr>
    </w:tbl>
    <w:p>
      <w:pPr>
        <w:pStyle w:val="BodyText"/>
      </w:pPr>
      <w:r>
        <w:t xml:space="preserve">AI tools accelerated implementation;</w:t>
      </w:r>
      <w:r>
        <w:t xml:space="preserve"> </w:t>
      </w:r>
      <w:r>
        <w:rPr>
          <w:b/>
          <w:bCs/>
        </w:rPr>
        <w:t xml:space="preserve">architecture, product decisions, compliance posture, and final code review remain human-owned</w:t>
      </w:r>
      <w:r>
        <w:t xml:space="preserve"> </w:t>
      </w:r>
      <w:r>
        <w:t xml:space="preserve">per</w:t>
      </w:r>
      <w:r>
        <w:t xml:space="preserve"> </w:t>
      </w:r>
      <w:hyperlink r:id="rId22">
        <w:r>
          <w:rPr>
            <w:rStyle w:val="Hyperlink"/>
          </w:rPr>
          <w:t xml:space="preserve">clr-ciel.md</w:t>
        </w:r>
      </w:hyperlink>
      <w:r>
        <w:t xml:space="preserve">.</w:t>
      </w:r>
    </w:p>
    <w:p>
      <w:r>
        <w:pict>
          <v:rect style="width:0;height:1.5pt" o:hralign="center" o:hrstd="t" o:hr="t"/>
        </w:pict>
      </w:r>
    </w:p>
    <w:bookmarkEnd w:id="23"/>
    <w:bookmarkEnd w:id="24"/>
    <w:bookmarkStart w:id="37" w:name="optional-content"/>
    <w:p>
      <w:pPr>
        <w:pStyle w:val="Heading2"/>
      </w:pPr>
      <w:r>
        <w:t xml:space="preserve">Optional Content</w:t>
      </w:r>
    </w:p>
    <w:bookmarkStart w:id="25" w:name="a.-market-segment"/>
    <w:p>
      <w:pPr>
        <w:pStyle w:val="Heading3"/>
      </w:pPr>
      <w:r>
        <w:t xml:space="preserve">A. Market Segment</w:t>
      </w:r>
    </w:p>
    <w:p>
      <w:pPr>
        <w:pStyle w:val="FirstParagraph"/>
      </w:pPr>
      <w:r>
        <w:rPr>
          <w:b/>
          <w:bCs/>
        </w:rPr>
        <w:t xml:space="preserve">Primary:</w:t>
      </w:r>
      <w:r>
        <w:t xml:space="preserve"> </w:t>
      </w:r>
      <w:r>
        <w:t xml:space="preserve">Mid-sized Philippine NGOs and progressive LGUs — the</w:t>
      </w:r>
      <w:r>
        <w:t xml:space="preserve"> </w:t>
      </w:r>
      <w:r>
        <w:t xml:space="preserve">“missing middle”</w:t>
      </w:r>
      <w:r>
        <w:t xml:space="preserve"> </w:t>
      </w:r>
      <w:r>
        <w:t xml:space="preserve">with operational complexity but no budget for Big-Four consultants or full-time CRM admins (</w:t>
      </w:r>
      <w:hyperlink r:id="rId10">
        <w:r>
          <w:rPr>
            <w:rStyle w:val="Hyperlink"/>
          </w:rPr>
          <w:t xml:space="preserve">evidence F1–F2</w:t>
        </w:r>
      </w:hyperlink>
      <w:r>
        <w:t xml:space="preserve">).</w:t>
      </w:r>
    </w:p>
    <w:p>
      <w:pPr>
        <w:pStyle w:val="BodyText"/>
      </w:pPr>
      <w:r>
        <w:rPr>
          <w:b/>
          <w:bCs/>
        </w:rPr>
        <w:t xml:space="preserve">Secondary:</w:t>
      </w:r>
      <w:r>
        <w:t xml:space="preserve"> </w:t>
      </w:r>
      <w:r>
        <w:t xml:space="preserve">Foundations and CSR departments mandating standardized impact reporting across grantees.</w:t>
      </w:r>
    </w:p>
    <w:bookmarkEnd w:id="25"/>
    <w:bookmarkStart w:id="27" w:name="b.-tam-sam-som"/>
    <w:p>
      <w:pPr>
        <w:pStyle w:val="Heading3"/>
      </w:pPr>
      <w:r>
        <w:t xml:space="preserve">B. TAM, SAM, SOM</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Level</w:t>
            </w:r>
          </w:p>
        </w:tc>
        <w:tc>
          <w:tcPr/>
          <w:p>
            <w:pPr>
              <w:pStyle w:val="Compact"/>
            </w:pPr>
            <w:r>
              <w:t xml:space="preserve">Estimate</w:t>
            </w:r>
          </w:p>
        </w:tc>
        <w:tc>
          <w:tcPr/>
          <w:p>
            <w:pPr>
              <w:pStyle w:val="Compact"/>
            </w:pPr>
            <w:r>
              <w:t xml:space="preserve">Basis</w:t>
            </w:r>
          </w:p>
        </w:tc>
      </w:tr>
      <w:tr>
        <w:tc>
          <w:tcPr/>
          <w:p>
            <w:pPr>
              <w:pStyle w:val="Compact"/>
            </w:pPr>
            <w:r>
              <w:rPr>
                <w:b/>
                <w:bCs/>
              </w:rPr>
              <w:t xml:space="preserve">TAM</w:t>
            </w:r>
          </w:p>
        </w:tc>
        <w:tc>
          <w:tcPr/>
          <w:p>
            <w:pPr>
              <w:pStyle w:val="Compact"/>
            </w:pPr>
            <w:r>
              <w:t xml:space="preserve">~$4.95B global nonprofit software (2026)</w:t>
            </w:r>
          </w:p>
        </w:tc>
        <w:tc>
          <w:tcPr/>
          <w:p>
            <w:pPr>
              <w:pStyle w:val="Compact"/>
            </w:pPr>
            <w:hyperlink r:id="rId10">
              <w:r>
                <w:rPr>
                  <w:rStyle w:val="Hyperlink"/>
                </w:rPr>
                <w:t xml:space="preserve">evidence A4</w:t>
              </w:r>
            </w:hyperlink>
          </w:p>
        </w:tc>
      </w:tr>
      <w:tr>
        <w:tc>
          <w:tcPr/>
          <w:p>
            <w:pPr>
              <w:pStyle w:val="Compact"/>
            </w:pPr>
            <w:r>
              <w:rPr>
                <w:b/>
                <w:bCs/>
              </w:rPr>
              <w:t xml:space="preserve">SAM</w:t>
            </w:r>
          </w:p>
        </w:tc>
        <w:tc>
          <w:tcPr/>
          <w:p>
            <w:pPr>
              <w:pStyle w:val="Compact"/>
            </w:pPr>
            <w:r>
              <w:t xml:space="preserve">PH NGOs + 1,715 LGUs needing program design + M&amp;E tooling</w:t>
            </w:r>
          </w:p>
        </w:tc>
        <w:tc>
          <w:tcPr/>
          <w:p>
            <w:pPr>
              <w:pStyle w:val="Compact"/>
            </w:pPr>
            <w:hyperlink r:id="rId10">
              <w:r>
                <w:rPr>
                  <w:rStyle w:val="Hyperlink"/>
                </w:rPr>
                <w:t xml:space="preserve">evidence F1–F2</w:t>
              </w:r>
            </w:hyperlink>
          </w:p>
        </w:tc>
      </w:tr>
      <w:tr>
        <w:tc>
          <w:tcPr/>
          <w:p>
            <w:pPr>
              <w:pStyle w:val="Compact"/>
            </w:pPr>
            <w:r>
              <w:rPr>
                <w:b/>
                <w:bCs/>
              </w:rPr>
              <w:t xml:space="preserve">SOM</w:t>
            </w:r>
          </w:p>
        </w:tc>
        <w:tc>
          <w:tcPr/>
          <w:p>
            <w:pPr>
              <w:pStyle w:val="Compact"/>
            </w:pPr>
            <w:r>
              <w:t xml:space="preserve">25 activated orgs (pilot) → 50 live M&amp;E projects (12 mo)</w:t>
            </w:r>
          </w:p>
        </w:tc>
        <w:tc>
          <w:tcPr/>
          <w:p>
            <w:pPr>
              <w:pStyle w:val="Compact"/>
            </w:pPr>
            <w:hyperlink r:id="rId26">
              <w:r>
                <w:rPr>
                  <w:rStyle w:val="Hyperlink"/>
                </w:rPr>
                <w:t xml:space="preserve">BRD-M3/M4</w:t>
              </w:r>
            </w:hyperlink>
          </w:p>
        </w:tc>
      </w:tr>
    </w:tbl>
    <w:bookmarkEnd w:id="27"/>
    <w:bookmarkStart w:id="29" w:name="c.-business-model"/>
    <w:p>
      <w:pPr>
        <w:pStyle w:val="Heading3"/>
      </w:pPr>
      <w:r>
        <w:t xml:space="preserve">C. Business Model</w:t>
      </w:r>
    </w:p>
    <w:p>
      <w:pPr>
        <w:pStyle w:val="FirstParagraph"/>
      </w:pPr>
      <w:r>
        <w:t xml:space="preserve">Freemium → value-based scaling:</w:t>
      </w:r>
      <w:r>
        <w:t xml:space="preserve"> </w:t>
      </w:r>
      <w:r>
        <w:rPr>
          <w:b/>
          <w:bCs/>
        </w:rPr>
        <w:t xml:space="preserve">Ciel Start</w:t>
      </w:r>
      <w:r>
        <w:t xml:space="preserve"> </w:t>
      </w:r>
      <w:r>
        <w:t xml:space="preserve">(free ToC) →</w:t>
      </w:r>
      <w:r>
        <w:t xml:space="preserve"> </w:t>
      </w:r>
      <w:r>
        <w:rPr>
          <w:b/>
          <w:bCs/>
        </w:rPr>
        <w:t xml:space="preserve">Ciel Scale</w:t>
      </w:r>
      <w:r>
        <w:t xml:space="preserve"> </w:t>
      </w:r>
      <w:r>
        <w:t xml:space="preserve">(grant + M&amp;E tied to funding managed) →</w:t>
      </w:r>
      <w:r>
        <w:t xml:space="preserve"> </w:t>
      </w:r>
      <w:r>
        <w:rPr>
          <w:b/>
          <w:bCs/>
        </w:rPr>
        <w:t xml:space="preserve">Ciel Public</w:t>
      </w:r>
      <w:r>
        <w:t xml:space="preserve"> </w:t>
      </w:r>
      <w:r>
        <w:t xml:space="preserve">(B2G annual contract). Revenue aligns with funding secured, not per-seat (</w:t>
      </w:r>
      <w:hyperlink r:id="rId28">
        <w:r>
          <w:rPr>
            <w:rStyle w:val="Hyperlink"/>
          </w:rPr>
          <w:t xml:space="preserve">gtm-ciel.md</w:t>
        </w:r>
      </w:hyperlink>
      <w:r>
        <w:t xml:space="preserve"> </w:t>
      </w:r>
      <w:r>
        <w:t xml:space="preserve">§3).</w:t>
      </w:r>
    </w:p>
    <w:bookmarkEnd w:id="29"/>
    <w:bookmarkStart w:id="31" w:name="d.-target-customer"/>
    <w:p>
      <w:pPr>
        <w:pStyle w:val="Heading3"/>
      </w:pPr>
      <w:r>
        <w:t xml:space="preserve">D. Target Customer</w:t>
      </w:r>
    </w:p>
    <w:p>
      <w:pPr>
        <w:pStyle w:val="FirstParagraph"/>
      </w:pPr>
      <w:r>
        <w:rPr>
          <w:b/>
          <w:bCs/>
        </w:rPr>
        <w:t xml:space="preserve">Maria</w:t>
      </w:r>
      <w:r>
        <w:t xml:space="preserve"> </w:t>
      </w:r>
      <w:r>
        <w:t xml:space="preserve">— NGO program manager, 25-person org, spends evenings on logframes and late M&amp;E spreadsheets (</w:t>
      </w:r>
      <w:hyperlink r:id="rId30">
        <w:r>
          <w:rPr>
            <w:rStyle w:val="Hyperlink"/>
          </w:rPr>
          <w:t xml:space="preserve">prd-ciel.md</w:t>
        </w:r>
      </w:hyperlink>
      <w:r>
        <w:t xml:space="preserve"> </w:t>
      </w:r>
      <w:r>
        <w:t xml:space="preserve">§2).</w:t>
      </w:r>
    </w:p>
    <w:p>
      <w:pPr>
        <w:pStyle w:val="BodyText"/>
      </w:pPr>
      <w:r>
        <w:rPr>
          <w:b/>
          <w:bCs/>
        </w:rPr>
        <w:t xml:space="preserve">Engr. Dan</w:t>
      </w:r>
      <w:r>
        <w:t xml:space="preserve"> </w:t>
      </w:r>
      <w:r>
        <w:t xml:space="preserve">— LGU planning officer who buys compliance and audit-ready evidence, not</w:t>
      </w:r>
      <w:r>
        <w:t xml:space="preserve"> </w:t>
      </w:r>
      <w:r>
        <w:t xml:space="preserve">“disruptive AI.”</w:t>
      </w:r>
    </w:p>
    <w:bookmarkEnd w:id="31"/>
    <w:bookmarkStart w:id="32" w:name="e.-channels"/>
    <w:p>
      <w:pPr>
        <w:pStyle w:val="Heading3"/>
      </w:pPr>
      <w:r>
        <w:t xml:space="preserve">E. Channels</w:t>
      </w:r>
    </w:p>
    <w:p>
      <w:pPr>
        <w:pStyle w:val="FirstParagraph"/>
      </w:pPr>
      <w:r>
        <w:t xml:space="preserve">NGO networks (PCNC), foundation grantee cohorts, university extension programs, hackathon/demo day, LinkedIn sector content, freemium ToC viral loop (</w:t>
      </w:r>
      <w:hyperlink r:id="rId28">
        <w:r>
          <w:rPr>
            <w:rStyle w:val="Hyperlink"/>
          </w:rPr>
          <w:t xml:space="preserve">gtm-ciel.md</w:t>
        </w:r>
      </w:hyperlink>
      <w:r>
        <w:t xml:space="preserve"> </w:t>
      </w:r>
      <w:r>
        <w:t xml:space="preserve">§5).</w:t>
      </w:r>
    </w:p>
    <w:bookmarkEnd w:id="32"/>
    <w:bookmarkStart w:id="33" w:name="f.-revenue-streams"/>
    <w:p>
      <w:pPr>
        <w:pStyle w:val="Heading3"/>
      </w:pPr>
      <w:r>
        <w:t xml:space="preserve">F. Revenue Streams</w:t>
      </w:r>
    </w:p>
    <w:p>
      <w:pPr>
        <w:pStyle w:val="Compact"/>
        <w:numPr>
          <w:ilvl w:val="0"/>
          <w:numId w:val="1004"/>
        </w:numPr>
      </w:pPr>
      <w:r>
        <w:t xml:space="preserve">Value-based subscriptions (funding volume / projects)</w:t>
      </w:r>
    </w:p>
    <w:p>
      <w:pPr>
        <w:pStyle w:val="Compact"/>
        <w:numPr>
          <w:ilvl w:val="0"/>
          <w:numId w:val="1004"/>
        </w:numPr>
      </w:pPr>
      <w:r>
        <w:t xml:space="preserve">B2G annual contracts (procurement)</w:t>
      </w:r>
    </w:p>
    <w:p>
      <w:pPr>
        <w:pStyle w:val="Compact"/>
        <w:numPr>
          <w:ilvl w:val="0"/>
          <w:numId w:val="1004"/>
        </w:numPr>
      </w:pPr>
      <w:r>
        <w:t xml:space="preserve">Foundation portfolio mandates (top-down distribution)</w:t>
      </w:r>
    </w:p>
    <w:bookmarkEnd w:id="33"/>
    <w:bookmarkStart w:id="34" w:name="g.-cost-structure"/>
    <w:p>
      <w:pPr>
        <w:pStyle w:val="Heading3"/>
      </w:pPr>
      <w:r>
        <w:t xml:space="preserve">G. Cost Structure</w:t>
      </w:r>
    </w:p>
    <w:p>
      <w:pPr>
        <w:pStyle w:val="Compact"/>
        <w:numPr>
          <w:ilvl w:val="0"/>
          <w:numId w:val="1005"/>
        </w:numPr>
      </w:pPr>
      <w:r>
        <w:t xml:space="preserve">Cloud: Vercel + Cloud Run + Supabase (pilot-scale)</w:t>
      </w:r>
    </w:p>
    <w:p>
      <w:pPr>
        <w:pStyle w:val="Compact"/>
        <w:numPr>
          <w:ilvl w:val="0"/>
          <w:numId w:val="1005"/>
        </w:numPr>
      </w:pPr>
      <w:r>
        <w:t xml:space="preserve">AI inference: Microsoft Foundry per-token (Langfuse cost tracking)</w:t>
      </w:r>
    </w:p>
    <w:p>
      <w:pPr>
        <w:pStyle w:val="Compact"/>
        <w:numPr>
          <w:ilvl w:val="0"/>
          <w:numId w:val="1005"/>
        </w:numPr>
      </w:pPr>
      <w:r>
        <w:t xml:space="preserve">People: lean team; no telco-direct SMS in v1</w:t>
      </w:r>
    </w:p>
    <w:bookmarkEnd w:id="34"/>
    <w:bookmarkStart w:id="35" w:name="h.-target-partners"/>
    <w:p>
      <w:pPr>
        <w:pStyle w:val="Heading3"/>
      </w:pPr>
      <w:r>
        <w:t xml:space="preserve">H. Target Partners</w:t>
      </w:r>
    </w:p>
    <w:p>
      <w:pPr>
        <w:pStyle w:val="Compact"/>
        <w:numPr>
          <w:ilvl w:val="0"/>
          <w:numId w:val="1006"/>
        </w:numPr>
      </w:pPr>
      <w:r>
        <w:t xml:space="preserve">Accredited NGO networks and FEU/DOST extension programs</w:t>
      </w:r>
    </w:p>
    <w:p>
      <w:pPr>
        <w:pStyle w:val="Compact"/>
        <w:numPr>
          <w:ilvl w:val="0"/>
          <w:numId w:val="1006"/>
        </w:numPr>
      </w:pPr>
      <w:r>
        <w:t xml:space="preserve">Progressive LGUs (RA 12009 procurement-ready pilots)</w:t>
      </w:r>
    </w:p>
    <w:p>
      <w:pPr>
        <w:pStyle w:val="Compact"/>
        <w:numPr>
          <w:ilvl w:val="0"/>
          <w:numId w:val="1006"/>
        </w:numPr>
      </w:pPr>
      <w:r>
        <w:t xml:space="preserve">Foundations mandating impact reporting standards</w:t>
      </w:r>
    </w:p>
    <w:p>
      <w:pPr>
        <w:pStyle w:val="Compact"/>
        <w:numPr>
          <w:ilvl w:val="0"/>
          <w:numId w:val="1006"/>
        </w:numPr>
      </w:pPr>
      <w:r>
        <w:t xml:space="preserve">v2: Bloomerang, Benevity (CRM integrations)</w:t>
      </w:r>
    </w:p>
    <w:bookmarkEnd w:id="35"/>
    <w:bookmarkStart w:id="36" w:name="i.-project-persona"/>
    <w:p>
      <w:pPr>
        <w:pStyle w:val="Heading3"/>
      </w:pPr>
      <w:r>
        <w:t xml:space="preserve">I. Project Persona</w:t>
      </w:r>
    </w:p>
    <w:p>
      <w:pPr>
        <w:pStyle w:val="FirstParagraph"/>
      </w:pPr>
      <w:r>
        <w:rPr>
          <w:b/>
          <w:bCs/>
        </w:rPr>
        <w:t xml:space="preserve">Maria, 38, Cebu NGO program manager</w:t>
      </w:r>
      <w:r>
        <w:t xml:space="preserve"> </w:t>
      </w:r>
      <w:r>
        <w:t xml:space="preserve">— mission-driven, under-resourced, fluent in Excel/Facebook, not CRMs. Success = design a defensible program in an afternoon, win the grant, and see whether it’s working in time to fix it (</w:t>
      </w:r>
      <w:hyperlink r:id="rId30">
        <w:r>
          <w:rPr>
            <w:rStyle w:val="Hyperlink"/>
          </w:rPr>
          <w:t xml:space="preserve">prd-ciel.md</w:t>
        </w:r>
      </w:hyperlink>
      <w:r>
        <w:t xml:space="preserve"> </w:t>
      </w:r>
      <w:r>
        <w:t xml:space="preserve">§2).</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PoC.md" TargetMode="External" /><Relationship Type="http://schemas.openxmlformats.org/officeDocument/2006/relationships/hyperlink" Id="rId26" Target="brd-ciel.md" TargetMode="External" /><Relationship Type="http://schemas.openxmlformats.org/officeDocument/2006/relationships/hyperlink" Id="rId22" Target="clr-ciel.md" TargetMode="External" /><Relationship Type="http://schemas.openxmlformats.org/officeDocument/2006/relationships/hyperlink" Id="rId15" Target="elimination-video-script.md" TargetMode="External" /><Relationship Type="http://schemas.openxmlformats.org/officeDocument/2006/relationships/hyperlink" Id="rId10" Target="evidence-ciel.md" TargetMode="External" /><Relationship Type="http://schemas.openxmlformats.org/officeDocument/2006/relationships/hyperlink" Id="rId28" Target="gtm-ciel.md" TargetMode="External" /><Relationship Type="http://schemas.openxmlformats.org/officeDocument/2006/relationships/hyperlink" Id="rId18" Target="hackathon-guide.md" TargetMode="External" /><Relationship Type="http://schemas.openxmlformats.org/officeDocument/2006/relationships/hyperlink" Id="rId19" Target="index.md" TargetMode="External" /><Relationship Type="http://schemas.openxmlformats.org/officeDocument/2006/relationships/hyperlink" Id="rId30" Target="prd-ciel.md" TargetMode="External" /></Relationships>
</file>

<file path=word/_rels/footnotes.xml.rels><?xml version="1.0" encoding="UTF-8"?><Relationships xmlns="http://schemas.openxmlformats.org/package/2006/relationships"><Relationship Type="http://schemas.openxmlformats.org/officeDocument/2006/relationships/hyperlink" Id="rId14" Target="PoC.md" TargetMode="External" /><Relationship Type="http://schemas.openxmlformats.org/officeDocument/2006/relationships/hyperlink" Id="rId26" Target="brd-ciel.md" TargetMode="External" /><Relationship Type="http://schemas.openxmlformats.org/officeDocument/2006/relationships/hyperlink" Id="rId22" Target="clr-ciel.md" TargetMode="External" /><Relationship Type="http://schemas.openxmlformats.org/officeDocument/2006/relationships/hyperlink" Id="rId15" Target="elimination-video-script.md" TargetMode="External" /><Relationship Type="http://schemas.openxmlformats.org/officeDocument/2006/relationships/hyperlink" Id="rId10" Target="evidence-ciel.md" TargetMode="External" /><Relationship Type="http://schemas.openxmlformats.org/officeDocument/2006/relationships/hyperlink" Id="rId28" Target="gtm-ciel.md" TargetMode="External" /><Relationship Type="http://schemas.openxmlformats.org/officeDocument/2006/relationships/hyperlink" Id="rId18" Target="hackathon-guide.md" TargetMode="External" /><Relationship Type="http://schemas.openxmlformats.org/officeDocument/2006/relationships/hyperlink" Id="rId19" Target="index.md" TargetMode="External" /><Relationship Type="http://schemas.openxmlformats.org/officeDocument/2006/relationships/hyperlink" Id="rId30" Target="prd-cie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2026-06-26T02:56:40Z</dcterms:created>
  <dcterms:modified xsi:type="dcterms:W3CDTF">2026-06-26T02:56:40Z</dcterms:modified>
</cp:coreProperties>
</file>

<file path=docProps/custom.xml><?xml version="1.0" encoding="utf-8"?>
<Properties xmlns="http://schemas.openxmlformats.org/officeDocument/2006/custom-properties" xmlns:vt="http://schemas.openxmlformats.org/officeDocument/2006/docPropsVTypes"/>
</file>