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Clinical Case – Female, 57 years old, on medical leave</w:t>
      </w:r>
    </w:p>
    <w:p>
      <w:pPr>
        <w:pStyle w:val="Heading1"/>
      </w:pPr>
      <w:r>
        <w:t>Summary of Identified Issues</w:t>
      </w:r>
    </w:p>
    <w:p>
      <w:r>
        <w:rPr>
          <w:rFonts w:ascii="Calibri" w:hAnsi="Calibri"/>
          <w:b w:val="0"/>
          <w:i w:val="0"/>
          <w:sz w:val="22"/>
        </w:rPr>
        <w:t>1. Post-bereavement guilt: She blames herself for not acting soon enough or appropriately to save her mother, despite her constant involvement.</w:t>
      </w:r>
    </w:p>
    <w:p>
      <w:r>
        <w:rPr>
          <w:rFonts w:ascii="Calibri" w:hAnsi="Calibri"/>
          <w:b w:val="0"/>
          <w:i w:val="0"/>
          <w:sz w:val="22"/>
        </w:rPr>
        <w:t>2. Hyper-responsibility: 'Pillar' attitude, often seen in parentified children or dysfunctional family systems.</w:t>
      </w:r>
    </w:p>
    <w:p>
      <w:r>
        <w:rPr>
          <w:rFonts w:ascii="Calibri" w:hAnsi="Calibri"/>
          <w:b w:val="0"/>
          <w:i w:val="0"/>
          <w:sz w:val="22"/>
        </w:rPr>
        <w:t>3. Institutional anger: Deep sense of injustice towards the healthcare system, experienced as systemic abuse.</w:t>
      </w:r>
    </w:p>
    <w:p>
      <w:r>
        <w:rPr>
          <w:rFonts w:ascii="Calibri" w:hAnsi="Calibri"/>
          <w:b w:val="0"/>
          <w:i w:val="0"/>
          <w:sz w:val="22"/>
        </w:rPr>
        <w:t>4. Distrust towards medical system: Perceived abandonment, inhumanity, and disconnection from healthcare professionals.</w:t>
      </w:r>
    </w:p>
    <w:p>
      <w:r>
        <w:rPr>
          <w:rFonts w:ascii="Calibri" w:hAnsi="Calibri"/>
          <w:b w:val="0"/>
          <w:i w:val="0"/>
          <w:sz w:val="22"/>
        </w:rPr>
        <w:t>5. Past relationship marked by domestic violence: Previous trauma, likely affecting self-esteem and perception of human relationships.</w:t>
      </w:r>
    </w:p>
    <w:p>
      <w:r>
        <w:rPr>
          <w:rFonts w:ascii="Calibri" w:hAnsi="Calibri"/>
          <w:b w:val="0"/>
          <w:i w:val="0"/>
          <w:sz w:val="22"/>
        </w:rPr>
        <w:t>6. Mental fatigue and emotional overload: Burnout from having carried a critical situation alone to exhaustion.</w:t>
      </w:r>
    </w:p>
    <w:p>
      <w:pPr>
        <w:pStyle w:val="Heading1"/>
      </w:pPr>
      <w:r>
        <w:t>Dominant Emotions</w:t>
      </w:r>
    </w:p>
    <w:p>
      <w:r>
        <w:rPr>
          <w:rFonts w:ascii="Calibri" w:hAnsi="Calibri"/>
          <w:b w:val="0"/>
          <w:i w:val="0"/>
          <w:sz w:val="22"/>
        </w:rPr>
        <w:t>• Guilt</w:t>
        <w:br/>
        <w:t>• Anger</w:t>
        <w:br/>
        <w:t>• Powerlessness</w:t>
        <w:br/>
        <w:t>• Sadness</w:t>
        <w:br/>
        <w:t>• Disgust</w:t>
        <w:br/>
        <w:t>• Distrust</w:t>
        <w:br/>
        <w:t>• Weariness</w:t>
      </w:r>
    </w:p>
    <w:p>
      <w:pPr>
        <w:pStyle w:val="Heading1"/>
      </w:pPr>
      <w:r>
        <w:t>Limiting Beliefs and Cognitive Patterns</w:t>
      </w:r>
    </w:p>
    <w:p>
      <w:r>
        <w:rPr>
          <w:rFonts w:ascii="Calibri" w:hAnsi="Calibri"/>
          <w:b w:val="0"/>
          <w:i w:val="0"/>
          <w:sz w:val="22"/>
        </w:rPr>
        <w:t>• 'If I don't do everything, others fail or disappear.'</w:t>
      </w:r>
    </w:p>
    <w:p>
      <w:r>
        <w:rPr>
          <w:rFonts w:ascii="Calibri" w:hAnsi="Calibri"/>
          <w:b w:val="0"/>
          <w:i w:val="0"/>
          <w:sz w:val="22"/>
        </w:rPr>
        <w:t>• 'Others are negligent; I'm the only one who can truly care.'</w:t>
      </w:r>
    </w:p>
    <w:p>
      <w:r>
        <w:rPr>
          <w:rFonts w:ascii="Calibri" w:hAnsi="Calibri"/>
          <w:b w:val="0"/>
          <w:i w:val="0"/>
          <w:sz w:val="22"/>
        </w:rPr>
        <w:t>• 'Love is proven through total sacrifice.'</w:t>
      </w:r>
    </w:p>
    <w:p>
      <w:r>
        <w:rPr>
          <w:rFonts w:ascii="Calibri" w:hAnsi="Calibri"/>
          <w:b w:val="0"/>
          <w:i w:val="0"/>
          <w:sz w:val="22"/>
        </w:rPr>
        <w:t>• 'Structures meant to protect become places of danger.'</w:t>
      </w:r>
    </w:p>
    <w:p>
      <w:pPr>
        <w:pStyle w:val="Heading1"/>
      </w:pPr>
      <w:r>
        <w:t>Emotional Triggers and Psychological Mechanisms</w:t>
      </w:r>
    </w:p>
    <w:p>
      <w:r>
        <w:rPr>
          <w:rFonts w:ascii="Calibri" w:hAnsi="Calibri"/>
          <w:b w:val="0"/>
          <w:i w:val="0"/>
          <w:sz w:val="22"/>
        </w:rPr>
        <w:t>• Central trigger: Deterioration of the mother’s health in an environment perceived as hostile and incompetent.</w:t>
      </w:r>
    </w:p>
    <w:p>
      <w:r>
        <w:rPr>
          <w:rFonts w:ascii="Calibri" w:hAnsi="Calibri"/>
          <w:b w:val="0"/>
          <w:i w:val="0"/>
          <w:sz w:val="22"/>
        </w:rPr>
        <w:t>• Recurrent mechanism: Emotional fusion with the mother → perceived vital duty of protection → failure of this mission → self-destructive guilt.</w:t>
      </w:r>
    </w:p>
    <w:p>
      <w:r>
        <w:rPr>
          <w:rFonts w:ascii="Calibri" w:hAnsi="Calibri"/>
          <w:b w:val="0"/>
          <w:i w:val="0"/>
          <w:sz w:val="22"/>
        </w:rPr>
        <w:t>• Reactivation of old patterns: Systemic abuse reactivates control and domination experiences from a past violent relationship.</w:t>
      </w:r>
    </w:p>
    <w:p>
      <w:pPr>
        <w:pStyle w:val="Heading1"/>
      </w:pPr>
      <w:r>
        <w:t>Immersive Scenario &amp; Emotional Anchor</w:t>
      </w:r>
    </w:p>
    <w:p>
      <w:r>
        <w:rPr>
          <w:rFonts w:ascii="Calibri" w:hAnsi="Calibri"/>
          <w:b w:val="0"/>
          <w:i w:val="0"/>
          <w:sz w:val="22"/>
        </w:rPr>
        <w:t>It’s as if she tried to hold back a cracked dam with her bare hands, alone, facing a storm. Each unanswered call, each lack of human response from the medical staff, every moment watching her mother weaken felt like a silent slap. She screamed without being heard. And in the end, silence. But a silence she still carries, filled with inner screams.</w:t>
      </w:r>
    </w:p>
    <w:p>
      <w:pPr>
        <w:pStyle w:val="Heading1"/>
      </w:pPr>
      <w:r>
        <w:t>Proposed Solutions</w:t>
      </w:r>
    </w:p>
    <w:p>
      <w:r>
        <w:rPr>
          <w:rFonts w:ascii="Calibri" w:hAnsi="Calibri"/>
          <w:b/>
          <w:i w:val="0"/>
          <w:sz w:val="22"/>
        </w:rPr>
        <w:t>1. Immediate Solutions</w:t>
      </w:r>
    </w:p>
    <w:p>
      <w:r>
        <w:rPr>
          <w:rFonts w:ascii="Calibri" w:hAnsi="Calibri"/>
          <w:b w:val="0"/>
          <w:i w:val="0"/>
          <w:sz w:val="22"/>
        </w:rPr>
        <w:t>• Post-trauma self-soothing exercise: guided breathing with visualization of the mother peaceful in a safe place.</w:t>
      </w:r>
    </w:p>
    <w:p>
      <w:r>
        <w:rPr>
          <w:rFonts w:ascii="Calibri" w:hAnsi="Calibri"/>
          <w:b w:val="0"/>
          <w:i w:val="0"/>
          <w:sz w:val="22"/>
        </w:rPr>
        <w:t>• Directed cathartic writing: a letter to her mother expressing everything that couldn’t be said or acknowledged.</w:t>
      </w:r>
    </w:p>
    <w:p>
      <w:r>
        <w:rPr>
          <w:rFonts w:ascii="Calibri" w:hAnsi="Calibri"/>
          <w:b w:val="0"/>
          <w:i w:val="0"/>
          <w:sz w:val="22"/>
        </w:rPr>
        <w:t>• 'I am not guilty of…' exercise → Recognizing objective facts and placing them within a systemic, non-personal context.</w:t>
      </w:r>
    </w:p>
    <w:p>
      <w:r>
        <w:rPr>
          <w:rFonts w:ascii="Calibri" w:hAnsi="Calibri"/>
          <w:b/>
          <w:i w:val="0"/>
          <w:sz w:val="22"/>
        </w:rPr>
        <w:t>2. Intermediate Solutions</w:t>
      </w:r>
    </w:p>
    <w:p>
      <w:r>
        <w:rPr>
          <w:rFonts w:ascii="Calibri" w:hAnsi="Calibri"/>
          <w:b w:val="0"/>
          <w:i w:val="0"/>
          <w:sz w:val="22"/>
        </w:rPr>
        <w:t>• Progressive work on dismantling sacrificial beliefs.</w:t>
      </w:r>
    </w:p>
    <w:p>
      <w:r>
        <w:rPr>
          <w:rFonts w:ascii="Calibri" w:hAnsi="Calibri"/>
          <w:b w:val="0"/>
          <w:i w:val="0"/>
          <w:sz w:val="22"/>
        </w:rPr>
        <w:t>• 'Acts of presence' journal to document everything she did.</w:t>
      </w:r>
    </w:p>
    <w:p>
      <w:r>
        <w:rPr>
          <w:rFonts w:ascii="Calibri" w:hAnsi="Calibri"/>
          <w:b w:val="0"/>
          <w:i w:val="0"/>
          <w:sz w:val="22"/>
        </w:rPr>
        <w:t>• Recontextualizing guilt-related emotions (e.g., inner child work).</w:t>
      </w:r>
    </w:p>
    <w:p>
      <w:r>
        <w:rPr>
          <w:rFonts w:ascii="Calibri" w:hAnsi="Calibri"/>
          <w:b w:val="0"/>
          <w:i w:val="0"/>
          <w:sz w:val="22"/>
        </w:rPr>
        <w:t>• Body scan practice to detect emotional overload signals.</w:t>
      </w:r>
    </w:p>
    <w:p>
      <w:r>
        <w:rPr>
          <w:rFonts w:ascii="Calibri" w:hAnsi="Calibri"/>
          <w:b/>
          <w:i w:val="0"/>
          <w:sz w:val="22"/>
        </w:rPr>
        <w:t>3. Long-term Solutions</w:t>
      </w:r>
    </w:p>
    <w:p>
      <w:r>
        <w:rPr>
          <w:rFonts w:ascii="Calibri" w:hAnsi="Calibri"/>
          <w:b w:val="0"/>
          <w:i w:val="0"/>
          <w:sz w:val="22"/>
        </w:rPr>
        <w:t>• Symbolic hypnotherapy: reintegrate the mother figure into a peaceful memory.</w:t>
      </w:r>
    </w:p>
    <w:p>
      <w:r>
        <w:rPr>
          <w:rFonts w:ascii="Calibri" w:hAnsi="Calibri"/>
          <w:b w:val="0"/>
          <w:i w:val="0"/>
          <w:sz w:val="22"/>
        </w:rPr>
        <w:t>• Healing of the wounded feminine: restore self-esteem degraded by the abusive relationship and fusion with a dominant or idealized mother.</w:t>
      </w:r>
    </w:p>
    <w:p>
      <w:r>
        <w:rPr>
          <w:rFonts w:ascii="Calibri" w:hAnsi="Calibri"/>
          <w:b w:val="0"/>
          <w:i w:val="0"/>
          <w:sz w:val="22"/>
        </w:rPr>
        <w:t>• Rituals of passage: personal ceremony to close this chapter (burning a letter, planting a tree, etc.).</w:t>
      </w:r>
    </w:p>
    <w:p>
      <w:pPr>
        <w:pStyle w:val="Heading1"/>
      </w:pPr>
      <w:r>
        <w:t>Recommended Hypnosis/Meditation Sessions</w:t>
      </w:r>
    </w:p>
    <w:p>
      <w:r>
        <w:rPr>
          <w:rFonts w:ascii="Calibri" w:hAnsi="Calibri"/>
          <w:b w:val="0"/>
          <w:i w:val="0"/>
          <w:sz w:val="22"/>
        </w:rPr>
        <w:t>1. Hypnosis to release the invisible burden: Allow the body to release the symbolic weight (mother, anger, responsibility).</w:t>
      </w:r>
    </w:p>
    <w:p>
      <w:r>
        <w:rPr>
          <w:rFonts w:ascii="Calibri" w:hAnsi="Calibri"/>
          <w:b w:val="0"/>
          <w:i w:val="0"/>
          <w:sz w:val="22"/>
        </w:rPr>
        <w:t>2. Immersive reparative grief session: Recreate a peaceful final exchange with the mother.</w:t>
      </w:r>
    </w:p>
    <w:p>
      <w:r>
        <w:rPr>
          <w:rFonts w:ascii="Calibri" w:hAnsi="Calibri"/>
          <w:b w:val="0"/>
          <w:i w:val="0"/>
          <w:sz w:val="22"/>
        </w:rPr>
        <w:t>3. Guided meditation 'You did what you could': Gentle, deep repetition of a non-blaming message.</w:t>
      </w:r>
    </w:p>
    <w:p>
      <w:r>
        <w:rPr>
          <w:rFonts w:ascii="Calibri" w:hAnsi="Calibri"/>
          <w:b w:val="0"/>
          <w:i w:val="0"/>
          <w:sz w:val="22"/>
        </w:rPr>
        <w:t>4. Inner reconciliation hypnosis: Work on the split between the woman who wants to move forward and the one stuck in pain.</w:t>
      </w:r>
    </w:p>
    <w:p>
      <w:pPr>
        <w:pStyle w:val="Heading1"/>
      </w:pPr>
      <w:r>
        <w:t>Progress Tracking &amp; Indicators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Monitoring Axis</w:t>
            </w:r>
          </w:p>
        </w:tc>
        <w:tc>
          <w:tcPr>
            <w:tcW w:type="dxa" w:w="2880"/>
          </w:tcPr>
          <w:p>
            <w:r>
              <w:t>Progress Indicator</w:t>
            </w:r>
          </w:p>
        </w:tc>
        <w:tc>
          <w:tcPr>
            <w:tcW w:type="dxa" w:w="2880"/>
          </w:tcPr>
          <w:p>
            <w:r>
              <w:t>Associated Tools</w:t>
            </w:r>
          </w:p>
        </w:tc>
      </w:tr>
      <w:tr>
        <w:tc>
          <w:tcPr>
            <w:tcW w:type="dxa" w:w="2880"/>
          </w:tcPr>
          <w:p>
            <w:r>
              <w:t>Emotional load</w:t>
            </w:r>
          </w:p>
        </w:tc>
        <w:tc>
          <w:tcPr>
            <w:tcW w:type="dxa" w:w="2880"/>
          </w:tcPr>
          <w:p>
            <w:r>
              <w:t>Reduction in rumination</w:t>
            </w:r>
          </w:p>
        </w:tc>
        <w:tc>
          <w:tcPr>
            <w:tcW w:type="dxa" w:w="2880"/>
          </w:tcPr>
          <w:p>
            <w:r>
              <w:t>Thought journal</w:t>
            </w:r>
          </w:p>
        </w:tc>
      </w:tr>
      <w:tr>
        <w:tc>
          <w:tcPr>
            <w:tcW w:type="dxa" w:w="2880"/>
          </w:tcPr>
          <w:p>
            <w:r>
              <w:t>Guilt</w:t>
            </w:r>
          </w:p>
        </w:tc>
        <w:tc>
          <w:tcPr>
            <w:tcW w:type="dxa" w:w="2880"/>
          </w:tcPr>
          <w:p>
            <w:r>
              <w:t>Ability to reframe without blame</w:t>
            </w:r>
          </w:p>
        </w:tc>
        <w:tc>
          <w:tcPr>
            <w:tcW w:type="dxa" w:w="2880"/>
          </w:tcPr>
          <w:p>
            <w:r>
              <w:t>Symbolic letters / hypnosis</w:t>
            </w:r>
          </w:p>
        </w:tc>
      </w:tr>
      <w:tr>
        <w:tc>
          <w:tcPr>
            <w:tcW w:type="dxa" w:w="2880"/>
          </w:tcPr>
          <w:p>
            <w:r>
              <w:t>Mental fatigue</w:t>
            </w:r>
          </w:p>
        </w:tc>
        <w:tc>
          <w:tcPr>
            <w:tcW w:type="dxa" w:w="2880"/>
          </w:tcPr>
          <w:p>
            <w:r>
              <w:t>Perceived recovery rate</w:t>
            </w:r>
          </w:p>
        </w:tc>
        <w:tc>
          <w:tcPr>
            <w:tcW w:type="dxa" w:w="2880"/>
          </w:tcPr>
          <w:p>
            <w:r>
              <w:t>Body scan + soft meditation</w:t>
            </w:r>
          </w:p>
        </w:tc>
      </w:tr>
      <w:tr>
        <w:tc>
          <w:tcPr>
            <w:tcW w:type="dxa" w:w="2880"/>
          </w:tcPr>
          <w:p>
            <w:r>
              <w:t>Self-image</w:t>
            </w:r>
          </w:p>
        </w:tc>
        <w:tc>
          <w:tcPr>
            <w:tcW w:type="dxa" w:w="2880"/>
          </w:tcPr>
          <w:p>
            <w:r>
              <w:t>Reemergence of desire</w:t>
            </w:r>
          </w:p>
        </w:tc>
        <w:tc>
          <w:tcPr>
            <w:tcW w:type="dxa" w:w="2880"/>
          </w:tcPr>
          <w:p>
            <w:r>
              <w:t>Weekly vitality scale</w:t>
            </w:r>
          </w:p>
        </w:tc>
      </w:tr>
      <w:tr>
        <w:tc>
          <w:tcPr>
            <w:tcW w:type="dxa" w:w="2880"/>
          </w:tcPr>
          <w:p>
            <w:r>
              <w:t>Institutional distrust</w:t>
            </w:r>
          </w:p>
        </w:tc>
        <w:tc>
          <w:tcPr>
            <w:tcW w:type="dxa" w:w="2880"/>
          </w:tcPr>
          <w:p>
            <w:r>
              <w:t>Increased tolerance to imperfection</w:t>
            </w:r>
          </w:p>
        </w:tc>
        <w:tc>
          <w:tcPr>
            <w:tcW w:type="dxa" w:w="2880"/>
          </w:tcPr>
          <w:p>
            <w:r>
              <w:t>Guided cognitive restructuring</w:t>
            </w:r>
          </w:p>
        </w:tc>
      </w:tr>
    </w:tbl>
    <w:p>
      <w:pPr>
        <w:pStyle w:val="Heading1"/>
      </w:pPr>
      <w:r>
        <w:t>Final Motivational Phrase</w:t>
      </w:r>
    </w:p>
    <w:p>
      <w:r>
        <w:rPr>
          <w:rFonts w:ascii="Calibri" w:hAnsi="Calibri"/>
          <w:b w:val="0"/>
          <w:i w:val="0"/>
          <w:sz w:val="22"/>
        </w:rPr>
        <w:t>“You were there until the very end—more than most people would have been. It’s not the fault of a loving daughter if a system fails. Now, it’s time to give yourself what you never dared to ask for: peace.”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