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BD9B3C"/>
          <w:spacing w:val="40"/>
          <w:sz w:val="18"/>
          <w:szCs w:val="18"/>
        </w:rPr>
        <w:t xml:space="preserve">NOTE D'INTÉGRATION</w:t>
      </w:r>
    </w:p>
    <w:p>
      <w:pPr>
        <w:spacing w:after="40"/>
      </w:pPr>
      <w:r>
        <w:rPr>
          <w:rFonts w:ascii="Cambria" w:cs="Cambria" w:eastAsia="Cambria" w:hAnsi="Cambria"/>
          <w:b/>
          <w:bCs/>
          <w:color w:val="003B71"/>
          <w:sz w:val="34"/>
          <w:szCs w:val="34"/>
        </w:rPr>
        <w:t xml:space="preserve">Agent IA prédictif de Marketing Automation ↔ SwiftNova</w:t>
      </w:r>
    </w:p>
    <w:p>
      <w:pPr>
        <w:pBdr>
          <w:bottom w:val="single" w:color="BD9B3C" w:sz="8"/>
        </w:pBdr>
        <w:spacing w:after="60"/>
      </w:pPr>
    </w:p>
    <w:p>
      <w:pPr>
        <w:spacing w:after="200"/>
      </w:pPr>
      <w:r>
        <w:rPr>
          <w:rFonts w:ascii="Calibri" w:cs="Calibri" w:eastAsia="Calibri" w:hAnsi="Calibri"/>
          <w:i/>
          <w:iCs/>
          <w:color w:val="8A95A2"/>
          <w:sz w:val="18"/>
          <w:szCs w:val="18"/>
        </w:rPr>
        <w:t xml:space="preserve">Destinataires : Direction Métier &amp; DSI · Objet : ajustements requis pour l'intégration · Version 1 · Document interne — confidentiel</w:t>
      </w:r>
    </w:p>
    <w:p>
      <w:pPr>
        <w:spacing w:after="40" w:before="220"/>
      </w:pPr>
      <w:r>
        <w:rPr>
          <w:rFonts w:ascii="Calibri" w:cs="Calibri" w:eastAsia="Calibri" w:hAnsi="Calibri"/>
          <w:b/>
          <w:bCs/>
          <w:color w:val="BD9B3C"/>
          <w:spacing w:val="30"/>
          <w:sz w:val="17"/>
          <w:szCs w:val="17"/>
        </w:rPr>
        <w:t xml:space="preserve">1 · SYNTHÈSE</w:t>
      </w:r>
    </w:p>
    <w:p>
      <w:pPr>
        <w:spacing w:after="120" w:before="60"/>
      </w:pPr>
      <w:r>
        <w:rPr>
          <w:rFonts w:ascii="Cambria" w:cs="Cambria" w:eastAsia="Cambria" w:hAnsi="Cambria"/>
          <w:b/>
          <w:bCs/>
          <w:color w:val="003B71"/>
          <w:sz w:val="27"/>
          <w:szCs w:val="27"/>
        </w:rPr>
        <w:t xml:space="preserve">Une intégration par ajustements ciblés, pas une refonte</w:t>
      </w:r>
    </w:p>
    <w:p>
      <w:pPr>
        <w:spacing w:after="120" w:line="264"/>
        <w:jc w:val="both"/>
      </w:pPr>
      <w:r>
        <w:rPr>
          <w:rFonts w:ascii="Calibri" w:cs="Calibri" w:eastAsia="Calibri" w:hAnsi="Calibri"/>
          <w:color w:val="47525F"/>
          <w:sz w:val="21"/>
          <w:szCs w:val="21"/>
        </w:rPr>
        <w:t xml:space="preserve">L'agent IA est prêt à produire chaque nuit des recommandations — </w:t>
      </w:r>
      <w:r>
        <w:rPr>
          <w:rFonts w:ascii="Calibri" w:cs="Calibri" w:eastAsia="Calibri" w:hAnsi="Calibri"/>
          <w:b/>
          <w:bCs/>
          <w:color w:val="003B71"/>
          <w:sz w:val="21"/>
          <w:szCs w:val="21"/>
        </w:rPr>
        <w:t xml:space="preserve">qui cibler, quoi proposer, quand et par quel canal</w:t>
      </w:r>
      <w:r>
        <w:rPr>
          <w:rFonts w:ascii="Calibri" w:cs="Calibri" w:eastAsia="Calibri" w:hAnsi="Calibri"/>
          <w:color w:val="47525F"/>
          <w:sz w:val="21"/>
          <w:szCs w:val="21"/>
        </w:rPr>
        <w:t xml:space="preserve"> — sous contrôle réglementaire (CNDP, Bank Al-Maghrib, anti-pression). Son intégration à SwiftNova ne requiert pas de refonte, mais quatre ajustements ciblés : un connecteur de livraison vers SwiftNova en remplacement de l'écriture directe en base, l'alimentation de l'agent en données d'engagement et de consentement issues de SwiftNova, le branchement des données de risque sur le core banking, et une réconciliation d'identité entre le client bancaire et le contact SwiftNova.</w:t>
      </w:r>
    </w:p>
    <w:p>
      <w:pPr>
        <w:spacing w:after="120" w:line="264"/>
        <w:jc w:val="both"/>
      </w:pPr>
      <w:r>
        <w:rPr>
          <w:rFonts w:ascii="Calibri" w:cs="Calibri" w:eastAsia="Calibri" w:hAnsi="Calibri"/>
          <w:color w:val="47525F"/>
          <w:sz w:val="21"/>
          <w:szCs w:val="21"/>
        </w:rPr>
        <w:t xml:space="preserve">Deux constats orientent la suite. D'abord, l'hébergement de SwiftNova </w:t>
      </w:r>
      <w:r>
        <w:rPr>
          <w:rFonts w:ascii="Calibri" w:cs="Calibri" w:eastAsia="Calibri" w:hAnsi="Calibri"/>
          <w:b/>
          <w:bCs/>
          <w:color w:val="003B71"/>
          <w:sz w:val="21"/>
          <w:szCs w:val="21"/>
        </w:rPr>
        <w:t xml:space="preserve">sur l'infrastructure de la banque</w:t>
      </w:r>
      <w:r>
        <w:rPr>
          <w:rFonts w:ascii="Calibri" w:cs="Calibri" w:eastAsia="Calibri" w:hAnsi="Calibri"/>
          <w:color w:val="47525F"/>
          <w:sz w:val="21"/>
          <w:szCs w:val="21"/>
        </w:rPr>
        <w:t xml:space="preserve"> préserve l'engagement « 100 % on-premise, aucune donnée personnelle vers l'externe ». Ensuite, le facteur déterminant restant à confirmer est le </w:t>
      </w:r>
      <w:r>
        <w:rPr>
          <w:rFonts w:ascii="Calibri" w:cs="Calibri" w:eastAsia="Calibri" w:hAnsi="Calibri"/>
          <w:b/>
          <w:bCs/>
          <w:color w:val="003B71"/>
          <w:sz w:val="21"/>
          <w:szCs w:val="21"/>
        </w:rPr>
        <w:t xml:space="preserve">mode d'intégration</w:t>
      </w:r>
      <w:r>
        <w:rPr>
          <w:rFonts w:ascii="Calibri" w:cs="Calibri" w:eastAsia="Calibri" w:hAnsi="Calibri"/>
          <w:color w:val="47525F"/>
          <w:sz w:val="21"/>
          <w:szCs w:val="21"/>
        </w:rPr>
        <w:t xml:space="preserve"> exposé par SwiftNova (API, base de données, ou fichiers) : il fixe la forme exacte du connecteur. Les prérequis regroupés en priorité P0 peuvent être préparés sans attendre cette confirmation.</w:t>
      </w:r>
    </w:p>
    <w:p>
      <w:pPr>
        <w:spacing w:after="40" w:before="220"/>
      </w:pPr>
      <w:r>
        <w:rPr>
          <w:rFonts w:ascii="Calibri" w:cs="Calibri" w:eastAsia="Calibri" w:hAnsi="Calibri"/>
          <w:b/>
          <w:bCs/>
          <w:color w:val="BD9B3C"/>
          <w:spacing w:val="30"/>
          <w:sz w:val="17"/>
          <w:szCs w:val="17"/>
        </w:rPr>
        <w:t xml:space="preserve">2 · LE CONTRAT D'INTÉGRATION ACTUEL</w:t>
      </w:r>
    </w:p>
    <w:p>
      <w:pPr>
        <w:spacing w:after="120" w:before="60"/>
      </w:pPr>
      <w:r>
        <w:rPr>
          <w:rFonts w:ascii="Cambria" w:cs="Cambria" w:eastAsia="Cambria" w:hAnsi="Cambria"/>
          <w:b/>
          <w:bCs/>
          <w:color w:val="003B71"/>
          <w:sz w:val="27"/>
          <w:szCs w:val="27"/>
        </w:rPr>
        <w:t xml:space="preserve">Ce que le code produit et attend</w:t>
      </w:r>
    </w:p>
    <w:p>
      <w:pPr>
        <w:spacing w:after="120" w:line="264"/>
        <w:jc w:val="both"/>
      </w:pPr>
      <w:r>
        <w:rPr>
          <w:rFonts w:ascii="Calibri" w:cs="Calibri" w:eastAsia="Calibri" w:hAnsi="Calibri"/>
          <w:color w:val="47525F"/>
          <w:sz w:val="21"/>
          <w:szCs w:val="21"/>
        </w:rPr>
        <w:t xml:space="preserve">Le projet a été conçu pour posséder sa propre base PostgreSQL et écrire dedans. Ses quatre interfaces sont les suivantes :</w:t>
      </w:r>
    </w:p>
    <w:tbl>
      <w:tblPr>
        <w:tblW w:type="dxa" w:w="970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7100"/>
      </w:tblGrid>
      <w:tr>
        <w:trPr>
          <w:tblHeader/>
        </w:trPr>
        <w:tc>
          <w:tcPr>
            <w:tcW w:type="dxa" w:w="2600"/>
            <w:shd w:fill="003B71" w:color="auto" w:val="clear"/>
            <w:tcMar>
              <w:top w:type="dxa" w:w="60"/>
              <w:left w:type="dxa" w:w="110"/>
              <w:bottom w:type="dxa" w:w="60"/>
              <w:right w:type="dxa" w:w="110"/>
            </w:tcMar>
          </w:tcPr>
          <w:p>
            <w:pPr>
              <w:spacing w:after="0" w:line="240"/>
              <w:jc w:val="left"/>
            </w:pPr>
            <w:r>
              <w:rPr>
                <w:rFonts w:ascii="Calibri" w:cs="Calibri" w:eastAsia="Calibri" w:hAnsi="Calibri"/>
                <w:b/>
                <w:bCs/>
                <w:color w:val="FFFFFF"/>
                <w:sz w:val="19"/>
                <w:szCs w:val="19"/>
              </w:rPr>
              <w:t xml:space="preserve">Interface</w:t>
            </w:r>
          </w:p>
        </w:tc>
        <w:tc>
          <w:tcPr>
            <w:tcW w:type="dxa" w:w="7100"/>
            <w:shd w:fill="003B71" w:color="auto" w:val="clear"/>
            <w:tcMar>
              <w:top w:type="dxa" w:w="60"/>
              <w:left w:type="dxa" w:w="110"/>
              <w:bottom w:type="dxa" w:w="60"/>
              <w:right w:type="dxa" w:w="110"/>
            </w:tcMar>
          </w:tcPr>
          <w:p>
            <w:pPr>
              <w:spacing w:after="0" w:line="240"/>
              <w:jc w:val="left"/>
            </w:pPr>
            <w:r>
              <w:rPr>
                <w:rFonts w:ascii="Calibri" w:cs="Calibri" w:eastAsia="Calibri" w:hAnsi="Calibri"/>
                <w:b/>
                <w:bCs/>
                <w:color w:val="FFFFFF"/>
                <w:sz w:val="19"/>
                <w:szCs w:val="19"/>
              </w:rPr>
              <w:t xml:space="preserve">Description</w:t>
            </w:r>
          </w:p>
        </w:tc>
      </w:tr>
      <w:tr>
        <w:trPr>
          <w:tblHeader w:val="false"/>
        </w:trPr>
        <w:tc>
          <w:tcPr>
            <w:tcW w:type="dxa" w:w="2600"/>
            <w:shd w:fill="FFFFFF" w:color="auto" w:val="clear"/>
            <w:tcMar>
              <w:top w:type="dxa" w:w="60"/>
              <w:left w:type="dxa" w:w="110"/>
              <w:bottom w:type="dxa" w:w="60"/>
              <w:right w:type="dxa" w:w="110"/>
            </w:tcMar>
          </w:tcPr>
          <w:p>
            <w:pPr>
              <w:spacing w:after="0" w:line="240"/>
              <w:jc w:val="left"/>
            </w:pPr>
            <w:r>
              <w:rPr>
                <w:rFonts w:ascii="Calibri" w:cs="Calibri" w:eastAsia="Calibri" w:hAnsi="Calibri"/>
                <w:b/>
                <w:bCs/>
                <w:color w:val="003B71"/>
                <w:sz w:val="18"/>
                <w:szCs w:val="18"/>
              </w:rPr>
              <w:t xml:space="preserve">Sortie — recommandations</w:t>
            </w:r>
          </w:p>
        </w:tc>
        <w:tc>
          <w:tcPr>
            <w:tcW w:type="dxa" w:w="7100"/>
            <w:shd w:fill="FFFFFF"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Écriture nocturne dans une table ai_customer_recommendations (staging + UPSERT) : client_id, next_best_action, propensity_score, recommended_channel, optimal_time_slot, optimal_day, eligibility_status, exclusion_reason, model_version.</w:t>
            </w:r>
          </w:p>
        </w:tc>
      </w:tr>
      <w:tr>
        <w:trPr>
          <w:tblHeader w:val="false"/>
        </w:trPr>
        <w:tc>
          <w:tcPr>
            <w:tcW w:type="dxa" w:w="2600"/>
            <w:shd w:fill="F5F7FA" w:color="auto" w:val="clear"/>
            <w:tcMar>
              <w:top w:type="dxa" w:w="60"/>
              <w:left w:type="dxa" w:w="110"/>
              <w:bottom w:type="dxa" w:w="60"/>
              <w:right w:type="dxa" w:w="110"/>
            </w:tcMar>
          </w:tcPr>
          <w:p>
            <w:pPr>
              <w:spacing w:after="0" w:line="240"/>
              <w:jc w:val="left"/>
            </w:pPr>
            <w:r>
              <w:rPr>
                <w:rFonts w:ascii="Calibri" w:cs="Calibri" w:eastAsia="Calibri" w:hAnsi="Calibri"/>
                <w:b/>
                <w:bCs/>
                <w:color w:val="003B71"/>
                <w:sz w:val="18"/>
                <w:szCs w:val="18"/>
              </w:rPr>
              <w:t xml:space="preserve">Entrée — données</w:t>
            </w:r>
          </w:p>
        </w:tc>
        <w:tc>
          <w:tcPr>
            <w:tcW w:type="dxa" w:w="7100"/>
            <w:shd w:fill="F5F7FA"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Lecture de tables d'un data lake (customer_360, engagement_events, contactability) via SQLAlchemy.</w:t>
            </w:r>
          </w:p>
        </w:tc>
      </w:tr>
      <w:tr>
        <w:trPr>
          <w:tblHeader w:val="false"/>
        </w:trPr>
        <w:tc>
          <w:tcPr>
            <w:tcW w:type="dxa" w:w="2600"/>
            <w:shd w:fill="FFFFFF" w:color="auto" w:val="clear"/>
            <w:tcMar>
              <w:top w:type="dxa" w:w="60"/>
              <w:left w:type="dxa" w:w="110"/>
              <w:bottom w:type="dxa" w:w="60"/>
              <w:right w:type="dxa" w:w="110"/>
            </w:tcMar>
          </w:tcPr>
          <w:p>
            <w:pPr>
              <w:spacing w:after="0" w:line="240"/>
              <w:jc w:val="left"/>
            </w:pPr>
            <w:r>
              <w:rPr>
                <w:rFonts w:ascii="Calibri" w:cs="Calibri" w:eastAsia="Calibri" w:hAnsi="Calibri"/>
                <w:b/>
                <w:bCs/>
                <w:color w:val="003B71"/>
                <w:sz w:val="18"/>
                <w:szCs w:val="18"/>
              </w:rPr>
              <w:t xml:space="preserve">Temps réel — API</w:t>
            </w:r>
          </w:p>
        </w:tc>
        <w:tc>
          <w:tcPr>
            <w:tcW w:type="dxa" w:w="7100"/>
            <w:shd w:fill="FFFFFF"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FastAPI : GET /api/v1/recommendations/{client_id} et webhook POST /api/v1/crm/opportunities (jeton Bearer, retries).</w:t>
            </w:r>
          </w:p>
        </w:tc>
      </w:tr>
      <w:tr>
        <w:trPr>
          <w:tblHeader w:val="false"/>
        </w:trPr>
        <w:tc>
          <w:tcPr>
            <w:tcW w:type="dxa" w:w="2600"/>
            <w:shd w:fill="F5F7FA" w:color="auto" w:val="clear"/>
            <w:tcMar>
              <w:top w:type="dxa" w:w="60"/>
              <w:left w:type="dxa" w:w="110"/>
              <w:bottom w:type="dxa" w:w="60"/>
              <w:right w:type="dxa" w:w="110"/>
            </w:tcMar>
          </w:tcPr>
          <w:p>
            <w:pPr>
              <w:spacing w:after="0" w:line="240"/>
              <w:jc w:val="left"/>
            </w:pPr>
            <w:r>
              <w:rPr>
                <w:rFonts w:ascii="Calibri" w:cs="Calibri" w:eastAsia="Calibri" w:hAnsi="Calibri"/>
                <w:b/>
                <w:bCs/>
                <w:color w:val="003B71"/>
                <w:sz w:val="18"/>
                <w:szCs w:val="18"/>
              </w:rPr>
              <w:t xml:space="preserve">Vocabulaires figés</w:t>
            </w:r>
          </w:p>
        </w:tc>
        <w:tc>
          <w:tcPr>
            <w:tcW w:type="dxa" w:w="7100"/>
            <w:shd w:fill="F5F7FA"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Canaux PUSH_APP / SMS / EMAIL / AGENCY_CALL · créneaux MORNING_09H / AFTERNOON_14H / EVENING_20H · codes produits (CREDIT_CONSO, …).</w:t>
            </w:r>
          </w:p>
        </w:tc>
      </w:tr>
    </w:tbl>
    <w:p>
      <w:pPr>
        <w:spacing w:after="120" w:line="264"/>
        <w:jc w:val="both"/>
      </w:pPr>
      <w:r>
        <w:rPr>
          <w:rFonts w:ascii="Calibri" w:cs="Calibri" w:eastAsia="Calibri" w:hAnsi="Calibri"/>
          <w:i/>
          <w:iCs/>
          <w:color w:val="8A6F1E"/>
          <w:sz w:val="21"/>
          <w:szCs w:val="21"/>
        </w:rPr>
        <w:t xml:space="preserve">Point structurant : ce modèle suppose un partage de base de données. Une plateforme comme SwiftNova ne lira pas cette table et n'ouvrira pas la sienne en écriture directe sans cadrage — d'où le besoin d'un connecteur dédié.</w:t>
      </w:r>
    </w:p>
    <w:p>
      <w:pPr>
        <w:spacing w:after="40" w:before="220"/>
      </w:pPr>
      <w:r>
        <w:rPr>
          <w:rFonts w:ascii="Calibri" w:cs="Calibri" w:eastAsia="Calibri" w:hAnsi="Calibri"/>
          <w:b/>
          <w:bCs/>
          <w:color w:val="BD9B3C"/>
          <w:spacing w:val="30"/>
          <w:sz w:val="17"/>
          <w:szCs w:val="17"/>
        </w:rPr>
        <w:t xml:space="preserve">3 · DEUX POINTS STRUCTURANTS</w:t>
      </w:r>
    </w:p>
    <w:p>
      <w:pPr>
        <w:spacing w:after="60" w:before="140"/>
      </w:pPr>
      <w:r>
        <w:rPr>
          <w:rFonts w:ascii="Cambria" w:cs="Cambria" w:eastAsia="Cambria" w:hAnsi="Cambria"/>
          <w:b/>
          <w:bCs/>
          <w:color w:val="2A2F36"/>
          <w:sz w:val="22"/>
          <w:szCs w:val="22"/>
        </w:rPr>
        <w:t xml:space="preserve">3.1 — Hébergement &amp; données personnelles</w:t>
      </w:r>
    </w:p>
    <w:p>
      <w:pPr>
        <w:spacing w:after="120" w:line="264"/>
        <w:jc w:val="both"/>
      </w:pPr>
      <w:r>
        <w:rPr>
          <w:rFonts w:ascii="Calibri" w:cs="Calibri" w:eastAsia="Calibri" w:hAnsi="Calibri"/>
          <w:color w:val="47525F"/>
          <w:sz w:val="21"/>
          <w:szCs w:val="21"/>
        </w:rPr>
        <w:t xml:space="preserve">SwiftNova étant déployé sur l'infrastructure de la banque, l'argument on-premise du dispositif tient : les contacts et la PII restent dans le SI. </w:t>
      </w:r>
      <w:r>
        <w:rPr>
          <w:rFonts w:ascii="Calibri" w:cs="Calibri" w:eastAsia="Calibri" w:hAnsi="Calibri"/>
          <w:b/>
          <w:bCs/>
          <w:color w:val="8A6F1E"/>
          <w:sz w:val="21"/>
          <w:szCs w:val="21"/>
        </w:rPr>
        <w:t xml:space="preserve">Réserve</w:t>
      </w:r>
      <w:r>
        <w:rPr>
          <w:rFonts w:ascii="Calibri" w:cs="Calibri" w:eastAsia="Calibri" w:hAnsi="Calibri"/>
          <w:color w:val="47525F"/>
          <w:sz w:val="21"/>
          <w:szCs w:val="21"/>
        </w:rPr>
        <w:t xml:space="preserve"> : cela vaut pour une instance interne, et non pour le tenant cloud partagé campain.swiftnova.ma. Si ce dernier était utilisé, la PII sortirait du SI et il faudrait pseudonymiser les identifiants et pousser les offres par référence. À confirmer explicitement avec l'éditeur.</w:t>
      </w:r>
    </w:p>
    <w:p>
      <w:pPr>
        <w:spacing w:after="60" w:before="140"/>
      </w:pPr>
      <w:r>
        <w:rPr>
          <w:rFonts w:ascii="Cambria" w:cs="Cambria" w:eastAsia="Cambria" w:hAnsi="Cambria"/>
          <w:b/>
          <w:bCs/>
          <w:color w:val="2A2F36"/>
          <w:sz w:val="22"/>
          <w:szCs w:val="22"/>
        </w:rPr>
        <w:t xml:space="preserve">3.2 — Mode d'intégration (à déterminer)</w:t>
      </w:r>
    </w:p>
    <w:p>
      <w:pPr>
        <w:spacing w:after="120" w:line="264"/>
        <w:jc w:val="both"/>
      </w:pPr>
      <w:r>
        <w:rPr>
          <w:rFonts w:ascii="Calibri" w:cs="Calibri" w:eastAsia="Calibri" w:hAnsi="Calibri"/>
          <w:color w:val="47525F"/>
          <w:sz w:val="21"/>
          <w:szCs w:val="21"/>
        </w:rPr>
        <w:t xml:space="preserve">Le mode exposé par SwiftNova conditionne la forme du connecteur. Trois cas possibles : API REST / webhooks (le plus courant pour ce type de plateforme), accès à la base ou échange de fichiers (CSV / SFTP), ou un mode natif / iPaaS. Pour trancher, vérifier dans SwiftNova : le menu Paramètres → « API », « Clés API », « Développeurs », « Intégrations » ou « Webhooks » ; la présence d'un import/export de contacts ; le caractère dynamique des segments et l'existence de champs personnalisés. L'instance étant interne, l'éditeur peut aussi fournir le dictionnaire de données, ce qui ouvre une intégration au niveau base.</w:t>
      </w:r>
    </w:p>
    <w:p>
      <w:pPr>
        <w:spacing w:after="40" w:before="220"/>
      </w:pPr>
      <w:r>
        <w:rPr>
          <w:rFonts w:ascii="Calibri" w:cs="Calibri" w:eastAsia="Calibri" w:hAnsi="Calibri"/>
          <w:b/>
          <w:bCs/>
          <w:color w:val="BD9B3C"/>
          <w:spacing w:val="30"/>
          <w:sz w:val="17"/>
          <w:szCs w:val="17"/>
        </w:rPr>
        <w:t xml:space="preserve">4 · PLAN D'AJUSTEMENT PAR PRIORITÉ</w:t>
      </w:r>
    </w:p>
    <w:p>
      <w:pPr>
        <w:spacing w:after="120" w:before="60"/>
      </w:pPr>
      <w:r>
        <w:rPr>
          <w:rFonts w:ascii="Cambria" w:cs="Cambria" w:eastAsia="Cambria" w:hAnsi="Cambria"/>
          <w:b/>
          <w:bCs/>
          <w:color w:val="003B71"/>
          <w:sz w:val="27"/>
          <w:szCs w:val="27"/>
        </w:rPr>
        <w:t xml:space="preserve">Ce qui peut être préparé maintenant, ce qui attend la confirmation du mode</w:t>
      </w:r>
    </w:p>
    <w:tbl>
      <w:tblPr>
        <w:tblW w:type="dxa" w:w="9700"/>
        <w:tblBorders>
          <w:top w:val="single" w:color="E2E8F0" w:sz="4"/>
          <w:left w:val="single" w:color="E2E8F0" w:sz="4"/>
          <w:bottom w:val="single" w:color="E2E8F0" w:sz="4"/>
          <w:right w:val="single" w:color="E2E8F0" w:sz="4"/>
          <w:insideH w:val="single" w:color="E2E8F0" w:sz="4"/>
          <w:insideV w:val="single" w:color="E2E8F0" w:sz="4"/>
        </w:tblBorders>
      </w:tblPr>
      <w:tblGrid>
        <w:gridCol w:w="1150"/>
        <w:gridCol w:w="5350"/>
        <w:gridCol w:w="3200"/>
      </w:tblGrid>
      <w:tr>
        <w:trPr>
          <w:tblHeader/>
        </w:trPr>
        <w:tc>
          <w:tcPr>
            <w:tcW w:type="dxa" w:w="1150"/>
            <w:shd w:fill="003B71" w:color="auto" w:val="clear"/>
            <w:tcMar>
              <w:top w:type="dxa" w:w="60"/>
              <w:left w:type="dxa" w:w="110"/>
              <w:bottom w:type="dxa" w:w="60"/>
              <w:right w:type="dxa" w:w="110"/>
            </w:tcMar>
          </w:tcPr>
          <w:p>
            <w:pPr>
              <w:spacing w:after="0" w:line="240"/>
              <w:jc w:val="left"/>
            </w:pPr>
            <w:r>
              <w:rPr>
                <w:rFonts w:ascii="Calibri" w:cs="Calibri" w:eastAsia="Calibri" w:hAnsi="Calibri"/>
                <w:b/>
                <w:bCs/>
                <w:color w:val="FFFFFF"/>
                <w:sz w:val="19"/>
                <w:szCs w:val="19"/>
              </w:rPr>
              <w:t xml:space="preserve">Priorité</w:t>
            </w:r>
          </w:p>
        </w:tc>
        <w:tc>
          <w:tcPr>
            <w:tcW w:type="dxa" w:w="5350"/>
            <w:shd w:fill="003B71" w:color="auto" w:val="clear"/>
            <w:tcMar>
              <w:top w:type="dxa" w:w="60"/>
              <w:left w:type="dxa" w:w="110"/>
              <w:bottom w:type="dxa" w:w="60"/>
              <w:right w:type="dxa" w:w="110"/>
            </w:tcMar>
          </w:tcPr>
          <w:p>
            <w:pPr>
              <w:spacing w:after="0" w:line="240"/>
              <w:jc w:val="left"/>
            </w:pPr>
            <w:r>
              <w:rPr>
                <w:rFonts w:ascii="Calibri" w:cs="Calibri" w:eastAsia="Calibri" w:hAnsi="Calibri"/>
                <w:b/>
                <w:bCs/>
                <w:color w:val="FFFFFF"/>
                <w:sz w:val="19"/>
                <w:szCs w:val="19"/>
              </w:rPr>
              <w:t xml:space="preserve">Ajustement</w:t>
            </w:r>
          </w:p>
        </w:tc>
        <w:tc>
          <w:tcPr>
            <w:tcW w:type="dxa" w:w="3200"/>
            <w:shd w:fill="003B71" w:color="auto" w:val="clear"/>
            <w:tcMar>
              <w:top w:type="dxa" w:w="60"/>
              <w:left w:type="dxa" w:w="110"/>
              <w:bottom w:type="dxa" w:w="60"/>
              <w:right w:type="dxa" w:w="110"/>
            </w:tcMar>
          </w:tcPr>
          <w:p>
            <w:pPr>
              <w:spacing w:after="0" w:line="240"/>
              <w:jc w:val="left"/>
            </w:pPr>
            <w:r>
              <w:rPr>
                <w:rFonts w:ascii="Calibri" w:cs="Calibri" w:eastAsia="Calibri" w:hAnsi="Calibri"/>
                <w:b/>
                <w:bCs/>
                <w:color w:val="FFFFFF"/>
                <w:sz w:val="19"/>
                <w:szCs w:val="19"/>
              </w:rPr>
              <w:t xml:space="preserve">Décision / prérequis qui le débloque</w:t>
            </w:r>
          </w:p>
        </w:tc>
      </w:tr>
      <w:tr>
        <w:trPr>
          <w:tblHeader w:val="false"/>
        </w:trPr>
        <w:tc>
          <w:tcPr>
            <w:tcW w:type="dxa" w:w="1150"/>
            <w:shd w:fill="FFFFFF" w:color="auto" w:val="clear"/>
            <w:tcMar>
              <w:top w:type="dxa" w:w="60"/>
              <w:left w:type="dxa" w:w="110"/>
              <w:bottom w:type="dxa" w:w="60"/>
              <w:right w:type="dxa" w:w="110"/>
            </w:tcMar>
          </w:tcPr>
          <w:p>
            <w:pPr>
              <w:spacing w:after="0" w:line="240"/>
              <w:jc w:val="left"/>
            </w:pPr>
            <w:r>
              <w:rPr>
                <w:rFonts w:ascii="Calibri" w:cs="Calibri" w:eastAsia="Calibri" w:hAnsi="Calibri"/>
                <w:b/>
                <w:bCs/>
                <w:color w:val="003B71"/>
                <w:sz w:val="18"/>
                <w:szCs w:val="18"/>
              </w:rPr>
              <w:t xml:space="preserve">P0</w:t>
            </w:r>
          </w:p>
        </w:tc>
        <w:tc>
          <w:tcPr>
            <w:tcW w:type="dxa" w:w="5350"/>
            <w:shd w:fill="FFFFFF"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Réconciliation d'identité : clé commune client bancaire ↔ contact SwiftNova (external_id recommandé).</w:t>
            </w:r>
          </w:p>
        </w:tc>
        <w:tc>
          <w:tcPr>
            <w:tcW w:type="dxa" w:w="3200"/>
            <w:shd w:fill="FFFFFF"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Choix de la clé partagée (DSI + éditeur).</w:t>
            </w:r>
          </w:p>
        </w:tc>
      </w:tr>
      <w:tr>
        <w:trPr>
          <w:tblHeader w:val="false"/>
        </w:trPr>
        <w:tc>
          <w:tcPr>
            <w:tcW w:type="dxa" w:w="1150"/>
            <w:shd w:fill="F5F7FA" w:color="auto" w:val="clear"/>
            <w:tcMar>
              <w:top w:type="dxa" w:w="60"/>
              <w:left w:type="dxa" w:w="110"/>
              <w:bottom w:type="dxa" w:w="60"/>
              <w:right w:type="dxa" w:w="110"/>
            </w:tcMar>
          </w:tcPr>
          <w:p>
            <w:pPr>
              <w:spacing w:after="0" w:line="240"/>
              <w:jc w:val="left"/>
            </w:pPr>
            <w:r>
              <w:rPr>
                <w:rFonts w:ascii="Calibri" w:cs="Calibri" w:eastAsia="Calibri" w:hAnsi="Calibri"/>
                <w:b/>
                <w:bCs/>
                <w:color w:val="003B71"/>
                <w:sz w:val="18"/>
                <w:szCs w:val="18"/>
              </w:rPr>
              <w:t xml:space="preserve">P0</w:t>
            </w:r>
          </w:p>
        </w:tc>
        <w:tc>
          <w:tcPr>
            <w:tcW w:type="dxa" w:w="5350"/>
            <w:shd w:fill="F5F7FA"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Table de correspondance produit → campagne / gabarit SwiftNova + canal.</w:t>
            </w:r>
          </w:p>
        </w:tc>
        <w:tc>
          <w:tcPr>
            <w:tcW w:type="dxa" w:w="3200"/>
            <w:shd w:fill="F5F7FA"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Liste des campagnes et gabarits SwiftNova.</w:t>
            </w:r>
          </w:p>
        </w:tc>
      </w:tr>
      <w:tr>
        <w:trPr>
          <w:tblHeader w:val="false"/>
        </w:trPr>
        <w:tc>
          <w:tcPr>
            <w:tcW w:type="dxa" w:w="1150"/>
            <w:shd w:fill="FFFFFF" w:color="auto" w:val="clear"/>
            <w:tcMar>
              <w:top w:type="dxa" w:w="60"/>
              <w:left w:type="dxa" w:w="110"/>
              <w:bottom w:type="dxa" w:w="60"/>
              <w:right w:type="dxa" w:w="110"/>
            </w:tcMar>
          </w:tcPr>
          <w:p>
            <w:pPr>
              <w:spacing w:after="0" w:line="240"/>
              <w:jc w:val="left"/>
            </w:pPr>
            <w:r>
              <w:rPr>
                <w:rFonts w:ascii="Calibri" w:cs="Calibri" w:eastAsia="Calibri" w:hAnsi="Calibri"/>
                <w:b/>
                <w:bCs/>
                <w:color w:val="003B71"/>
                <w:sz w:val="18"/>
                <w:szCs w:val="18"/>
              </w:rPr>
              <w:t xml:space="preserve">P0</w:t>
            </w:r>
          </w:p>
        </w:tc>
        <w:tc>
          <w:tcPr>
            <w:tcW w:type="dxa" w:w="5350"/>
            <w:shd w:fill="FFFFFF"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Mapping des canaux (4 valeurs → canaux SwiftNova) ; AGENCY_CALL routé vers le CRM/agence, hors SwiftNova.</w:t>
            </w:r>
          </w:p>
        </w:tc>
        <w:tc>
          <w:tcPr>
            <w:tcW w:type="dxa" w:w="3200"/>
            <w:shd w:fill="FFFFFF"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Noms de canaux SwiftNova.</w:t>
            </w:r>
          </w:p>
        </w:tc>
      </w:tr>
      <w:tr>
        <w:trPr>
          <w:tblHeader w:val="false"/>
        </w:trPr>
        <w:tc>
          <w:tcPr>
            <w:tcW w:type="dxa" w:w="1150"/>
            <w:shd w:fill="F5F7FA" w:color="auto" w:val="clear"/>
            <w:tcMar>
              <w:top w:type="dxa" w:w="60"/>
              <w:left w:type="dxa" w:w="110"/>
              <w:bottom w:type="dxa" w:w="60"/>
              <w:right w:type="dxa" w:w="110"/>
            </w:tcMar>
          </w:tcPr>
          <w:p>
            <w:pPr>
              <w:spacing w:after="0" w:line="240"/>
              <w:jc w:val="left"/>
            </w:pPr>
            <w:r>
              <w:rPr>
                <w:rFonts w:ascii="Calibri" w:cs="Calibri" w:eastAsia="Calibri" w:hAnsi="Calibri"/>
                <w:b/>
                <w:bCs/>
                <w:color w:val="003B71"/>
                <w:sz w:val="18"/>
                <w:szCs w:val="18"/>
              </w:rPr>
              <w:t xml:space="preserve">P0</w:t>
            </w:r>
          </w:p>
        </w:tc>
        <w:tc>
          <w:tcPr>
            <w:tcW w:type="dxa" w:w="5350"/>
            <w:shd w:fill="F5F7FA"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Brancher debt_ratio et l'incident BAM sur le core banking (pas SwiftNova).</w:t>
            </w:r>
          </w:p>
        </w:tc>
        <w:tc>
          <w:tcPr>
            <w:tcW w:type="dxa" w:w="3200"/>
            <w:shd w:fill="F5F7FA"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Accès à la source risque / core banking.</w:t>
            </w:r>
          </w:p>
        </w:tc>
      </w:tr>
      <w:tr>
        <w:trPr>
          <w:tblHeader w:val="false"/>
        </w:trPr>
        <w:tc>
          <w:tcPr>
            <w:tcW w:type="dxa" w:w="1150"/>
            <w:shd w:fill="FFFFFF" w:color="auto" w:val="clear"/>
            <w:tcMar>
              <w:top w:type="dxa" w:w="60"/>
              <w:left w:type="dxa" w:w="110"/>
              <w:bottom w:type="dxa" w:w="60"/>
              <w:right w:type="dxa" w:w="110"/>
            </w:tcMar>
          </w:tcPr>
          <w:p>
            <w:pPr>
              <w:spacing w:after="0" w:line="240"/>
              <w:jc w:val="left"/>
            </w:pPr>
            <w:r>
              <w:rPr>
                <w:rFonts w:ascii="Calibri" w:cs="Calibri" w:eastAsia="Calibri" w:hAnsi="Calibri"/>
                <w:b/>
                <w:bCs/>
                <w:color w:val="003B71"/>
                <w:sz w:val="18"/>
                <w:szCs w:val="18"/>
              </w:rPr>
              <w:t xml:space="preserve">P0</w:t>
            </w:r>
          </w:p>
        </w:tc>
        <w:tc>
          <w:tcPr>
            <w:tcW w:type="dxa" w:w="5350"/>
            <w:shd w:fill="FFFFFF"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Rapatrier consentement/opt-out et fréquence de contact depuis SwiftNova avant le scoring.</w:t>
            </w:r>
          </w:p>
        </w:tc>
        <w:tc>
          <w:tcPr>
            <w:tcW w:type="dxa" w:w="3200"/>
            <w:shd w:fill="FFFFFF"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Endpoint / champ de consentement SwiftNova.</w:t>
            </w:r>
          </w:p>
        </w:tc>
      </w:tr>
      <w:tr>
        <w:trPr>
          <w:tblHeader w:val="false"/>
        </w:trPr>
        <w:tc>
          <w:tcPr>
            <w:tcW w:type="dxa" w:w="1150"/>
            <w:shd w:fill="F5F7FA" w:color="auto" w:val="clear"/>
            <w:tcMar>
              <w:top w:type="dxa" w:w="60"/>
              <w:left w:type="dxa" w:w="110"/>
              <w:bottom w:type="dxa" w:w="60"/>
              <w:right w:type="dxa" w:w="110"/>
            </w:tcMar>
          </w:tcPr>
          <w:p>
            <w:pPr>
              <w:spacing w:after="0" w:line="240"/>
              <w:jc w:val="left"/>
            </w:pPr>
            <w:r>
              <w:rPr>
                <w:rFonts w:ascii="Calibri" w:cs="Calibri" w:eastAsia="Calibri" w:hAnsi="Calibri"/>
                <w:b/>
                <w:bCs/>
                <w:color w:val="8A6F1E"/>
                <w:sz w:val="18"/>
                <w:szCs w:val="18"/>
              </w:rPr>
              <w:t xml:space="preserve">P1</w:t>
            </w:r>
          </w:p>
        </w:tc>
        <w:tc>
          <w:tcPr>
            <w:tcW w:type="dxa" w:w="5350"/>
            <w:shd w:fill="F5F7FA"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Connecteur de livraison SwiftNova (API ou base) : push d'audiences / attributs / déclencheurs, idempotent et réconcilié.</w:t>
            </w:r>
          </w:p>
        </w:tc>
        <w:tc>
          <w:tcPr>
            <w:tcW w:type="dxa" w:w="3200"/>
            <w:shd w:fill="F5F7FA"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Mode d'intégration confirmé.</w:t>
            </w:r>
          </w:p>
        </w:tc>
      </w:tr>
      <w:tr>
        <w:trPr>
          <w:tblHeader w:val="false"/>
        </w:trPr>
        <w:tc>
          <w:tcPr>
            <w:tcW w:type="dxa" w:w="1150"/>
            <w:shd w:fill="FFFFFF" w:color="auto" w:val="clear"/>
            <w:tcMar>
              <w:top w:type="dxa" w:w="60"/>
              <w:left w:type="dxa" w:w="110"/>
              <w:bottom w:type="dxa" w:w="60"/>
              <w:right w:type="dxa" w:w="110"/>
            </w:tcMar>
          </w:tcPr>
          <w:p>
            <w:pPr>
              <w:spacing w:after="0" w:line="240"/>
              <w:jc w:val="left"/>
            </w:pPr>
            <w:r>
              <w:rPr>
                <w:rFonts w:ascii="Calibri" w:cs="Calibri" w:eastAsia="Calibri" w:hAnsi="Calibri"/>
                <w:b/>
                <w:bCs/>
                <w:color w:val="8A6F1E"/>
                <w:sz w:val="18"/>
                <w:szCs w:val="18"/>
              </w:rPr>
              <w:t xml:space="preserve">P1</w:t>
            </w:r>
          </w:p>
        </w:tc>
        <w:tc>
          <w:tcPr>
            <w:tcW w:type="dxa" w:w="5350"/>
            <w:shd w:fill="FFFFFF"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Aligner l'ordonnancement : batch nocturne avant la fenêtre d'envoi SwiftNova.</w:t>
            </w:r>
          </w:p>
        </w:tc>
        <w:tc>
          <w:tcPr>
            <w:tcW w:type="dxa" w:w="3200"/>
            <w:shd w:fill="FFFFFF"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Horaires d'envoi SwiftNova.</w:t>
            </w:r>
          </w:p>
        </w:tc>
      </w:tr>
      <w:tr>
        <w:trPr>
          <w:tblHeader w:val="false"/>
        </w:trPr>
        <w:tc>
          <w:tcPr>
            <w:tcW w:type="dxa" w:w="1150"/>
            <w:shd w:fill="F5F7FA" w:color="auto" w:val="clear"/>
            <w:tcMar>
              <w:top w:type="dxa" w:w="60"/>
              <w:left w:type="dxa" w:w="110"/>
              <w:bottom w:type="dxa" w:w="60"/>
              <w:right w:type="dxa" w:w="110"/>
            </w:tcMar>
          </w:tcPr>
          <w:p>
            <w:pPr>
              <w:spacing w:after="0" w:line="240"/>
              <w:jc w:val="left"/>
            </w:pPr>
            <w:r>
              <w:rPr>
                <w:rFonts w:ascii="Calibri" w:cs="Calibri" w:eastAsia="Calibri" w:hAnsi="Calibri"/>
                <w:b/>
                <w:bCs/>
                <w:color w:val="8A6F1E"/>
                <w:sz w:val="18"/>
                <w:szCs w:val="18"/>
              </w:rPr>
              <w:t xml:space="preserve">P2</w:t>
            </w:r>
          </w:p>
        </w:tc>
        <w:tc>
          <w:tcPr>
            <w:tcW w:type="dxa" w:w="5350"/>
            <w:shd w:fill="F5F7FA"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Extracteur de résultats de campagne (webhooks/polling) → réentraînement + KPIs.</w:t>
            </w:r>
          </w:p>
        </w:tc>
        <w:tc>
          <w:tcPr>
            <w:tcW w:type="dxa" w:w="3200"/>
            <w:shd w:fill="F5F7FA"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Événements / reporting exposés par SwiftNova.</w:t>
            </w:r>
          </w:p>
        </w:tc>
      </w:tr>
      <w:tr>
        <w:trPr>
          <w:tblHeader w:val="false"/>
        </w:trPr>
        <w:tc>
          <w:tcPr>
            <w:tcW w:type="dxa" w:w="1150"/>
            <w:shd w:fill="FFFFFF" w:color="auto" w:val="clear"/>
            <w:tcMar>
              <w:top w:type="dxa" w:w="60"/>
              <w:left w:type="dxa" w:w="110"/>
              <w:bottom w:type="dxa" w:w="60"/>
              <w:right w:type="dxa" w:w="110"/>
            </w:tcMar>
          </w:tcPr>
          <w:p>
            <w:pPr>
              <w:spacing w:after="0" w:line="240"/>
              <w:jc w:val="left"/>
            </w:pPr>
            <w:r>
              <w:rPr>
                <w:rFonts w:ascii="Calibri" w:cs="Calibri" w:eastAsia="Calibri" w:hAnsi="Calibri"/>
                <w:b/>
                <w:bCs/>
                <w:color w:val="8A6F1E"/>
                <w:sz w:val="18"/>
                <w:szCs w:val="18"/>
              </w:rPr>
              <w:t xml:space="preserve">P2</w:t>
            </w:r>
          </w:p>
        </w:tc>
        <w:tc>
          <w:tcPr>
            <w:tcW w:type="dxa" w:w="5350"/>
            <w:shd w:fill="FFFFFF"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Observabilité : réconciliation des compteurs, file d'erreurs, alerting.</w:t>
            </w:r>
          </w:p>
        </w:tc>
        <w:tc>
          <w:tcPr>
            <w:tcW w:type="dxa" w:w="3200"/>
            <w:shd w:fill="FFFFFF"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w:t>
            </w:r>
          </w:p>
        </w:tc>
      </w:tr>
    </w:tbl>
    <w:p>
      <w:pPr>
        <w:spacing w:after="40" w:before="220"/>
      </w:pPr>
      <w:r>
        <w:rPr>
          <w:rFonts w:ascii="Calibri" w:cs="Calibri" w:eastAsia="Calibri" w:hAnsi="Calibri"/>
          <w:b/>
          <w:bCs/>
          <w:color w:val="BD9B3C"/>
          <w:spacing w:val="30"/>
          <w:sz w:val="17"/>
          <w:szCs w:val="17"/>
        </w:rPr>
        <w:t xml:space="preserve">5 · OÙ CELA SE TRADUIT DANS LE CODE</w:t>
      </w:r>
    </w:p>
    <w:p>
      <w:pPr>
        <w:spacing w:after="120" w:before="60"/>
      </w:pPr>
      <w:r>
        <w:rPr>
          <w:rFonts w:ascii="Cambria" w:cs="Cambria" w:eastAsia="Cambria" w:hAnsi="Cambria"/>
          <w:b/>
          <w:bCs/>
          <w:color w:val="003B71"/>
          <w:sz w:val="27"/>
          <w:szCs w:val="27"/>
        </w:rPr>
        <w:t xml:space="preserve">Fichiers impactés du projet ai_agent_marketing</w:t>
      </w:r>
    </w:p>
    <w:tbl>
      <w:tblPr>
        <w:tblW w:type="dxa" w:w="9700"/>
        <w:tblBorders>
          <w:top w:val="single" w:color="E2E8F0" w:sz="4"/>
          <w:left w:val="single" w:color="E2E8F0" w:sz="4"/>
          <w:bottom w:val="single" w:color="E2E8F0" w:sz="4"/>
          <w:right w:val="single" w:color="E2E8F0" w:sz="4"/>
          <w:insideH w:val="single" w:color="E2E8F0" w:sz="4"/>
          <w:insideV w:val="single" w:color="E2E8F0" w:sz="4"/>
        </w:tblBorders>
      </w:tblPr>
      <w:tblGrid>
        <w:gridCol w:w="3100"/>
        <w:gridCol w:w="6600"/>
      </w:tblGrid>
      <w:tr>
        <w:trPr>
          <w:tblHeader/>
        </w:trPr>
        <w:tc>
          <w:tcPr>
            <w:tcW w:type="dxa" w:w="3100"/>
            <w:shd w:fill="003B71" w:color="auto" w:val="clear"/>
            <w:tcMar>
              <w:top w:type="dxa" w:w="60"/>
              <w:left w:type="dxa" w:w="110"/>
              <w:bottom w:type="dxa" w:w="60"/>
              <w:right w:type="dxa" w:w="110"/>
            </w:tcMar>
          </w:tcPr>
          <w:p>
            <w:pPr>
              <w:spacing w:after="0" w:line="240"/>
              <w:jc w:val="left"/>
            </w:pPr>
            <w:r>
              <w:rPr>
                <w:rFonts w:ascii="Calibri" w:cs="Calibri" w:eastAsia="Calibri" w:hAnsi="Calibri"/>
                <w:b/>
                <w:bCs/>
                <w:color w:val="FFFFFF"/>
                <w:sz w:val="19"/>
                <w:szCs w:val="19"/>
              </w:rPr>
              <w:t xml:space="preserve">Fichier</w:t>
            </w:r>
          </w:p>
        </w:tc>
        <w:tc>
          <w:tcPr>
            <w:tcW w:type="dxa" w:w="6600"/>
            <w:shd w:fill="003B71" w:color="auto" w:val="clear"/>
            <w:tcMar>
              <w:top w:type="dxa" w:w="60"/>
              <w:left w:type="dxa" w:w="110"/>
              <w:bottom w:type="dxa" w:w="60"/>
              <w:right w:type="dxa" w:w="110"/>
            </w:tcMar>
          </w:tcPr>
          <w:p>
            <w:pPr>
              <w:spacing w:after="0" w:line="240"/>
              <w:jc w:val="left"/>
            </w:pPr>
            <w:r>
              <w:rPr>
                <w:rFonts w:ascii="Calibri" w:cs="Calibri" w:eastAsia="Calibri" w:hAnsi="Calibri"/>
                <w:b/>
                <w:bCs/>
                <w:color w:val="FFFFFF"/>
                <w:sz w:val="19"/>
                <w:szCs w:val="19"/>
              </w:rPr>
              <w:t xml:space="preserve">Ajustement</w:t>
            </w:r>
          </w:p>
        </w:tc>
      </w:tr>
      <w:tr>
        <w:trPr>
          <w:tblHeader w:val="false"/>
        </w:trPr>
        <w:tc>
          <w:tcPr>
            <w:tcW w:type="dxa" w:w="3100"/>
            <w:shd w:fill="FFFFFF" w:color="auto" w:val="clear"/>
            <w:tcMar>
              <w:top w:type="dxa" w:w="60"/>
              <w:left w:type="dxa" w:w="110"/>
              <w:bottom w:type="dxa" w:w="60"/>
              <w:right w:type="dxa" w:w="110"/>
            </w:tcMar>
          </w:tcPr>
          <w:p>
            <w:pPr>
              <w:spacing w:after="0" w:line="240"/>
              <w:jc w:val="left"/>
            </w:pPr>
            <w:r>
              <w:rPr>
                <w:rFonts w:ascii="Calibri" w:cs="Calibri" w:eastAsia="Calibri" w:hAnsi="Calibri"/>
                <w:b/>
                <w:bCs/>
                <w:color w:val="003B71"/>
                <w:sz w:val="18"/>
                <w:szCs w:val="18"/>
              </w:rPr>
              <w:t xml:space="preserve">data/extractors.py</w:t>
            </w:r>
          </w:p>
        </w:tc>
        <w:tc>
          <w:tcPr>
            <w:tcW w:type="dxa" w:w="6600"/>
            <w:shd w:fill="FFFFFF"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Ajouter un SwiftNovaExtractor : engagement, joignabilité, consentement.</w:t>
            </w:r>
          </w:p>
        </w:tc>
      </w:tr>
      <w:tr>
        <w:trPr>
          <w:tblHeader w:val="false"/>
        </w:trPr>
        <w:tc>
          <w:tcPr>
            <w:tcW w:type="dxa" w:w="3100"/>
            <w:shd w:fill="F5F7FA" w:color="auto" w:val="clear"/>
            <w:tcMar>
              <w:top w:type="dxa" w:w="60"/>
              <w:left w:type="dxa" w:w="110"/>
              <w:bottom w:type="dxa" w:w="60"/>
              <w:right w:type="dxa" w:w="110"/>
            </w:tcMar>
          </w:tcPr>
          <w:p>
            <w:pPr>
              <w:spacing w:after="0" w:line="240"/>
              <w:jc w:val="left"/>
            </w:pPr>
            <w:r>
              <w:rPr>
                <w:rFonts w:ascii="Calibri" w:cs="Calibri" w:eastAsia="Calibri" w:hAnsi="Calibri"/>
                <w:b/>
                <w:bCs/>
                <w:color w:val="003B71"/>
                <w:sz w:val="18"/>
                <w:szCs w:val="18"/>
              </w:rPr>
              <w:t xml:space="preserve">data/loaders.py</w:t>
            </w:r>
          </w:p>
        </w:tc>
        <w:tc>
          <w:tcPr>
            <w:tcW w:type="dxa" w:w="6600"/>
            <w:shd w:fill="F5F7FA"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Ajouter l'adaptateur de livraison SwiftNova ; conserver le chemin base actuel en repli.</w:t>
            </w:r>
          </w:p>
        </w:tc>
      </w:tr>
      <w:tr>
        <w:trPr>
          <w:tblHeader w:val="false"/>
        </w:trPr>
        <w:tc>
          <w:tcPr>
            <w:tcW w:type="dxa" w:w="3100"/>
            <w:shd w:fill="FFFFFF" w:color="auto" w:val="clear"/>
            <w:tcMar>
              <w:top w:type="dxa" w:w="60"/>
              <w:left w:type="dxa" w:w="110"/>
              <w:bottom w:type="dxa" w:w="60"/>
              <w:right w:type="dxa" w:w="110"/>
            </w:tcMar>
          </w:tcPr>
          <w:p>
            <w:pPr>
              <w:spacing w:after="0" w:line="240"/>
              <w:jc w:val="left"/>
            </w:pPr>
            <w:r>
              <w:rPr>
                <w:rFonts w:ascii="Calibri" w:cs="Calibri" w:eastAsia="Calibri" w:hAnsi="Calibri"/>
                <w:b/>
                <w:bCs/>
                <w:color w:val="003B71"/>
                <w:sz w:val="18"/>
                <w:szCs w:val="18"/>
              </w:rPr>
              <w:t xml:space="preserve">config/settings.py</w:t>
            </w:r>
          </w:p>
        </w:tc>
        <w:tc>
          <w:tcPr>
            <w:tcW w:type="dxa" w:w="6600"/>
            <w:shd w:fill="FFFFFF"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Connexion SwiftNova + les deux tables de correspondance (produit→campagne, canal→canal).</w:t>
            </w:r>
          </w:p>
        </w:tc>
      </w:tr>
      <w:tr>
        <w:trPr>
          <w:tblHeader w:val="false"/>
        </w:trPr>
        <w:tc>
          <w:tcPr>
            <w:tcW w:type="dxa" w:w="3100"/>
            <w:shd w:fill="F5F7FA" w:color="auto" w:val="clear"/>
            <w:tcMar>
              <w:top w:type="dxa" w:w="60"/>
              <w:left w:type="dxa" w:w="110"/>
              <w:bottom w:type="dxa" w:w="60"/>
              <w:right w:type="dxa" w:w="110"/>
            </w:tcMar>
          </w:tcPr>
          <w:p>
            <w:pPr>
              <w:spacing w:after="0" w:line="240"/>
              <w:jc w:val="left"/>
            </w:pPr>
            <w:r>
              <w:rPr>
                <w:rFonts w:ascii="Calibri" w:cs="Calibri" w:eastAsia="Calibri" w:hAnsi="Calibri"/>
                <w:b/>
                <w:bCs/>
                <w:color w:val="003B71"/>
                <w:sz w:val="18"/>
                <w:szCs w:val="18"/>
              </w:rPr>
              <w:t xml:space="preserve">rules/compliance.py</w:t>
            </w:r>
          </w:p>
        </w:tc>
        <w:tc>
          <w:tcPr>
            <w:tcW w:type="dxa" w:w="6600"/>
            <w:shd w:fill="F5F7FA"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S'assurer que consentement et fréquence proviennent de la source la plus fraîche (SwiftNova).</w:t>
            </w:r>
          </w:p>
        </w:tc>
      </w:tr>
      <w:tr>
        <w:trPr>
          <w:tblHeader w:val="false"/>
        </w:trPr>
        <w:tc>
          <w:tcPr>
            <w:tcW w:type="dxa" w:w="3100"/>
            <w:shd w:fill="FFFFFF" w:color="auto" w:val="clear"/>
            <w:tcMar>
              <w:top w:type="dxa" w:w="60"/>
              <w:left w:type="dxa" w:w="110"/>
              <w:bottom w:type="dxa" w:w="60"/>
              <w:right w:type="dxa" w:w="110"/>
            </w:tcMar>
          </w:tcPr>
          <w:p>
            <w:pPr>
              <w:spacing w:after="0" w:line="240"/>
              <w:jc w:val="left"/>
            </w:pPr>
            <w:r>
              <w:rPr>
                <w:rFonts w:ascii="Calibri" w:cs="Calibri" w:eastAsia="Calibri" w:hAnsi="Calibri"/>
                <w:b/>
                <w:bCs/>
                <w:color w:val="003B71"/>
                <w:sz w:val="18"/>
                <w:szCs w:val="18"/>
              </w:rPr>
              <w:t xml:space="preserve">api/schemas.py</w:t>
            </w:r>
          </w:p>
        </w:tc>
        <w:tc>
          <w:tcPr>
            <w:tcW w:type="dxa" w:w="6600"/>
            <w:shd w:fill="FFFFFF"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Aligner le payload du webhook sur le contrat réel du CRM / SwiftNova.</w:t>
            </w:r>
          </w:p>
        </w:tc>
      </w:tr>
      <w:tr>
        <w:trPr>
          <w:tblHeader w:val="false"/>
        </w:trPr>
        <w:tc>
          <w:tcPr>
            <w:tcW w:type="dxa" w:w="3100"/>
            <w:shd w:fill="F5F7FA" w:color="auto" w:val="clear"/>
            <w:tcMar>
              <w:top w:type="dxa" w:w="60"/>
              <w:left w:type="dxa" w:w="110"/>
              <w:bottom w:type="dxa" w:w="60"/>
              <w:right w:type="dxa" w:w="110"/>
            </w:tcMar>
          </w:tcPr>
          <w:p>
            <w:pPr>
              <w:spacing w:after="0" w:line="240"/>
              <w:jc w:val="left"/>
            </w:pPr>
            <w:r>
              <w:rPr>
                <w:rFonts w:ascii="Calibri" w:cs="Calibri" w:eastAsia="Calibri" w:hAnsi="Calibri"/>
                <w:b/>
                <w:bCs/>
                <w:color w:val="003B71"/>
                <w:sz w:val="18"/>
                <w:szCs w:val="18"/>
              </w:rPr>
              <w:t xml:space="preserve">pipelines/daily_batch.py</w:t>
            </w:r>
          </w:p>
        </w:tc>
        <w:tc>
          <w:tcPr>
            <w:tcW w:type="dxa" w:w="6600"/>
            <w:shd w:fill="F5F7FA" w:color="auto" w:val="clear"/>
            <w:tcMar>
              <w:top w:type="dxa" w:w="60"/>
              <w:left w:type="dxa" w:w="110"/>
              <w:bottom w:type="dxa" w:w="60"/>
              <w:right w:type="dxa" w:w="110"/>
            </w:tcMar>
          </w:tcPr>
          <w:p>
            <w:pPr>
              <w:spacing w:after="0" w:line="240"/>
              <w:jc w:val="left"/>
            </w:pPr>
            <w:r>
              <w:rPr>
                <w:rFonts w:ascii="Calibri" w:cs="Calibri" w:eastAsia="Calibri" w:hAnsi="Calibri"/>
                <w:color w:val="47525F"/>
                <w:sz w:val="18"/>
                <w:szCs w:val="18"/>
              </w:rPr>
              <w:t xml:space="preserve">Câbler le nouvel extracteur / loader et l'horaire d'exécution.</w:t>
            </w:r>
          </w:p>
        </w:tc>
      </w:tr>
    </w:tbl>
    <w:p>
      <w:pPr>
        <w:pageBreakBefore/>
      </w:pPr>
    </w:p>
    <w:p>
      <w:pPr>
        <w:spacing w:after="40" w:before="220"/>
      </w:pPr>
      <w:r>
        <w:rPr>
          <w:rFonts w:ascii="Calibri" w:cs="Calibri" w:eastAsia="Calibri" w:hAnsi="Calibri"/>
          <w:b/>
          <w:bCs/>
          <w:color w:val="BD9B3C"/>
          <w:spacing w:val="30"/>
          <w:sz w:val="17"/>
          <w:szCs w:val="17"/>
        </w:rPr>
        <w:t xml:space="preserve">6 · QUESTIONS À POSER À SWIFTNOVA</w:t>
      </w:r>
    </w:p>
    <w:p>
      <w:pPr>
        <w:spacing w:after="120" w:before="60"/>
      </w:pPr>
      <w:r>
        <w:rPr>
          <w:rFonts w:ascii="Cambria" w:cs="Cambria" w:eastAsia="Cambria" w:hAnsi="Cambria"/>
          <w:b/>
          <w:bCs/>
          <w:color w:val="003B71"/>
          <w:sz w:val="27"/>
          <w:szCs w:val="27"/>
        </w:rPr>
        <w:t xml:space="preserve">La check-list à adresser à l'éditeur pour figer l'intégration</w:t>
      </w:r>
    </w:p>
    <w:p>
      <w:pPr>
        <w:spacing w:after="60" w:before="140"/>
      </w:pPr>
      <w:r>
        <w:rPr>
          <w:rFonts w:ascii="Cambria" w:cs="Cambria" w:eastAsia="Cambria" w:hAnsi="Cambria"/>
          <w:b/>
          <w:bCs/>
          <w:color w:val="2A2F36"/>
          <w:sz w:val="22"/>
          <w:szCs w:val="22"/>
        </w:rPr>
        <w:t xml:space="preserve">Modèle de données</w:t>
      </w:r>
    </w:p>
    <w:p>
      <w:pPr>
        <w:pStyle w:val="ListParagraph"/>
        <w:numPr>
          <w:ilvl w:val="0"/>
          <w:numId w:val="2"/>
        </w:numPr>
        <w:spacing w:after="80" w:line="258"/>
      </w:pPr>
      <w:r>
        <w:rPr>
          <w:rFonts w:ascii="Calibri" w:cs="Calibri" w:eastAsia="Calibri" w:hAnsi="Calibri"/>
          <w:color w:val="47525F"/>
          <w:sz w:val="21"/>
          <w:szCs w:val="21"/>
        </w:rPr>
        <w:t xml:space="preserve">Quel est l'identifiant unique d'un contact (email, téléphone, external_id) ? Peut-on y stocker un identifiant bancaire ?</w:t>
      </w:r>
    </w:p>
    <w:p>
      <w:pPr>
        <w:pStyle w:val="ListParagraph"/>
        <w:numPr>
          <w:ilvl w:val="0"/>
          <w:numId w:val="2"/>
        </w:numPr>
        <w:spacing w:after="80" w:line="258"/>
      </w:pPr>
      <w:r>
        <w:rPr>
          <w:rFonts w:ascii="Calibri" w:cs="Calibri" w:eastAsia="Calibri" w:hAnsi="Calibri"/>
          <w:color w:val="47525F"/>
          <w:sz w:val="21"/>
          <w:szCs w:val="21"/>
        </w:rPr>
        <w:t xml:space="preserve">Les contacts supportent-ils des champs personnalisés ? Combien, quels types ?</w:t>
      </w:r>
    </w:p>
    <w:p>
      <w:pPr>
        <w:pStyle w:val="ListParagraph"/>
        <w:numPr>
          <w:ilvl w:val="0"/>
          <w:numId w:val="2"/>
        </w:numPr>
        <w:spacing w:after="80" w:line="258"/>
      </w:pPr>
      <w:r>
        <w:rPr>
          <w:rFonts w:ascii="Calibri" w:cs="Calibri" w:eastAsia="Calibri" w:hAnsi="Calibri"/>
          <w:color w:val="47525F"/>
          <w:sz w:val="21"/>
          <w:szCs w:val="21"/>
        </w:rPr>
        <w:t xml:space="preserve">Les segments/audiences sont-ils dynamiques (basés sur un champ) ou statiques (listes) ?</w:t>
      </w:r>
    </w:p>
    <w:p>
      <w:pPr>
        <w:pStyle w:val="ListParagraph"/>
        <w:numPr>
          <w:ilvl w:val="0"/>
          <w:numId w:val="2"/>
        </w:numPr>
        <w:spacing w:after="80" w:line="258"/>
      </w:pPr>
      <w:r>
        <w:rPr>
          <w:rFonts w:ascii="Calibri" w:cs="Calibri" w:eastAsia="Calibri" w:hAnsi="Calibri"/>
          <w:color w:val="47525F"/>
          <w:sz w:val="21"/>
          <w:szCs w:val="21"/>
        </w:rPr>
        <w:t xml:space="preserve">Existe-t-il des notions de journey / scénario / déclencheur automatisé ?</w:t>
      </w:r>
    </w:p>
    <w:p>
      <w:pPr>
        <w:spacing w:after="60" w:before="140"/>
      </w:pPr>
      <w:r>
        <w:rPr>
          <w:rFonts w:ascii="Cambria" w:cs="Cambria" w:eastAsia="Cambria" w:hAnsi="Cambria"/>
          <w:b/>
          <w:bCs/>
          <w:color w:val="2A2F36"/>
          <w:sz w:val="22"/>
          <w:szCs w:val="22"/>
        </w:rPr>
        <w:t xml:space="preserve">Intégration &amp; API</w:t>
      </w:r>
    </w:p>
    <w:p>
      <w:pPr>
        <w:pStyle w:val="ListParagraph"/>
        <w:numPr>
          <w:ilvl w:val="0"/>
          <w:numId w:val="2"/>
        </w:numPr>
        <w:spacing w:after="80" w:line="258"/>
      </w:pPr>
      <w:r>
        <w:rPr>
          <w:rFonts w:ascii="Calibri" w:cs="Calibri" w:eastAsia="Calibri" w:hAnsi="Calibri"/>
          <w:color w:val="47525F"/>
          <w:sz w:val="21"/>
          <w:szCs w:val="21"/>
        </w:rPr>
        <w:t xml:space="preserve">SwiftNova expose-t-il une API REST ? Documentation disponible ? Méthode d'authentification (clé, OAuth) ?</w:t>
      </w:r>
    </w:p>
    <w:p>
      <w:pPr>
        <w:pStyle w:val="ListParagraph"/>
        <w:numPr>
          <w:ilvl w:val="0"/>
          <w:numId w:val="2"/>
        </w:numPr>
        <w:spacing w:after="80" w:line="258"/>
      </w:pPr>
      <w:r>
        <w:rPr>
          <w:rFonts w:ascii="Calibri" w:cs="Calibri" w:eastAsia="Calibri" w:hAnsi="Calibri"/>
          <w:color w:val="47525F"/>
          <w:sz w:val="21"/>
          <w:szCs w:val="21"/>
        </w:rPr>
        <w:t xml:space="preserve">Quels objets sont accessibles en écriture : contacts, champs, segments, enrôlement en campagne ?</w:t>
      </w:r>
    </w:p>
    <w:p>
      <w:pPr>
        <w:pStyle w:val="ListParagraph"/>
        <w:numPr>
          <w:ilvl w:val="0"/>
          <w:numId w:val="2"/>
        </w:numPr>
        <w:spacing w:after="80" w:line="258"/>
      </w:pPr>
      <w:r>
        <w:rPr>
          <w:rFonts w:ascii="Calibri" w:cs="Calibri" w:eastAsia="Calibri" w:hAnsi="Calibri"/>
          <w:color w:val="47525F"/>
          <w:sz w:val="21"/>
          <w:szCs w:val="21"/>
        </w:rPr>
        <w:t xml:space="preserve">Quotas / limites de débit ? Pagination ? Mécanisme d'idempotence ?</w:t>
      </w:r>
    </w:p>
    <w:p>
      <w:pPr>
        <w:pStyle w:val="ListParagraph"/>
        <w:numPr>
          <w:ilvl w:val="0"/>
          <w:numId w:val="2"/>
        </w:numPr>
        <w:spacing w:after="80" w:line="258"/>
      </w:pPr>
      <w:r>
        <w:rPr>
          <w:rFonts w:ascii="Calibri" w:cs="Calibri" w:eastAsia="Calibri" w:hAnsi="Calibri"/>
          <w:color w:val="47525F"/>
          <w:sz w:val="21"/>
          <w:szCs w:val="21"/>
        </w:rPr>
        <w:t xml:space="preserve">À défaut d'API : import/export par fichier (CSV/SFTP) ou accès base sanctionné par l'éditeur ?</w:t>
      </w:r>
    </w:p>
    <w:p>
      <w:pPr>
        <w:spacing w:after="60" w:before="140"/>
      </w:pPr>
      <w:r>
        <w:rPr>
          <w:rFonts w:ascii="Cambria" w:cs="Cambria" w:eastAsia="Cambria" w:hAnsi="Cambria"/>
          <w:b/>
          <w:bCs/>
          <w:color w:val="2A2F36"/>
          <w:sz w:val="22"/>
          <w:szCs w:val="22"/>
        </w:rPr>
        <w:t xml:space="preserve">Canaux &amp; envoi</w:t>
      </w:r>
    </w:p>
    <w:p>
      <w:pPr>
        <w:pStyle w:val="ListParagraph"/>
        <w:numPr>
          <w:ilvl w:val="0"/>
          <w:numId w:val="2"/>
        </w:numPr>
        <w:spacing w:after="80" w:line="258"/>
      </w:pPr>
      <w:r>
        <w:rPr>
          <w:rFonts w:ascii="Calibri" w:cs="Calibri" w:eastAsia="Calibri" w:hAnsi="Calibri"/>
          <w:color w:val="47525F"/>
          <w:sz w:val="21"/>
          <w:szCs w:val="21"/>
        </w:rPr>
        <w:t xml:space="preserve">Quels canaux sont supportés et sous quels noms (Push, SMS, Email, WhatsApp…) ?</w:t>
      </w:r>
    </w:p>
    <w:p>
      <w:pPr>
        <w:pStyle w:val="ListParagraph"/>
        <w:numPr>
          <w:ilvl w:val="0"/>
          <w:numId w:val="2"/>
        </w:numPr>
        <w:spacing w:after="80" w:line="258"/>
      </w:pPr>
      <w:r>
        <w:rPr>
          <w:rFonts w:ascii="Calibri" w:cs="Calibri" w:eastAsia="Calibri" w:hAnsi="Calibri"/>
          <w:color w:val="47525F"/>
          <w:sz w:val="21"/>
          <w:szCs w:val="21"/>
        </w:rPr>
        <w:t xml:space="preserve">SwiftNova réalise-t-il sa propre optimisation d'horaire d'envoi, ou accepte-t-il un horaire imposé ?</w:t>
      </w:r>
    </w:p>
    <w:p>
      <w:pPr>
        <w:pStyle w:val="ListParagraph"/>
        <w:numPr>
          <w:ilvl w:val="0"/>
          <w:numId w:val="2"/>
        </w:numPr>
        <w:spacing w:after="80" w:line="258"/>
      </w:pPr>
      <w:r>
        <w:rPr>
          <w:rFonts w:ascii="Calibri" w:cs="Calibri" w:eastAsia="Calibri" w:hAnsi="Calibri"/>
          <w:color w:val="47525F"/>
          <w:sz w:val="21"/>
          <w:szCs w:val="21"/>
        </w:rPr>
        <w:t xml:space="preserve">Peut-on créer une tâche / action « agence » (équivalent AGENCY_CALL), ou faut-il passer par le CRM ?</w:t>
      </w:r>
    </w:p>
    <w:p>
      <w:pPr>
        <w:spacing w:after="60" w:before="140"/>
      </w:pPr>
      <w:r>
        <w:rPr>
          <w:rFonts w:ascii="Cambria" w:cs="Cambria" w:eastAsia="Cambria" w:hAnsi="Cambria"/>
          <w:b/>
          <w:bCs/>
          <w:color w:val="2A2F36"/>
          <w:sz w:val="22"/>
          <w:szCs w:val="22"/>
        </w:rPr>
        <w:t xml:space="preserve">Consentement &amp; conformité</w:t>
      </w:r>
    </w:p>
    <w:p>
      <w:pPr>
        <w:pStyle w:val="ListParagraph"/>
        <w:numPr>
          <w:ilvl w:val="0"/>
          <w:numId w:val="2"/>
        </w:numPr>
        <w:spacing w:after="80" w:line="258"/>
      </w:pPr>
      <w:r>
        <w:rPr>
          <w:rFonts w:ascii="Calibri" w:cs="Calibri" w:eastAsia="Calibri" w:hAnsi="Calibri"/>
          <w:color w:val="47525F"/>
          <w:sz w:val="21"/>
          <w:szCs w:val="21"/>
        </w:rPr>
        <w:t xml:space="preserve">Où et comment est stocké le consentement / l'opt-out (par canal) ? Est-il exposé à la lecture ?</w:t>
      </w:r>
    </w:p>
    <w:p>
      <w:pPr>
        <w:pStyle w:val="ListParagraph"/>
        <w:numPr>
          <w:ilvl w:val="0"/>
          <w:numId w:val="2"/>
        </w:numPr>
        <w:spacing w:after="80" w:line="258"/>
      </w:pPr>
      <w:r>
        <w:rPr>
          <w:rFonts w:ascii="Calibri" w:cs="Calibri" w:eastAsia="Calibri" w:hAnsi="Calibri"/>
          <w:color w:val="47525F"/>
          <w:sz w:val="21"/>
          <w:szCs w:val="21"/>
        </w:rPr>
        <w:t xml:space="preserve">SwiftNova trace-t-il la date du dernier contact par personne (pour la règle anti-pression) ?</w:t>
      </w:r>
    </w:p>
    <w:p>
      <w:pPr>
        <w:spacing w:after="60" w:before="140"/>
      </w:pPr>
      <w:r>
        <w:rPr>
          <w:rFonts w:ascii="Cambria" w:cs="Cambria" w:eastAsia="Cambria" w:hAnsi="Cambria"/>
          <w:b/>
          <w:bCs/>
          <w:color w:val="2A2F36"/>
          <w:sz w:val="22"/>
          <w:szCs w:val="22"/>
        </w:rPr>
        <w:t xml:space="preserve">Résultats &amp; événements</w:t>
      </w:r>
    </w:p>
    <w:p>
      <w:pPr>
        <w:pStyle w:val="ListParagraph"/>
        <w:numPr>
          <w:ilvl w:val="0"/>
          <w:numId w:val="2"/>
        </w:numPr>
        <w:spacing w:after="80" w:line="258"/>
      </w:pPr>
      <w:r>
        <w:rPr>
          <w:rFonts w:ascii="Calibri" w:cs="Calibri" w:eastAsia="Calibri" w:hAnsi="Calibri"/>
          <w:color w:val="47525F"/>
          <w:sz w:val="21"/>
          <w:szCs w:val="21"/>
        </w:rPr>
        <w:t xml:space="preserve">Les événements de campagne (envoyé, ouvert, cliqué, converti, désabonné) sont-ils exposés (webhooks / API / export) ?</w:t>
      </w:r>
    </w:p>
    <w:p>
      <w:pPr>
        <w:pStyle w:val="ListParagraph"/>
        <w:numPr>
          <w:ilvl w:val="0"/>
          <w:numId w:val="2"/>
        </w:numPr>
        <w:spacing w:after="80" w:line="258"/>
      </w:pPr>
      <w:r>
        <w:rPr>
          <w:rFonts w:ascii="Calibri" w:cs="Calibri" w:eastAsia="Calibri" w:hAnsi="Calibri"/>
          <w:color w:val="47525F"/>
          <w:sz w:val="21"/>
          <w:szCs w:val="21"/>
        </w:rPr>
        <w:t xml:space="preserve">Quelle latence de disponibilité de ces événements (temps réel, horaire, quotidien) ?</w:t>
      </w:r>
    </w:p>
    <w:p>
      <w:pPr>
        <w:spacing w:after="60" w:before="140"/>
      </w:pPr>
      <w:r>
        <w:rPr>
          <w:rFonts w:ascii="Cambria" w:cs="Cambria" w:eastAsia="Cambria" w:hAnsi="Cambria"/>
          <w:b/>
          <w:bCs/>
          <w:color w:val="2A2F36"/>
          <w:sz w:val="22"/>
          <w:szCs w:val="22"/>
        </w:rPr>
        <w:t xml:space="preserve">Hébergement &amp; sécurité</w:t>
      </w:r>
    </w:p>
    <w:p>
      <w:pPr>
        <w:pStyle w:val="ListParagraph"/>
        <w:numPr>
          <w:ilvl w:val="0"/>
          <w:numId w:val="2"/>
        </w:numPr>
        <w:spacing w:after="80" w:line="258"/>
      </w:pPr>
      <w:r>
        <w:rPr>
          <w:rFonts w:ascii="Calibri" w:cs="Calibri" w:eastAsia="Calibri" w:hAnsi="Calibri"/>
          <w:color w:val="47525F"/>
          <w:sz w:val="21"/>
          <w:szCs w:val="21"/>
        </w:rPr>
        <w:t xml:space="preserve">L'instance est-elle déployée dans le SI de la banque (et non le tenant cloud partagé) ? Où résident les données ?</w:t>
      </w:r>
    </w:p>
    <w:p>
      <w:pPr>
        <w:pStyle w:val="ListParagraph"/>
        <w:numPr>
          <w:ilvl w:val="0"/>
          <w:numId w:val="2"/>
        </w:numPr>
        <w:spacing w:after="80" w:line="258"/>
      </w:pPr>
      <w:r>
        <w:rPr>
          <w:rFonts w:ascii="Calibri" w:cs="Calibri" w:eastAsia="Calibri" w:hAnsi="Calibri"/>
          <w:color w:val="47525F"/>
          <w:sz w:val="21"/>
          <w:szCs w:val="21"/>
        </w:rPr>
        <w:t xml:space="preserve">Modèle de tenancy, chiffrement, journaux d'audit, sauvegardes ?</w:t>
      </w:r>
    </w:p>
    <w:p>
      <w:pPr>
        <w:spacing w:after="40" w:before="220"/>
      </w:pPr>
      <w:r>
        <w:rPr>
          <w:rFonts w:ascii="Calibri" w:cs="Calibri" w:eastAsia="Calibri" w:hAnsi="Calibri"/>
          <w:b/>
          <w:bCs/>
          <w:color w:val="BD9B3C"/>
          <w:spacing w:val="30"/>
          <w:sz w:val="17"/>
          <w:szCs w:val="17"/>
        </w:rPr>
        <w:t xml:space="preserve">7 · PROCHAINES ÉTAPES</w:t>
      </w:r>
    </w:p>
    <w:p>
      <w:pPr>
        <w:spacing w:after="120" w:before="60"/>
      </w:pPr>
      <w:r>
        <w:rPr>
          <w:rFonts w:ascii="Cambria" w:cs="Cambria" w:eastAsia="Cambria" w:hAnsi="Cambria"/>
          <w:b/>
          <w:bCs/>
          <w:color w:val="003B71"/>
          <w:sz w:val="27"/>
          <w:szCs w:val="27"/>
        </w:rPr>
        <w:t xml:space="preserve">Trois pas pour verrouiller l'intégration</w:t>
      </w:r>
    </w:p>
    <w:p>
      <w:pPr>
        <w:spacing w:after="120" w:line="264"/>
        <w:jc w:val="both"/>
      </w:pPr>
      <w:r>
        <w:rPr>
          <w:rFonts w:ascii="Calibri" w:cs="Calibri" w:eastAsia="Calibri" w:hAnsi="Calibri"/>
          <w:b/>
          <w:bCs/>
          <w:color w:val="003B71"/>
          <w:sz w:val="21"/>
          <w:szCs w:val="21"/>
        </w:rPr>
        <w:t xml:space="preserve">1. </w:t>
      </w:r>
      <w:r>
        <w:rPr>
          <w:rFonts w:ascii="Calibri" w:cs="Calibri" w:eastAsia="Calibri" w:hAnsi="Calibri"/>
          <w:color w:val="47525F"/>
          <w:sz w:val="21"/>
          <w:szCs w:val="21"/>
        </w:rPr>
        <w:t xml:space="preserve">Adresser la check-list ci-dessus à l'éditeur SwiftNova et confirmer le mode d'intégration + l'hébergement interne.</w:t>
      </w:r>
    </w:p>
    <w:p>
      <w:pPr>
        <w:spacing w:after="120" w:line="264"/>
        <w:jc w:val="both"/>
      </w:pPr>
      <w:r>
        <w:rPr>
          <w:rFonts w:ascii="Calibri" w:cs="Calibri" w:eastAsia="Calibri" w:hAnsi="Calibri"/>
          <w:b/>
          <w:bCs/>
          <w:color w:val="003B71"/>
          <w:sz w:val="21"/>
          <w:szCs w:val="21"/>
        </w:rPr>
        <w:t xml:space="preserve">2. </w:t>
      </w:r>
      <w:r>
        <w:rPr>
          <w:rFonts w:ascii="Calibri" w:cs="Calibri" w:eastAsia="Calibri" w:hAnsi="Calibri"/>
          <w:color w:val="47525F"/>
          <w:sz w:val="21"/>
          <w:szCs w:val="21"/>
        </w:rPr>
        <w:t xml:space="preserve">Lancer les prérequis P0 en parallèle (clé d'identité, tables de correspondance, source risque, flux de consentement) — ils ne dépendent pas du mode.</w:t>
      </w:r>
    </w:p>
    <w:p>
      <w:pPr>
        <w:spacing w:after="120" w:line="264"/>
        <w:jc w:val="both"/>
      </w:pPr>
      <w:r>
        <w:rPr>
          <w:rFonts w:ascii="Calibri" w:cs="Calibri" w:eastAsia="Calibri" w:hAnsi="Calibri"/>
          <w:b/>
          <w:bCs/>
          <w:color w:val="003B71"/>
          <w:sz w:val="21"/>
          <w:szCs w:val="21"/>
        </w:rPr>
        <w:t xml:space="preserve">3. </w:t>
      </w:r>
      <w:r>
        <w:rPr>
          <w:rFonts w:ascii="Calibri" w:cs="Calibri" w:eastAsia="Calibri" w:hAnsi="Calibri"/>
          <w:color w:val="47525F"/>
          <w:sz w:val="21"/>
          <w:szCs w:val="21"/>
        </w:rPr>
        <w:t xml:space="preserve">À réception des réponses, spécifier puis développer le connecteur de livraison (P1) et le brancher dans le batch nocturne, avant un pilote mesurable.</w:t>
      </w:r>
    </w:p>
    <w:sectPr>
      <w:headerReference w:type="default" r:id="rId7"/>
      <w:footerReference w:type="default" r:id="rId8"/>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center"/>
    </w:pPr>
    <w:r>
      <w:rPr>
        <w:rFonts w:ascii="Calibri" w:cs="Calibri" w:eastAsia="Calibri" w:hAnsi="Calibri"/>
        <w:color w:val="8A95A2"/>
        <w:sz w:val="15"/>
        <w:szCs w:val="15"/>
      </w:rPr>
      <w:t xml:space="preserve">STRATAWISE AFRICA · Note d'intégration Agent IA ↔ SwiftNova · Confidentiel · </w:t>
    </w:r>
    <w:r>
      <w:rPr>
        <w:rFonts w:ascii="Calibri" w:cs="Calibri" w:eastAsia="Calibri" w:hAnsi="Calibri"/>
        <w:color w:val="8A95A2"/>
        <w:sz w:val="15"/>
        <w:szCs w:val="15"/>
      </w:rPr>
      <w:t xml:space="preserve">p.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2573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b/>
        <w:bCs/>
        <w:color w:val="BD9B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25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a652a1e80af0c9bcf1562d9410f23c74a45ead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d'intégration — Agent IA ↔ SwiftNova</dc:title>
  <dc:creator>STRATAWISE AFRICA</dc:creator>
  <cp:lastModifiedBy>Un-named</cp:lastModifiedBy>
  <cp:revision>1</cp:revision>
  <dcterms:created xsi:type="dcterms:W3CDTF">2026-07-28T23:46:48.173Z</dcterms:created>
  <dcterms:modified xsi:type="dcterms:W3CDTF">2026-07-28T23:46:48.174Z</dcterms:modified>
</cp:coreProperties>
</file>

<file path=docProps/custom.xml><?xml version="1.0" encoding="utf-8"?>
<Properties xmlns="http://schemas.openxmlformats.org/officeDocument/2006/custom-properties" xmlns:vt="http://schemas.openxmlformats.org/officeDocument/2006/docPropsVTypes"/>
</file>