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BD9B3C"/>
          <w:spacing w:val="40"/>
          <w:sz w:val="18"/>
          <w:szCs w:val="18"/>
        </w:rPr>
        <w:t xml:space="preserve">SPÉCIFICATION TECHNIQUE</w:t>
      </w:r>
    </w:p>
    <w:p>
      <w:pPr>
        <w:spacing w:after="40"/>
      </w:pPr>
      <w:r>
        <w:rPr>
          <w:rFonts w:ascii="Cambria" w:cs="Cambria" w:eastAsia="Cambria" w:hAnsi="Cambria"/>
          <w:b/>
          <w:bCs/>
          <w:color w:val="003B71"/>
          <w:sz w:val="32"/>
          <w:szCs w:val="32"/>
        </w:rPr>
        <w:t xml:space="preserve">Connecteur d'intégration Agent IA ↔ SwiftNova</w:t>
      </w:r>
    </w:p>
    <w:p>
      <w:pPr>
        <w:spacing w:after="20"/>
      </w:pPr>
      <w:r>
        <w:rPr>
          <w:rFonts w:ascii="Cambria" w:cs="Cambria" w:eastAsia="Cambria" w:hAnsi="Cambria"/>
          <w:b/>
          <w:bCs/>
          <w:color w:val="2A2F36"/>
          <w:sz w:val="22"/>
          <w:szCs w:val="22"/>
        </w:rPr>
        <w:t xml:space="preserve">Modèle « write-back data lake » — batch nocturne</w:t>
      </w:r>
    </w:p>
    <w:p>
      <w:pPr>
        <w:pBdr>
          <w:bottom w:val="single" w:color="BD9B3C" w:sz="8"/>
        </w:pBdr>
        <w:spacing w:after="60"/>
      </w:pPr>
    </w:p>
    <w:p>
      <w:pPr>
        <w:spacing w:after="180"/>
      </w:pPr>
      <w:r>
        <w:rPr>
          <w:rFonts w:ascii="Calibri" w:cs="Calibri" w:eastAsia="Calibri" w:hAnsi="Calibri"/>
          <w:i/>
          <w:iCs/>
          <w:color w:val="8A95A2"/>
          <w:sz w:val="17"/>
          <w:szCs w:val="17"/>
        </w:rPr>
        <w:t xml:space="preserve">Destinataires : DSI, Data &amp; éditeur SwiftNova · Version 1 · Document interne — confidentiel · Les scripts SQL sont des gabarits de référence, à adapter aux conventions retenues.</w:t>
      </w:r>
    </w:p>
    <w:p>
      <w:pPr>
        <w:spacing w:after="40" w:before="220"/>
      </w:pPr>
      <w:r>
        <w:rPr>
          <w:rFonts w:ascii="Calibri" w:cs="Calibri" w:eastAsia="Calibri" w:hAnsi="Calibri"/>
          <w:b/>
          <w:bCs/>
          <w:color w:val="BD9B3C"/>
          <w:spacing w:val="30"/>
          <w:sz w:val="17"/>
          <w:szCs w:val="17"/>
        </w:rPr>
        <w:t xml:space="preserve">1 · OBJET &amp; PÉRIMÈTRE</w:t>
      </w:r>
    </w:p>
    <w:p>
      <w:pPr>
        <w:spacing w:after="110" w:line="262"/>
        <w:jc w:val="both"/>
      </w:pPr>
      <w:r>
        <w:rPr>
          <w:rFonts w:ascii="Calibri" w:cs="Calibri" w:eastAsia="Calibri" w:hAnsi="Calibri"/>
          <w:color w:val="47525F"/>
          <w:sz w:val="21"/>
          <w:szCs w:val="21"/>
        </w:rPr>
        <w:t xml:space="preserve">Cette spécification décrit le connecteur qui relie l'agent IA à SwiftNova selon le modèle retenu : l'agent enrichit le data lake de colonnes et de flags prédictifs (batch nocturne), que SwiftNova consomme comme critères de cible et conditions de parcours ; en retour, l'agent relit les résultats de campagne pour son apprentissage. Le périmètre couvre le schéma de restitution, le chargement, les requêtes de consommation, le lecteur de résultats, la réconciliation d'identité, le paramétrage et la recette. Le mode temps réel (appel API à un nœud de parcours) est hors périmètre v1 (phase 2). Déploiement 100 % on-premise.</w:t>
      </w:r>
    </w:p>
    <w:p>
      <w:pPr>
        <w:spacing w:after="40" w:before="220"/>
      </w:pPr>
      <w:r>
        <w:rPr>
          <w:rFonts w:ascii="Calibri" w:cs="Calibri" w:eastAsia="Calibri" w:hAnsi="Calibri"/>
          <w:b/>
          <w:bCs/>
          <w:color w:val="BD9B3C"/>
          <w:spacing w:val="30"/>
          <w:sz w:val="17"/>
          <w:szCs w:val="17"/>
        </w:rPr>
        <w:t xml:space="preserve">2 · SCHÉMA DE RESTITUTION</w:t>
      </w:r>
    </w:p>
    <w:p>
      <w:pPr>
        <w:spacing w:after="110" w:before="60"/>
      </w:pPr>
      <w:r>
        <w:rPr>
          <w:rFonts w:ascii="Cambria" w:cs="Cambria" w:eastAsia="Cambria" w:hAnsi="Cambria"/>
          <w:b/>
          <w:bCs/>
          <w:color w:val="003B71"/>
          <w:sz w:val="26"/>
          <w:szCs w:val="26"/>
        </w:rPr>
        <w:t xml:space="preserve">Table data_lake.client_ai_scores — une ligne par client</w:t>
      </w:r>
    </w:p>
    <w:tbl>
      <w:tblPr>
        <w:tblW w:type="dxa" w:w="9700"/>
        <w:tblBorders>
          <w:top w:val="single" w:color="E2E8F0" w:sz="4"/>
          <w:left w:val="single" w:color="BD9B3C" w:sz="12"/>
          <w:bottom w:val="single" w:color="E2E8F0" w:sz="4"/>
          <w:right w:val="single" w:color="E2E8F0" w:sz="4"/>
          <w:insideH w:val="none"/>
          <w:insideV w:val="none"/>
        </w:tblBorders>
      </w:tblPr>
      <w:tblGrid>
        <w:gridCol w:w="9700"/>
      </w:tblGrid>
      <w:tr>
        <w:tc>
          <w:tcPr>
            <w:tcW w:type="dxa" w:w="9700"/>
            <w:shd w:fill="F2F5F9" w:color="auto" w:val="clear"/>
            <w:tcMar>
              <w:top w:type="dxa" w:w="100"/>
              <w:left w:type="dxa" w:w="160"/>
              <w:bottom w:type="dxa" w:w="100"/>
              <w:right w:type="dxa" w:w="140"/>
            </w:tcMar>
          </w:tcPr>
          <w:p>
            <w:pPr>
              <w:spacing w:after="20" w:line="234"/>
            </w:pPr>
            <w:r>
              <w:rPr>
                <w:rFonts w:ascii="Consolas" w:cs="Consolas" w:eastAsia="Consolas" w:hAnsi="Consolas"/>
                <w:color w:val="2A2F36"/>
                <w:sz w:val="17"/>
                <w:szCs w:val="17"/>
              </w:rPr>
              <w:t xml:space="preserve">CREATE TABLE data_lake.client_ai_scores (</w:t>
            </w:r>
          </w:p>
          <w:p>
            <w:pPr>
              <w:spacing w:after="20" w:line="234"/>
            </w:pPr>
            <w:r>
              <w:rPr>
                <w:rFonts w:ascii="Consolas" w:cs="Consolas" w:eastAsia="Consolas" w:hAnsi="Consolas"/>
                <w:color w:val="2A2F36"/>
                <w:sz w:val="17"/>
                <w:szCs w:val="17"/>
              </w:rPr>
              <w:t xml:space="preserve">    client_id             VARCHAR(50)  PRIMARY KEY,   -- identifiant client bancaire</w:t>
            </w:r>
          </w:p>
          <w:p>
            <w:pPr>
              <w:spacing w:after="20" w:line="234"/>
            </w:pPr>
            <w:r>
              <w:rPr>
                <w:rFonts w:ascii="Consolas" w:cs="Consolas" w:eastAsia="Consolas" w:hAnsi="Consolas"/>
                <w:color w:val="2A2F36"/>
                <w:sz w:val="17"/>
                <w:szCs w:val="17"/>
              </w:rPr>
              <w:t xml:space="preserve">    swiftnova_contact_id  VARCHAR(64),                -- résolu via id_map</w:t>
            </w:r>
          </w:p>
          <w:p>
            <w:pPr>
              <w:spacing w:after="20" w:line="234"/>
            </w:pPr>
            <w:r>
              <w:rPr>
                <w:rFonts w:ascii="Consolas" w:cs="Consolas" w:eastAsia="Consolas" w:hAnsi="Consolas"/>
                <w:color w:val="2A2F36"/>
                <w:sz w:val="17"/>
                <w:szCs w:val="17"/>
              </w:rPr>
              <w:t xml:space="preserve">    ai_nba                VARCHAR(40),                -- next best action (meilleur produit)</w:t>
            </w:r>
          </w:p>
          <w:p>
            <w:pPr>
              <w:spacing w:after="20" w:line="234"/>
            </w:pPr>
            <w:r>
              <w:rPr>
                <w:rFonts w:ascii="Consolas" w:cs="Consolas" w:eastAsia="Consolas" w:hAnsi="Consolas"/>
                <w:color w:val="2A2F36"/>
                <w:sz w:val="17"/>
                <w:szCs w:val="17"/>
              </w:rPr>
              <w:t xml:space="preserve">    ai_nba_score          NUMERIC(5,4),               -- propension de la NBA (0-1)</w:t>
            </w:r>
          </w:p>
          <w:p>
            <w:pPr>
              <w:spacing w:after="20" w:line="234"/>
            </w:pPr>
            <w:r>
              <w:rPr>
                <w:rFonts w:ascii="Consolas" w:cs="Consolas" w:eastAsia="Consolas" w:hAnsi="Consolas"/>
                <w:color w:val="2A2F36"/>
                <w:sz w:val="17"/>
                <w:szCs w:val="17"/>
              </w:rPr>
              <w:t xml:space="preserve">    ai_prop_credit_conso  NUMERIC(5,4),               -- propension par produit (ciblage)</w:t>
            </w:r>
          </w:p>
          <w:p>
            <w:pPr>
              <w:spacing w:after="20" w:line="234"/>
            </w:pPr>
            <w:r>
              <w:rPr>
                <w:rFonts w:ascii="Consolas" w:cs="Consolas" w:eastAsia="Consolas" w:hAnsi="Consolas"/>
                <w:color w:val="2A2F36"/>
                <w:sz w:val="17"/>
                <w:szCs w:val="17"/>
              </w:rPr>
              <w:t xml:space="preserve">    ai_prop_carte_gold    NUMERIC(5,4),</w:t>
            </w:r>
          </w:p>
          <w:p>
            <w:pPr>
              <w:spacing w:after="20" w:line="234"/>
            </w:pPr>
            <w:r>
              <w:rPr>
                <w:rFonts w:ascii="Consolas" w:cs="Consolas" w:eastAsia="Consolas" w:hAnsi="Consolas"/>
                <w:color w:val="2A2F36"/>
                <w:sz w:val="17"/>
                <w:szCs w:val="17"/>
              </w:rPr>
              <w:t xml:space="preserve">    ai_prop_epargne       NUMERIC(5,4),</w:t>
            </w:r>
          </w:p>
          <w:p>
            <w:pPr>
              <w:spacing w:after="20" w:line="234"/>
            </w:pPr>
            <w:r>
              <w:rPr>
                <w:rFonts w:ascii="Consolas" w:cs="Consolas" w:eastAsia="Consolas" w:hAnsi="Consolas"/>
                <w:color w:val="2A2F36"/>
                <w:sz w:val="17"/>
                <w:szCs w:val="17"/>
              </w:rPr>
              <w:t xml:space="preserve">    ai_prop_assurance     NUMERIC(5,4),</w:t>
            </w:r>
          </w:p>
          <w:p>
            <w:pPr>
              <w:spacing w:after="20" w:line="234"/>
            </w:pPr>
            <w:r>
              <w:rPr>
                <w:rFonts w:ascii="Consolas" w:cs="Consolas" w:eastAsia="Consolas" w:hAnsi="Consolas"/>
                <w:color w:val="2A2F36"/>
                <w:sz w:val="17"/>
                <w:szCs w:val="17"/>
              </w:rPr>
              <w:t xml:space="preserve">    ai_channel            VARCHAR(20),                -- PUSH_APP/SMS/EMAIL/AGENCY_CALL</w:t>
            </w:r>
          </w:p>
          <w:p>
            <w:pPr>
              <w:spacing w:after="20" w:line="234"/>
            </w:pPr>
            <w:r>
              <w:rPr>
                <w:rFonts w:ascii="Consolas" w:cs="Consolas" w:eastAsia="Consolas" w:hAnsi="Consolas"/>
                <w:color w:val="2A2F36"/>
                <w:sz w:val="17"/>
                <w:szCs w:val="17"/>
              </w:rPr>
              <w:t xml:space="preserve">    ai_time_slot          VARCHAR(20),  ai_day  VARCHAR(10),</w:t>
            </w:r>
          </w:p>
          <w:p>
            <w:pPr>
              <w:spacing w:after="20" w:line="234"/>
            </w:pPr>
            <w:r>
              <w:rPr>
                <w:rFonts w:ascii="Consolas" w:cs="Consolas" w:eastAsia="Consolas" w:hAnsi="Consolas"/>
                <w:color w:val="2A2F36"/>
                <w:sz w:val="17"/>
                <w:szCs w:val="17"/>
              </w:rPr>
              <w:t xml:space="preserve">    ai_eligible           BOOLEAN NOT NULL DEFAULT FALSE,</w:t>
            </w:r>
          </w:p>
          <w:p>
            <w:pPr>
              <w:spacing w:after="20" w:line="234"/>
            </w:pPr>
            <w:r>
              <w:rPr>
                <w:rFonts w:ascii="Consolas" w:cs="Consolas" w:eastAsia="Consolas" w:hAnsi="Consolas"/>
                <w:color w:val="2A2F36"/>
                <w:sz w:val="17"/>
                <w:szCs w:val="17"/>
              </w:rPr>
              <w:t xml:space="preserve">    ai_exclusion_reason   VARCHAR(50),                -- NO_CNDP_CONSENT / OVERINDEBTEDNESS_RISK / ...</w:t>
            </w:r>
          </w:p>
          <w:p>
            <w:pPr>
              <w:spacing w:after="20" w:line="234"/>
            </w:pPr>
            <w:r>
              <w:rPr>
                <w:rFonts w:ascii="Consolas" w:cs="Consolas" w:eastAsia="Consolas" w:hAnsi="Consolas"/>
                <w:color w:val="2A2F36"/>
                <w:sz w:val="17"/>
                <w:szCs w:val="17"/>
              </w:rPr>
              <w:t xml:space="preserve">    ai_churn_risk         NUMERIC(5,4),</w:t>
            </w:r>
          </w:p>
          <w:p>
            <w:pPr>
              <w:spacing w:after="20" w:line="234"/>
            </w:pPr>
            <w:r>
              <w:rPr>
                <w:rFonts w:ascii="Consolas" w:cs="Consolas" w:eastAsia="Consolas" w:hAnsi="Consolas"/>
                <w:color w:val="2A2F36"/>
                <w:sz w:val="17"/>
                <w:szCs w:val="17"/>
              </w:rPr>
              <w:t xml:space="preserve">    ai_model_version      VARCHAR(20),</w:t>
            </w:r>
          </w:p>
          <w:p>
            <w:pPr>
              <w:spacing w:after="20" w:line="234"/>
            </w:pPr>
            <w:r>
              <w:rPr>
                <w:rFonts w:ascii="Consolas" w:cs="Consolas" w:eastAsia="Consolas" w:hAnsi="Consolas"/>
                <w:color w:val="2A2F36"/>
                <w:sz w:val="17"/>
                <w:szCs w:val="17"/>
              </w:rPr>
              <w:t xml:space="preserve">    ai_computed_at        TIMESTAMP DEFAULT CURRENT_TIMESTAMP</w:t>
            </w:r>
          </w:p>
          <w:p>
            <w:pPr>
              <w:spacing w:after="20" w:line="234"/>
            </w:pPr>
            <w:r>
              <w:rPr>
                <w:rFonts w:ascii="Consolas" w:cs="Consolas" w:eastAsia="Consolas" w:hAnsi="Consolas"/>
                <w:color w:val="2A2F36"/>
                <w:sz w:val="17"/>
                <w:szCs w:val="17"/>
              </w:rPr>
              <w:t xml:space="preserve">);</w:t>
            </w:r>
          </w:p>
          <w:p>
            <w:pPr>
              <w:spacing w:after="20" w:line="234"/>
            </w:pPr>
            <w:r>
              <w:rPr>
                <w:rFonts w:ascii="Consolas" w:cs="Consolas" w:eastAsia="Consolas" w:hAnsi="Consolas"/>
                <w:color w:val="2A2F36"/>
                <w:sz w:val="17"/>
                <w:szCs w:val="17"/>
              </w:rPr>
              <w:t xml:space="preserve">CREATE INDEX idx_ai_target  ON data_lake.client_ai_scores (ai_eligible, ai_nba);</w:t>
            </w:r>
          </w:p>
          <w:p>
            <w:pPr>
              <w:spacing w:after="0" w:line="234"/>
            </w:pPr>
            <w:r>
              <w:rPr>
                <w:rFonts w:ascii="Consolas" w:cs="Consolas" w:eastAsia="Consolas" w:hAnsi="Consolas"/>
                <w:color w:val="2A2F36"/>
                <w:sz w:val="17"/>
                <w:szCs w:val="17"/>
              </w:rPr>
              <w:t xml:space="preserve">CREATE INDEX idx_ai_channel ON data_lake.client_ai_scores (ai_channel);</w:t>
            </w:r>
          </w:p>
        </w:tc>
      </w:tr>
    </w:tbl>
    <w:p>
      <w:pPr>
        <w:spacing w:after="120" w:before="40"/>
      </w:pPr>
      <w:r>
        <w:rPr>
          <w:rFonts w:ascii="Calibri" w:cs="Calibri" w:eastAsia="Calibri" w:hAnsi="Calibri"/>
          <w:i/>
          <w:iCs/>
          <w:color w:val="8A95A2"/>
          <w:sz w:val="16"/>
          <w:szCs w:val="16"/>
        </w:rPr>
        <w:t xml:space="preserve">Une colonne de propension par produit candidat permet le ciblage produit ; ai_nba porte la meilleure action. Ajouter une colonne par nouveau produit.</w:t>
      </w:r>
    </w:p>
    <w:p>
      <w:pPr>
        <w:spacing w:after="50" w:before="130"/>
      </w:pPr>
      <w:r>
        <w:rPr>
          <w:rFonts w:ascii="Cambria" w:cs="Cambria" w:eastAsia="Cambria" w:hAnsi="Cambria"/>
          <w:b/>
          <w:bCs/>
          <w:color w:val="2A2F36"/>
          <w:sz w:val="21"/>
          <w:szCs w:val="21"/>
        </w:rPr>
        <w:t xml:space="preserve">Convention de nommage</w:t>
      </w:r>
    </w:p>
    <w:p>
      <w:pPr>
        <w:spacing w:after="110" w:line="262"/>
        <w:jc w:val="both"/>
      </w:pPr>
      <w:r>
        <w:rPr>
          <w:rFonts w:ascii="Calibri" w:cs="Calibri" w:eastAsia="Calibri" w:hAnsi="Calibri"/>
          <w:color w:val="47525F"/>
          <w:sz w:val="21"/>
          <w:szCs w:val="21"/>
        </w:rPr>
        <w:t xml:space="preserve">Toutes les colonnes produites par l'agent portent le préfixe </w:t>
      </w:r>
      <w:r>
        <w:rPr>
          <w:rFonts w:ascii="Consolas" w:cs="Consolas" w:eastAsia="Consolas" w:hAnsi="Consolas"/>
          <w:b/>
          <w:bCs/>
          <w:color w:val="003B71"/>
          <w:sz w:val="21"/>
          <w:szCs w:val="21"/>
        </w:rPr>
        <w:t xml:space="preserve">ai_</w:t>
      </w:r>
      <w:r>
        <w:rPr>
          <w:rFonts w:ascii="Calibri" w:cs="Calibri" w:eastAsia="Calibri" w:hAnsi="Calibri"/>
          <w:color w:val="47525F"/>
          <w:sz w:val="21"/>
          <w:szCs w:val="21"/>
        </w:rPr>
        <w:t xml:space="preserve"> : elles apparaissent groupées et identifiables dans le sélecteur « Colonne » de SwiftNova. Le préfixe est paramétrable (AI_COLUMN_PREFIX).</w:t>
      </w:r>
    </w:p>
    <w:p>
      <w:pPr>
        <w:spacing w:after="40" w:before="220"/>
      </w:pPr>
      <w:r>
        <w:rPr>
          <w:rFonts w:ascii="Calibri" w:cs="Calibri" w:eastAsia="Calibri" w:hAnsi="Calibri"/>
          <w:b/>
          <w:bCs/>
          <w:color w:val="BD9B3C"/>
          <w:spacing w:val="30"/>
          <w:sz w:val="17"/>
          <w:szCs w:val="17"/>
        </w:rPr>
        <w:t xml:space="preserve">3 · CHARGEMENT (LOADER WRITE-BACK)</w:t>
      </w:r>
    </w:p>
    <w:p>
      <w:pPr>
        <w:spacing w:after="110" w:before="60"/>
      </w:pPr>
      <w:r>
        <w:rPr>
          <w:rFonts w:ascii="Cambria" w:cs="Cambria" w:eastAsia="Cambria" w:hAnsi="Cambria"/>
          <w:b/>
          <w:bCs/>
          <w:color w:val="003B71"/>
          <w:sz w:val="26"/>
          <w:szCs w:val="26"/>
        </w:rPr>
        <w:t xml:space="preserve">Contrat du chargement nocturne</w:t>
      </w:r>
    </w:p>
    <w:p>
      <w:pPr>
        <w:pStyle w:val="ListParagraph"/>
        <w:numPr>
          <w:ilvl w:val="0"/>
          <w:numId w:val="2"/>
        </w:numPr>
        <w:spacing w:after="70" w:line="256"/>
      </w:pPr>
      <w:r>
        <w:rPr>
          <w:rFonts w:ascii="Calibri" w:cs="Calibri" w:eastAsia="Calibri" w:hAnsi="Calibri"/>
          <w:b/>
          <w:bCs/>
          <w:color w:val="003B71"/>
          <w:sz w:val="21"/>
          <w:szCs w:val="21"/>
        </w:rPr>
        <w:t xml:space="preserve">Fréquence : </w:t>
      </w:r>
      <w:r>
        <w:rPr>
          <w:rFonts w:ascii="Calibri" w:cs="Calibri" w:eastAsia="Calibri" w:hAnsi="Calibri"/>
          <w:color w:val="47525F"/>
          <w:sz w:val="21"/>
          <w:szCs w:val="21"/>
        </w:rPr>
        <w:t xml:space="preserve">quotidienne, avant la fenêtre d'envoi SwiftNova.</w:t>
      </w:r>
    </w:p>
    <w:p>
      <w:pPr>
        <w:pStyle w:val="ListParagraph"/>
        <w:numPr>
          <w:ilvl w:val="0"/>
          <w:numId w:val="2"/>
        </w:numPr>
        <w:spacing w:after="70" w:line="256"/>
      </w:pPr>
      <w:r>
        <w:rPr>
          <w:rFonts w:ascii="Calibri" w:cs="Calibri" w:eastAsia="Calibri" w:hAnsi="Calibri"/>
          <w:b/>
          <w:bCs/>
          <w:color w:val="003B71"/>
          <w:sz w:val="21"/>
          <w:szCs w:val="21"/>
        </w:rPr>
        <w:t xml:space="preserve">Méthode : </w:t>
      </w:r>
      <w:r>
        <w:rPr>
          <w:rFonts w:ascii="Calibri" w:cs="Calibri" w:eastAsia="Calibri" w:hAnsi="Calibri"/>
          <w:color w:val="47525F"/>
          <w:sz w:val="21"/>
          <w:szCs w:val="21"/>
        </w:rPr>
        <w:t xml:space="preserve">staging + COPY puis UPSERT sur client_id (idempotent) — réutilise le patron de data/loaders.py (COPY / execute_values validé à 100 000 lignes &lt; 60 s).</w:t>
      </w:r>
    </w:p>
    <w:p>
      <w:pPr>
        <w:pStyle w:val="ListParagraph"/>
        <w:numPr>
          <w:ilvl w:val="0"/>
          <w:numId w:val="2"/>
        </w:numPr>
        <w:spacing w:after="70" w:line="256"/>
      </w:pPr>
      <w:r>
        <w:rPr>
          <w:rFonts w:ascii="Calibri" w:cs="Calibri" w:eastAsia="Calibri" w:hAnsi="Calibri"/>
          <w:b/>
          <w:bCs/>
          <w:color w:val="003B71"/>
          <w:sz w:val="21"/>
          <w:szCs w:val="21"/>
        </w:rPr>
        <w:t xml:space="preserve">Idempotence : </w:t>
      </w:r>
      <w:r>
        <w:rPr>
          <w:rFonts w:ascii="Calibri" w:cs="Calibri" w:eastAsia="Calibri" w:hAnsi="Calibri"/>
          <w:color w:val="47525F"/>
          <w:sz w:val="21"/>
          <w:szCs w:val="21"/>
        </w:rPr>
        <w:t xml:space="preserve">un même run rejoué ne crée pas de doublon ; ai_computed_at horodate la fraîcheur.</w:t>
      </w:r>
    </w:p>
    <w:p>
      <w:pPr>
        <w:pStyle w:val="ListParagraph"/>
        <w:numPr>
          <w:ilvl w:val="0"/>
          <w:numId w:val="2"/>
        </w:numPr>
        <w:spacing w:after="70" w:line="256"/>
      </w:pPr>
      <w:r>
        <w:rPr>
          <w:rFonts w:ascii="Calibri" w:cs="Calibri" w:eastAsia="Calibri" w:hAnsi="Calibri"/>
          <w:b/>
          <w:bCs/>
          <w:color w:val="003B71"/>
          <w:sz w:val="21"/>
          <w:szCs w:val="21"/>
        </w:rPr>
        <w:t xml:space="preserve">Intégrité : </w:t>
      </w:r>
      <w:r>
        <w:rPr>
          <w:rFonts w:ascii="Calibri" w:cs="Calibri" w:eastAsia="Calibri" w:hAnsi="Calibri"/>
          <w:color w:val="47525F"/>
          <w:sz w:val="21"/>
          <w:szCs w:val="21"/>
        </w:rPr>
        <w:t xml:space="preserve">opération transactionnelle ; en cas d'échec, la table conserve l'état précédent (pas de restitution partielle).</w:t>
      </w:r>
    </w:p>
    <w:tbl>
      <w:tblPr>
        <w:tblW w:type="dxa" w:w="9700"/>
        <w:tblBorders>
          <w:top w:val="single" w:color="E2E8F0" w:sz="4"/>
          <w:left w:val="single" w:color="BD9B3C" w:sz="12"/>
          <w:bottom w:val="single" w:color="E2E8F0" w:sz="4"/>
          <w:right w:val="single" w:color="E2E8F0" w:sz="4"/>
          <w:insideH w:val="none"/>
          <w:insideV w:val="none"/>
        </w:tblBorders>
      </w:tblPr>
      <w:tblGrid>
        <w:gridCol w:w="9700"/>
      </w:tblGrid>
      <w:tr>
        <w:tc>
          <w:tcPr>
            <w:tcW w:type="dxa" w:w="9700"/>
            <w:shd w:fill="F2F5F9" w:color="auto" w:val="clear"/>
            <w:tcMar>
              <w:top w:type="dxa" w:w="100"/>
              <w:left w:type="dxa" w:w="160"/>
              <w:bottom w:type="dxa" w:w="100"/>
              <w:right w:type="dxa" w:w="140"/>
            </w:tcMar>
          </w:tcPr>
          <w:p>
            <w:pPr>
              <w:spacing w:after="20" w:line="234"/>
            </w:pPr>
            <w:r>
              <w:rPr>
                <w:rFonts w:ascii="Consolas" w:cs="Consolas" w:eastAsia="Consolas" w:hAnsi="Consolas"/>
                <w:color w:val="2A2F36"/>
                <w:sz w:val="17"/>
                <w:szCs w:val="17"/>
              </w:rPr>
              <w:t xml:space="preserve">-- UPSERT depuis le staging (extrait)</w:t>
            </w:r>
          </w:p>
          <w:p>
            <w:pPr>
              <w:spacing w:after="20" w:line="234"/>
            </w:pPr>
            <w:r>
              <w:rPr>
                <w:rFonts w:ascii="Consolas" w:cs="Consolas" w:eastAsia="Consolas" w:hAnsi="Consolas"/>
                <w:color w:val="2A2F36"/>
                <w:sz w:val="17"/>
                <w:szCs w:val="17"/>
              </w:rPr>
              <w:t xml:space="preserve">INSERT INTO data_lake.client_ai_scores AS t (client_id, ai_nba, ai_nba_score, ...)</w:t>
            </w:r>
          </w:p>
          <w:p>
            <w:pPr>
              <w:spacing w:after="20" w:line="234"/>
            </w:pPr>
            <w:r>
              <w:rPr>
                <w:rFonts w:ascii="Consolas" w:cs="Consolas" w:eastAsia="Consolas" w:hAnsi="Consolas"/>
                <w:color w:val="2A2F36"/>
                <w:sz w:val="17"/>
                <w:szCs w:val="17"/>
              </w:rPr>
              <w:t xml:space="preserve">SELECT client_id, ai_nba, ai_nba_score, ... FROM stg_client_ai_scores</w:t>
            </w:r>
          </w:p>
          <w:p>
            <w:pPr>
              <w:spacing w:after="20" w:line="234"/>
            </w:pPr>
            <w:r>
              <w:rPr>
                <w:rFonts w:ascii="Consolas" w:cs="Consolas" w:eastAsia="Consolas" w:hAnsi="Consolas"/>
                <w:color w:val="2A2F36"/>
                <w:sz w:val="17"/>
                <w:szCs w:val="17"/>
              </w:rPr>
              <w:t xml:space="preserve">ON CONFLICT (client_id) DO UPDATE SET</w:t>
            </w:r>
          </w:p>
          <w:p>
            <w:pPr>
              <w:spacing w:after="20" w:line="234"/>
            </w:pPr>
            <w:r>
              <w:rPr>
                <w:rFonts w:ascii="Consolas" w:cs="Consolas" w:eastAsia="Consolas" w:hAnsi="Consolas"/>
                <w:color w:val="2A2F36"/>
                <w:sz w:val="17"/>
                <w:szCs w:val="17"/>
              </w:rPr>
              <w:t xml:space="preserve">    ai_nba = EXCLUDED.ai_nba, ai_nba_score = EXCLUDED.ai_nba_score, ...,</w:t>
            </w:r>
          </w:p>
          <w:p>
            <w:pPr>
              <w:spacing w:after="0" w:line="234"/>
            </w:pPr>
            <w:r>
              <w:rPr>
                <w:rFonts w:ascii="Consolas" w:cs="Consolas" w:eastAsia="Consolas" w:hAnsi="Consolas"/>
                <w:color w:val="2A2F36"/>
                <w:sz w:val="17"/>
                <w:szCs w:val="17"/>
              </w:rPr>
              <w:t xml:space="preserve">    ai_computed_at = CURRENT_TIMESTAMP;</w:t>
            </w:r>
          </w:p>
        </w:tc>
      </w:tr>
    </w:tbl>
    <w:p>
      <w:pPr>
        <w:spacing w:after="120"/>
      </w:pPr>
    </w:p>
    <w:p>
      <w:pPr>
        <w:spacing w:after="40" w:before="220"/>
      </w:pPr>
      <w:r>
        <w:rPr>
          <w:rFonts w:ascii="Calibri" w:cs="Calibri" w:eastAsia="Calibri" w:hAnsi="Calibri"/>
          <w:b/>
          <w:bCs/>
          <w:color w:val="BD9B3C"/>
          <w:spacing w:val="30"/>
          <w:sz w:val="17"/>
          <w:szCs w:val="17"/>
        </w:rPr>
        <w:t xml:space="preserve">4 · CONSOMMATION CÔTÉ SWIFTNOVA</w:t>
      </w:r>
    </w:p>
    <w:p>
      <w:pPr>
        <w:spacing w:after="110" w:before="60"/>
      </w:pPr>
      <w:r>
        <w:rPr>
          <w:rFonts w:ascii="Cambria" w:cs="Cambria" w:eastAsia="Cambria" w:hAnsi="Cambria"/>
          <w:b/>
          <w:bCs/>
          <w:color w:val="003B71"/>
          <w:sz w:val="26"/>
          <w:szCs w:val="26"/>
        </w:rPr>
        <w:t xml:space="preserve">Requêtes de cible et conditions de parcours</w:t>
      </w:r>
    </w:p>
    <w:p>
      <w:pPr>
        <w:spacing w:after="110" w:line="262"/>
        <w:jc w:val="both"/>
      </w:pPr>
      <w:r>
        <w:rPr>
          <w:rFonts w:ascii="Calibri" w:cs="Calibri" w:eastAsia="Calibri" w:hAnsi="Calibri"/>
          <w:color w:val="47525F"/>
          <w:sz w:val="21"/>
          <w:szCs w:val="21"/>
        </w:rPr>
        <w:t xml:space="preserve">La cible interroge la table enrichie comme n'importe quelle table du data lake ; le parcours branche sur les mêmes colonnes.</w:t>
      </w:r>
    </w:p>
    <w:tbl>
      <w:tblPr>
        <w:tblW w:type="dxa" w:w="9700"/>
        <w:tblBorders>
          <w:top w:val="single" w:color="E2E8F0" w:sz="4"/>
          <w:left w:val="single" w:color="BD9B3C" w:sz="12"/>
          <w:bottom w:val="single" w:color="E2E8F0" w:sz="4"/>
          <w:right w:val="single" w:color="E2E8F0" w:sz="4"/>
          <w:insideH w:val="none"/>
          <w:insideV w:val="none"/>
        </w:tblBorders>
      </w:tblPr>
      <w:tblGrid>
        <w:gridCol w:w="9700"/>
      </w:tblGrid>
      <w:tr>
        <w:tc>
          <w:tcPr>
            <w:tcW w:type="dxa" w:w="9700"/>
            <w:shd w:fill="F2F5F9" w:color="auto" w:val="clear"/>
            <w:tcMar>
              <w:top w:type="dxa" w:w="100"/>
              <w:left w:type="dxa" w:w="160"/>
              <w:bottom w:type="dxa" w:w="100"/>
              <w:right w:type="dxa" w:w="140"/>
            </w:tcMar>
          </w:tcPr>
          <w:p>
            <w:pPr>
              <w:spacing w:after="20" w:line="234"/>
            </w:pPr>
            <w:r>
              <w:rPr>
                <w:rFonts w:ascii="Consolas" w:cs="Consolas" w:eastAsia="Consolas" w:hAnsi="Consolas"/>
                <w:color w:val="2A2F36"/>
                <w:sz w:val="17"/>
                <w:szCs w:val="17"/>
              </w:rPr>
              <w:t xml:space="preserve">-- CIBLE : clients éligibles à fort potentiel Crédit Conso</w:t>
            </w:r>
          </w:p>
          <w:p>
            <w:pPr>
              <w:spacing w:after="20" w:line="234"/>
            </w:pPr>
            <w:r>
              <w:rPr>
                <w:rFonts w:ascii="Consolas" w:cs="Consolas" w:eastAsia="Consolas" w:hAnsi="Consolas"/>
                <w:color w:val="2A2F36"/>
                <w:sz w:val="17"/>
                <w:szCs w:val="17"/>
              </w:rPr>
              <w:t xml:space="preserve">SELECT client_id</w:t>
            </w:r>
          </w:p>
          <w:p>
            <w:pPr>
              <w:spacing w:after="20" w:line="234"/>
            </w:pPr>
            <w:r>
              <w:rPr>
                <w:rFonts w:ascii="Consolas" w:cs="Consolas" w:eastAsia="Consolas" w:hAnsi="Consolas"/>
                <w:color w:val="2A2F36"/>
                <w:sz w:val="17"/>
                <w:szCs w:val="17"/>
              </w:rPr>
              <w:t xml:space="preserve">FROM   data_lake.client_ai_scores</w:t>
            </w:r>
          </w:p>
          <w:p>
            <w:pPr>
              <w:spacing w:after="20" w:line="234"/>
            </w:pPr>
            <w:r>
              <w:rPr>
                <w:rFonts w:ascii="Consolas" w:cs="Consolas" w:eastAsia="Consolas" w:hAnsi="Consolas"/>
                <w:color w:val="2A2F36"/>
                <w:sz w:val="17"/>
                <w:szCs w:val="17"/>
              </w:rPr>
              <w:t xml:space="preserve">WHERE  ai_eligible = TRUE</w:t>
            </w:r>
          </w:p>
          <w:p>
            <w:pPr>
              <w:spacing w:after="20" w:line="234"/>
            </w:pPr>
            <w:r>
              <w:rPr>
                <w:rFonts w:ascii="Consolas" w:cs="Consolas" w:eastAsia="Consolas" w:hAnsi="Consolas"/>
                <w:color w:val="2A2F36"/>
                <w:sz w:val="17"/>
                <w:szCs w:val="17"/>
              </w:rPr>
              <w:t xml:space="preserve">  AND  ai_nba = 'CREDIT_CONSO'</w:t>
            </w:r>
          </w:p>
          <w:p>
            <w:pPr>
              <w:spacing w:after="20" w:line="234"/>
            </w:pPr>
            <w:r>
              <w:rPr>
                <w:rFonts w:ascii="Consolas" w:cs="Consolas" w:eastAsia="Consolas" w:hAnsi="Consolas"/>
                <w:color w:val="2A2F36"/>
                <w:sz w:val="17"/>
                <w:szCs w:val="17"/>
              </w:rPr>
              <w:t xml:space="preserve">  AND  ai_prop_credit_conso &gt;= 0.70;</w:t>
            </w:r>
          </w:p>
          <w:p>
            <w:pPr>
              <w:spacing w:after="20" w:line="234"/>
            </w:pPr>
            <w:r>
              <w:rPr>
                <w:rFonts w:ascii="Consolas" w:cs="Consolas" w:eastAsia="Consolas" w:hAnsi="Consolas"/>
                <w:color w:val="2A2F36"/>
                <w:sz w:val="17"/>
                <w:szCs w:val="17"/>
              </w:rPr>
              <w:t xml:space="preserve"> </w:t>
            </w:r>
          </w:p>
          <w:p>
            <w:pPr>
              <w:spacing w:after="20" w:line="234"/>
            </w:pPr>
            <w:r>
              <w:rPr>
                <w:rFonts w:ascii="Consolas" w:cs="Consolas" w:eastAsia="Consolas" w:hAnsi="Consolas"/>
                <w:color w:val="2A2F36"/>
                <w:sz w:val="17"/>
                <w:szCs w:val="17"/>
              </w:rPr>
              <w:t xml:space="preserve">-- PARCOURS : conditions de branche (colonne 'Filtre client')</w:t>
            </w:r>
          </w:p>
          <w:p>
            <w:pPr>
              <w:spacing w:after="20" w:line="234"/>
            </w:pPr>
            <w:r>
              <w:rPr>
                <w:rFonts w:ascii="Consolas" w:cs="Consolas" w:eastAsia="Consolas" w:hAnsi="Consolas"/>
                <w:color w:val="2A2F36"/>
                <w:sz w:val="17"/>
                <w:szCs w:val="17"/>
              </w:rPr>
              <w:t xml:space="preserve">ai_channel     = 'PUSH_APP'      -&gt; bras Push notification</w:t>
            </w:r>
          </w:p>
          <w:p>
            <w:pPr>
              <w:spacing w:after="20" w:line="234"/>
            </w:pPr>
            <w:r>
              <w:rPr>
                <w:rFonts w:ascii="Consolas" w:cs="Consolas" w:eastAsia="Consolas" w:hAnsi="Consolas"/>
                <w:color w:val="2A2F36"/>
                <w:sz w:val="17"/>
                <w:szCs w:val="17"/>
              </w:rPr>
              <w:t xml:space="preserve">ai_churn_risk  &gt;= 0.60           -&gt; bras rétention (Conseiller / Appel)</w:t>
            </w:r>
          </w:p>
          <w:p>
            <w:pPr>
              <w:spacing w:after="0" w:line="234"/>
            </w:pPr>
            <w:r>
              <w:rPr>
                <w:rFonts w:ascii="Consolas" w:cs="Consolas" w:eastAsia="Consolas" w:hAnsi="Consolas"/>
                <w:color w:val="2A2F36"/>
                <w:sz w:val="17"/>
                <w:szCs w:val="17"/>
              </w:rPr>
              <w:t xml:space="preserve">ai_channel     = 'AGENCY_CALL'   -&gt; campagne avec action terrain</w:t>
            </w:r>
          </w:p>
        </w:tc>
      </w:tr>
    </w:tbl>
    <w:p>
      <w:pPr>
        <w:spacing w:after="120" w:before="40"/>
      </w:pPr>
      <w:r>
        <w:rPr>
          <w:rFonts w:ascii="Calibri" w:cs="Calibri" w:eastAsia="Calibri" w:hAnsi="Calibri"/>
          <w:i/>
          <w:iCs/>
          <w:color w:val="8A95A2"/>
          <w:sz w:val="16"/>
          <w:szCs w:val="16"/>
        </w:rPr>
        <w:t xml:space="preserve">Le seuil (0,70) et la valeur de risque sont paramétrés dans SwiftNova, comme pour un champ existant.</w:t>
      </w:r>
    </w:p>
    <w:p>
      <w:pPr>
        <w:pageBreakBefore/>
      </w:pPr>
    </w:p>
    <w:p>
      <w:pPr>
        <w:spacing w:after="40" w:before="220"/>
      </w:pPr>
      <w:r>
        <w:rPr>
          <w:rFonts w:ascii="Calibri" w:cs="Calibri" w:eastAsia="Calibri" w:hAnsi="Calibri"/>
          <w:b/>
          <w:bCs/>
          <w:color w:val="BD9B3C"/>
          <w:spacing w:val="30"/>
          <w:sz w:val="17"/>
          <w:szCs w:val="17"/>
        </w:rPr>
        <w:t xml:space="preserve">5 · LECTEUR DE RÉSULTATS (BOUCLE D'APPRENTISSAGE)</w:t>
      </w:r>
    </w:p>
    <w:p>
      <w:pPr>
        <w:spacing w:after="110" w:before="60"/>
      </w:pPr>
      <w:r>
        <w:rPr>
          <w:rFonts w:ascii="Cambria" w:cs="Cambria" w:eastAsia="Cambria" w:hAnsi="Cambria"/>
          <w:b/>
          <w:bCs/>
          <w:color w:val="003B71"/>
          <w:sz w:val="26"/>
          <w:szCs w:val="26"/>
        </w:rPr>
        <w:t xml:space="preserve">Table data_lake.campaign_results — ingestion des retours SwiftNova</w:t>
      </w:r>
    </w:p>
    <w:tbl>
      <w:tblPr>
        <w:tblW w:type="dxa" w:w="9700"/>
        <w:tblBorders>
          <w:top w:val="single" w:color="E2E8F0" w:sz="4"/>
          <w:left w:val="single" w:color="BD9B3C" w:sz="12"/>
          <w:bottom w:val="single" w:color="E2E8F0" w:sz="4"/>
          <w:right w:val="single" w:color="E2E8F0" w:sz="4"/>
          <w:insideH w:val="none"/>
          <w:insideV w:val="none"/>
        </w:tblBorders>
      </w:tblPr>
      <w:tblGrid>
        <w:gridCol w:w="9700"/>
      </w:tblGrid>
      <w:tr>
        <w:tc>
          <w:tcPr>
            <w:tcW w:type="dxa" w:w="9700"/>
            <w:shd w:fill="F2F5F9" w:color="auto" w:val="clear"/>
            <w:tcMar>
              <w:top w:type="dxa" w:w="100"/>
              <w:left w:type="dxa" w:w="160"/>
              <w:bottom w:type="dxa" w:w="100"/>
              <w:right w:type="dxa" w:w="140"/>
            </w:tcMar>
          </w:tcPr>
          <w:p>
            <w:pPr>
              <w:spacing w:after="20" w:line="234"/>
            </w:pPr>
            <w:r>
              <w:rPr>
                <w:rFonts w:ascii="Consolas" w:cs="Consolas" w:eastAsia="Consolas" w:hAnsi="Consolas"/>
                <w:color w:val="2A2F36"/>
                <w:sz w:val="17"/>
                <w:szCs w:val="17"/>
              </w:rPr>
              <w:t xml:space="preserve">CREATE TABLE data_lake.campaign_results (</w:t>
            </w:r>
          </w:p>
          <w:p>
            <w:pPr>
              <w:spacing w:after="20" w:line="234"/>
            </w:pPr>
            <w:r>
              <w:rPr>
                <w:rFonts w:ascii="Consolas" w:cs="Consolas" w:eastAsia="Consolas" w:hAnsi="Consolas"/>
                <w:color w:val="2A2F36"/>
                <w:sz w:val="17"/>
                <w:szCs w:val="17"/>
              </w:rPr>
              <w:t xml:space="preserve">    campaign_id       VARCHAR(50),</w:t>
            </w:r>
          </w:p>
          <w:p>
            <w:pPr>
              <w:spacing w:after="20" w:line="234"/>
            </w:pPr>
            <w:r>
              <w:rPr>
                <w:rFonts w:ascii="Consolas" w:cs="Consolas" w:eastAsia="Consolas" w:hAnsi="Consolas"/>
                <w:color w:val="2A2F36"/>
                <w:sz w:val="17"/>
                <w:szCs w:val="17"/>
              </w:rPr>
              <w:t xml:space="preserve">    client_id         VARCHAR(50),</w:t>
            </w:r>
          </w:p>
          <w:p>
            <w:pPr>
              <w:spacing w:after="20" w:line="234"/>
            </w:pPr>
            <w:r>
              <w:rPr>
                <w:rFonts w:ascii="Consolas" w:cs="Consolas" w:eastAsia="Consolas" w:hAnsi="Consolas"/>
                <w:color w:val="2A2F36"/>
                <w:sz w:val="17"/>
                <w:szCs w:val="17"/>
              </w:rPr>
              <w:t xml:space="preserve">    node_id           VARCHAR(50),</w:t>
            </w:r>
          </w:p>
          <w:p>
            <w:pPr>
              <w:spacing w:after="20" w:line="234"/>
            </w:pPr>
            <w:r>
              <w:rPr>
                <w:rFonts w:ascii="Consolas" w:cs="Consolas" w:eastAsia="Consolas" w:hAnsi="Consolas"/>
                <w:color w:val="2A2F36"/>
                <w:sz w:val="17"/>
                <w:szCs w:val="17"/>
              </w:rPr>
              <w:t xml:space="preserve">    channel           VARCHAR(20),</w:t>
            </w:r>
          </w:p>
          <w:p>
            <w:pPr>
              <w:spacing w:after="20" w:line="234"/>
            </w:pPr>
            <w:r>
              <w:rPr>
                <w:rFonts w:ascii="Consolas" w:cs="Consolas" w:eastAsia="Consolas" w:hAnsi="Consolas"/>
                <w:color w:val="2A2F36"/>
                <w:sz w:val="17"/>
                <w:szCs w:val="17"/>
              </w:rPr>
              <w:t xml:space="preserve">    event             VARCHAR(20),   -- SENT/DELIVERED/OPEN/CLICK/CONVERT/UNSUB</w:t>
            </w:r>
          </w:p>
          <w:p>
            <w:pPr>
              <w:spacing w:after="20" w:line="234"/>
            </w:pPr>
            <w:r>
              <w:rPr>
                <w:rFonts w:ascii="Consolas" w:cs="Consolas" w:eastAsia="Consolas" w:hAnsi="Consolas"/>
                <w:color w:val="2A2F36"/>
                <w:sz w:val="17"/>
                <w:szCs w:val="17"/>
              </w:rPr>
              <w:t xml:space="preserve">    flag_resultats    VARCHAR(20),   -- Transmis, ...</w:t>
            </w:r>
          </w:p>
          <w:p>
            <w:pPr>
              <w:spacing w:after="20" w:line="234"/>
            </w:pPr>
            <w:r>
              <w:rPr>
                <w:rFonts w:ascii="Consolas" w:cs="Consolas" w:eastAsia="Consolas" w:hAnsi="Consolas"/>
                <w:color w:val="2A2F36"/>
                <w:sz w:val="17"/>
                <w:szCs w:val="17"/>
              </w:rPr>
              <w:t xml:space="preserve">    nb_push           INTEGER,</w:t>
            </w:r>
          </w:p>
          <w:p>
            <w:pPr>
              <w:spacing w:after="20" w:line="234"/>
            </w:pPr>
            <w:r>
              <w:rPr>
                <w:rFonts w:ascii="Consolas" w:cs="Consolas" w:eastAsia="Consolas" w:hAnsi="Consolas"/>
                <w:color w:val="2A2F36"/>
                <w:sz w:val="17"/>
                <w:szCs w:val="17"/>
              </w:rPr>
              <w:t xml:space="preserve">    objectif_atteint  BOOLEAN,       -- issue du nœud Objectif (Oui/Non)</w:t>
            </w:r>
          </w:p>
          <w:p>
            <w:pPr>
              <w:spacing w:after="20" w:line="234"/>
            </w:pPr>
            <w:r>
              <w:rPr>
                <w:rFonts w:ascii="Consolas" w:cs="Consolas" w:eastAsia="Consolas" w:hAnsi="Consolas"/>
                <w:color w:val="2A2F36"/>
                <w:sz w:val="17"/>
                <w:szCs w:val="17"/>
              </w:rPr>
              <w:t xml:space="preserve">    event_at          TIMESTAMP,</w:t>
            </w:r>
          </w:p>
          <w:p>
            <w:pPr>
              <w:spacing w:after="20" w:line="234"/>
            </w:pPr>
            <w:r>
              <w:rPr>
                <w:rFonts w:ascii="Consolas" w:cs="Consolas" w:eastAsia="Consolas" w:hAnsi="Consolas"/>
                <w:color w:val="2A2F36"/>
                <w:sz w:val="17"/>
                <w:szCs w:val="17"/>
              </w:rPr>
              <w:t xml:space="preserve">    PRIMARY KEY (campaign_id, client_id, node_id, event)</w:t>
            </w:r>
          </w:p>
          <w:p>
            <w:pPr>
              <w:spacing w:after="0" w:line="234"/>
            </w:pPr>
            <w:r>
              <w:rPr>
                <w:rFonts w:ascii="Consolas" w:cs="Consolas" w:eastAsia="Consolas" w:hAnsi="Consolas"/>
                <w:color w:val="2A2F36"/>
                <w:sz w:val="17"/>
                <w:szCs w:val="17"/>
              </w:rPr>
              <w:t xml:space="preserve">);</w:t>
            </w:r>
          </w:p>
        </w:tc>
      </w:tr>
    </w:tbl>
    <w:p>
      <w:pPr>
        <w:spacing w:after="120"/>
      </w:pPr>
    </w:p>
    <w:p>
      <w:pPr>
        <w:spacing w:after="110" w:line="262"/>
        <w:jc w:val="both"/>
      </w:pPr>
      <w:r>
        <w:rPr>
          <w:rFonts w:ascii="Calibri" w:cs="Calibri" w:eastAsia="Calibri" w:hAnsi="Calibri"/>
          <w:color w:val="47525F"/>
          <w:sz w:val="21"/>
          <w:szCs w:val="21"/>
        </w:rPr>
        <w:t xml:space="preserve">Deux usages en dérivent : l'étiquette d'apprentissage (l'atteinte de l'Objectif par client et par campagne) et la pression commerciale (date du dernier contact).</w:t>
      </w:r>
    </w:p>
    <w:tbl>
      <w:tblPr>
        <w:tblW w:type="dxa" w:w="9700"/>
        <w:tblBorders>
          <w:top w:val="single" w:color="E2E8F0" w:sz="4"/>
          <w:left w:val="single" w:color="BD9B3C" w:sz="12"/>
          <w:bottom w:val="single" w:color="E2E8F0" w:sz="4"/>
          <w:right w:val="single" w:color="E2E8F0" w:sz="4"/>
          <w:insideH w:val="none"/>
          <w:insideV w:val="none"/>
        </w:tblBorders>
      </w:tblPr>
      <w:tblGrid>
        <w:gridCol w:w="9700"/>
      </w:tblGrid>
      <w:tr>
        <w:tc>
          <w:tcPr>
            <w:tcW w:type="dxa" w:w="9700"/>
            <w:shd w:fill="F2F5F9" w:color="auto" w:val="clear"/>
            <w:tcMar>
              <w:top w:type="dxa" w:w="100"/>
              <w:left w:type="dxa" w:w="160"/>
              <w:bottom w:type="dxa" w:w="100"/>
              <w:right w:type="dxa" w:w="140"/>
            </w:tcMar>
          </w:tcPr>
          <w:p>
            <w:pPr>
              <w:spacing w:after="20" w:line="234"/>
            </w:pPr>
            <w:r>
              <w:rPr>
                <w:rFonts w:ascii="Consolas" w:cs="Consolas" w:eastAsia="Consolas" w:hAnsi="Consolas"/>
                <w:color w:val="2A2F36"/>
                <w:sz w:val="17"/>
                <w:szCs w:val="17"/>
              </w:rPr>
              <w:t xml:space="preserve">-- LABEL d'apprentissage (par client / campagne)</w:t>
            </w:r>
          </w:p>
          <w:p>
            <w:pPr>
              <w:spacing w:after="20" w:line="234"/>
            </w:pPr>
            <w:r>
              <w:rPr>
                <w:rFonts w:ascii="Consolas" w:cs="Consolas" w:eastAsia="Consolas" w:hAnsi="Consolas"/>
                <w:color w:val="2A2F36"/>
                <w:sz w:val="17"/>
                <w:szCs w:val="17"/>
              </w:rPr>
              <w:t xml:space="preserve">SELECT client_id, campaign_id, BOOL_OR(objectif_atteint) AS label</w:t>
            </w:r>
          </w:p>
          <w:p>
            <w:pPr>
              <w:spacing w:after="20" w:line="234"/>
            </w:pPr>
            <w:r>
              <w:rPr>
                <w:rFonts w:ascii="Consolas" w:cs="Consolas" w:eastAsia="Consolas" w:hAnsi="Consolas"/>
                <w:color w:val="2A2F36"/>
                <w:sz w:val="17"/>
                <w:szCs w:val="17"/>
              </w:rPr>
              <w:t xml:space="preserve">FROM   data_lake.campaign_results GROUP BY client_id, campaign_id;</w:t>
            </w:r>
          </w:p>
          <w:p>
            <w:pPr>
              <w:spacing w:after="20" w:line="234"/>
            </w:pPr>
            <w:r>
              <w:rPr>
                <w:rFonts w:ascii="Consolas" w:cs="Consolas" w:eastAsia="Consolas" w:hAnsi="Consolas"/>
                <w:color w:val="2A2F36"/>
                <w:sz w:val="17"/>
                <w:szCs w:val="17"/>
              </w:rPr>
              <w:t xml:space="preserve"> </w:t>
            </w:r>
          </w:p>
          <w:p>
            <w:pPr>
              <w:spacing w:after="20" w:line="234"/>
            </w:pPr>
            <w:r>
              <w:rPr>
                <w:rFonts w:ascii="Consolas" w:cs="Consolas" w:eastAsia="Consolas" w:hAnsi="Consolas"/>
                <w:color w:val="2A2F36"/>
                <w:sz w:val="17"/>
                <w:szCs w:val="17"/>
              </w:rPr>
              <w:t xml:space="preserve">-- PRESSION : dernier contact émis par client</w:t>
            </w:r>
          </w:p>
          <w:p>
            <w:pPr>
              <w:spacing w:after="20" w:line="234"/>
            </w:pPr>
            <w:r>
              <w:rPr>
                <w:rFonts w:ascii="Consolas" w:cs="Consolas" w:eastAsia="Consolas" w:hAnsi="Consolas"/>
                <w:color w:val="2A2F36"/>
                <w:sz w:val="17"/>
                <w:szCs w:val="17"/>
              </w:rPr>
              <w:t xml:space="preserve">SELECT client_id, MAX(event_at) AS last_contact</w:t>
            </w:r>
          </w:p>
          <w:p>
            <w:pPr>
              <w:spacing w:after="0" w:line="234"/>
            </w:pPr>
            <w:r>
              <w:rPr>
                <w:rFonts w:ascii="Consolas" w:cs="Consolas" w:eastAsia="Consolas" w:hAnsi="Consolas"/>
                <w:color w:val="2A2F36"/>
                <w:sz w:val="17"/>
                <w:szCs w:val="17"/>
              </w:rPr>
              <w:t xml:space="preserve">FROM   data_lake.campaign_results WHERE event = 'SENT' GROUP BY client_id;</w:t>
            </w:r>
          </w:p>
        </w:tc>
      </w:tr>
    </w:tbl>
    <w:p>
      <w:pPr>
        <w:spacing w:after="120"/>
      </w:pPr>
    </w:p>
    <w:p>
      <w:pPr>
        <w:spacing w:after="40" w:before="220"/>
      </w:pPr>
      <w:r>
        <w:rPr>
          <w:rFonts w:ascii="Calibri" w:cs="Calibri" w:eastAsia="Calibri" w:hAnsi="Calibri"/>
          <w:b/>
          <w:bCs/>
          <w:color w:val="BD9B3C"/>
          <w:spacing w:val="30"/>
          <w:sz w:val="17"/>
          <w:szCs w:val="17"/>
        </w:rPr>
        <w:t xml:space="preserve">6 · RÉCONCILIATION D'IDENTITÉ</w:t>
      </w:r>
    </w:p>
    <w:p>
      <w:pPr>
        <w:spacing w:after="110" w:before="60"/>
      </w:pPr>
      <w:r>
        <w:rPr>
          <w:rFonts w:ascii="Cambria" w:cs="Cambria" w:eastAsia="Cambria" w:hAnsi="Cambria"/>
          <w:b/>
          <w:bCs/>
          <w:color w:val="003B71"/>
          <w:sz w:val="26"/>
          <w:szCs w:val="26"/>
        </w:rPr>
        <w:t xml:space="preserve">Table data_lake.id_map — client bancaire ↔ contact SwiftNova</w:t>
      </w:r>
    </w:p>
    <w:tbl>
      <w:tblPr>
        <w:tblW w:type="dxa" w:w="9700"/>
        <w:tblBorders>
          <w:top w:val="single" w:color="E2E8F0" w:sz="4"/>
          <w:left w:val="single" w:color="BD9B3C" w:sz="12"/>
          <w:bottom w:val="single" w:color="E2E8F0" w:sz="4"/>
          <w:right w:val="single" w:color="E2E8F0" w:sz="4"/>
          <w:insideH w:val="none"/>
          <w:insideV w:val="none"/>
        </w:tblBorders>
      </w:tblPr>
      <w:tblGrid>
        <w:gridCol w:w="9700"/>
      </w:tblGrid>
      <w:tr>
        <w:tc>
          <w:tcPr>
            <w:tcW w:type="dxa" w:w="9700"/>
            <w:shd w:fill="F2F5F9" w:color="auto" w:val="clear"/>
            <w:tcMar>
              <w:top w:type="dxa" w:w="100"/>
              <w:left w:type="dxa" w:w="160"/>
              <w:bottom w:type="dxa" w:w="100"/>
              <w:right w:type="dxa" w:w="140"/>
            </w:tcMar>
          </w:tcPr>
          <w:p>
            <w:pPr>
              <w:spacing w:after="20" w:line="234"/>
            </w:pPr>
            <w:r>
              <w:rPr>
                <w:rFonts w:ascii="Consolas" w:cs="Consolas" w:eastAsia="Consolas" w:hAnsi="Consolas"/>
                <w:color w:val="2A2F36"/>
                <w:sz w:val="17"/>
                <w:szCs w:val="17"/>
              </w:rPr>
              <w:t xml:space="preserve">CREATE TABLE data_lake.id_map (</w:t>
            </w:r>
          </w:p>
          <w:p>
            <w:pPr>
              <w:spacing w:after="20" w:line="234"/>
            </w:pPr>
            <w:r>
              <w:rPr>
                <w:rFonts w:ascii="Consolas" w:cs="Consolas" w:eastAsia="Consolas" w:hAnsi="Consolas"/>
                <w:color w:val="2A2F36"/>
                <w:sz w:val="17"/>
                <w:szCs w:val="17"/>
              </w:rPr>
              <w:t xml:space="preserve">    client_id             VARCHAR(50) PRIMARY KEY,   -- client bancaire</w:t>
            </w:r>
          </w:p>
          <w:p>
            <w:pPr>
              <w:spacing w:after="20" w:line="234"/>
            </w:pPr>
            <w:r>
              <w:rPr>
                <w:rFonts w:ascii="Consolas" w:cs="Consolas" w:eastAsia="Consolas" w:hAnsi="Consolas"/>
                <w:color w:val="2A2F36"/>
                <w:sz w:val="17"/>
                <w:szCs w:val="17"/>
              </w:rPr>
              <w:t xml:space="preserve">    swiftnova_contact_id  VARCHAR(64) UNIQUE,        -- contact SwiftNova</w:t>
            </w:r>
          </w:p>
          <w:p>
            <w:pPr>
              <w:spacing w:after="20" w:line="234"/>
            </w:pPr>
            <w:r>
              <w:rPr>
                <w:rFonts w:ascii="Consolas" w:cs="Consolas" w:eastAsia="Consolas" w:hAnsi="Consolas"/>
                <w:color w:val="2A2F36"/>
                <w:sz w:val="17"/>
                <w:szCs w:val="17"/>
              </w:rPr>
              <w:t xml:space="preserve">    matched_on            VARCHAR(20),               -- email / phone / external_id</w:t>
            </w:r>
          </w:p>
          <w:p>
            <w:pPr>
              <w:spacing w:after="20" w:line="234"/>
            </w:pPr>
            <w:r>
              <w:rPr>
                <w:rFonts w:ascii="Consolas" w:cs="Consolas" w:eastAsia="Consolas" w:hAnsi="Consolas"/>
                <w:color w:val="2A2F36"/>
                <w:sz w:val="17"/>
                <w:szCs w:val="17"/>
              </w:rPr>
              <w:t xml:space="preserve">    updated_at            TIMESTAMP DEFAULT CURRENT_TIMESTAMP</w:t>
            </w:r>
          </w:p>
          <w:p>
            <w:pPr>
              <w:spacing w:after="0" w:line="234"/>
            </w:pPr>
            <w:r>
              <w:rPr>
                <w:rFonts w:ascii="Consolas" w:cs="Consolas" w:eastAsia="Consolas" w:hAnsi="Consolas"/>
                <w:color w:val="2A2F36"/>
                <w:sz w:val="17"/>
                <w:szCs w:val="17"/>
              </w:rPr>
              <w:t xml:space="preserve">);</w:t>
            </w:r>
          </w:p>
        </w:tc>
      </w:tr>
    </w:tbl>
    <w:p>
      <w:pPr>
        <w:spacing w:after="120" w:before="40"/>
      </w:pPr>
      <w:r>
        <w:rPr>
          <w:rFonts w:ascii="Calibri" w:cs="Calibri" w:eastAsia="Calibri" w:hAnsi="Calibri"/>
          <w:i/>
          <w:iCs/>
          <w:color w:val="8A95A2"/>
          <w:sz w:val="16"/>
          <w:szCs w:val="16"/>
        </w:rPr>
        <w:t xml:space="preserve">Clé de rapprochement à figer avec l'éditeur. En cible, privilégier un external_id partagé plutôt qu'email/téléphone (plus stable, moins sensible).</w:t>
      </w:r>
    </w:p>
    <w:p>
      <w:pPr>
        <w:spacing w:after="40" w:before="220"/>
      </w:pPr>
      <w:r>
        <w:rPr>
          <w:rFonts w:ascii="Calibri" w:cs="Calibri" w:eastAsia="Calibri" w:hAnsi="Calibri"/>
          <w:b/>
          <w:bCs/>
          <w:color w:val="BD9B3C"/>
          <w:spacing w:val="30"/>
          <w:sz w:val="17"/>
          <w:szCs w:val="17"/>
        </w:rPr>
        <w:t xml:space="preserve">7 · PARAMÉTRAGE (CONFIG/SETTINGS.PY)</w:t>
      </w:r>
    </w:p>
    <w:tbl>
      <w:tblPr>
        <w:tblW w:type="dxa" w:w="9700"/>
        <w:tblBorders>
          <w:top w:val="single" w:color="E2E8F0" w:sz="4"/>
          <w:left w:val="single" w:color="E2E8F0" w:sz="4"/>
          <w:bottom w:val="single" w:color="E2E8F0" w:sz="4"/>
          <w:right w:val="single" w:color="E2E8F0" w:sz="4"/>
          <w:insideH w:val="single" w:color="E2E8F0" w:sz="4"/>
          <w:insideV w:val="single" w:color="E2E8F0" w:sz="4"/>
        </w:tblBorders>
      </w:tblPr>
      <w:tblGrid>
        <w:gridCol w:w="3400"/>
        <w:gridCol w:w="2600"/>
        <w:gridCol w:w="3700"/>
      </w:tblGrid>
      <w:tr>
        <w:trPr>
          <w:tblHeader/>
        </w:trPr>
        <w:tc>
          <w:tcPr>
            <w:tcW w:type="dxa" w:w="3400"/>
            <w:shd w:fill="003B71" w:color="auto" w:val="clear"/>
            <w:tcMar>
              <w:top w:type="dxa" w:w="55"/>
              <w:left w:type="dxa" w:w="110"/>
              <w:bottom w:type="dxa" w:w="55"/>
              <w:right w:type="dxa" w:w="110"/>
            </w:tcMar>
          </w:tcPr>
          <w:p>
            <w:pPr>
              <w:spacing w:after="0" w:line="232"/>
              <w:jc w:val="left"/>
            </w:pPr>
            <w:r>
              <w:rPr>
                <w:rFonts w:ascii="Calibri" w:cs="Calibri" w:eastAsia="Calibri" w:hAnsi="Calibri"/>
                <w:b/>
                <w:bCs/>
                <w:color w:val="FFFFFF"/>
                <w:sz w:val="17"/>
                <w:szCs w:val="17"/>
              </w:rPr>
              <w:t xml:space="preserve">Clé</w:t>
            </w:r>
          </w:p>
        </w:tc>
        <w:tc>
          <w:tcPr>
            <w:tcW w:type="dxa" w:w="2600"/>
            <w:shd w:fill="003B71" w:color="auto" w:val="clear"/>
            <w:tcMar>
              <w:top w:type="dxa" w:w="55"/>
              <w:left w:type="dxa" w:w="110"/>
              <w:bottom w:type="dxa" w:w="55"/>
              <w:right w:type="dxa" w:w="110"/>
            </w:tcMar>
          </w:tcPr>
          <w:p>
            <w:pPr>
              <w:spacing w:after="0" w:line="232"/>
              <w:jc w:val="left"/>
            </w:pPr>
            <w:r>
              <w:rPr>
                <w:rFonts w:ascii="Calibri" w:cs="Calibri" w:eastAsia="Calibri" w:hAnsi="Calibri"/>
                <w:b/>
                <w:bCs/>
                <w:color w:val="FFFFFF"/>
                <w:sz w:val="17"/>
                <w:szCs w:val="17"/>
              </w:rPr>
              <w:t xml:space="preserve">Exemple</w:t>
            </w:r>
          </w:p>
        </w:tc>
        <w:tc>
          <w:tcPr>
            <w:tcW w:type="dxa" w:w="3700"/>
            <w:shd w:fill="003B71" w:color="auto" w:val="clear"/>
            <w:tcMar>
              <w:top w:type="dxa" w:w="55"/>
              <w:left w:type="dxa" w:w="110"/>
              <w:bottom w:type="dxa" w:w="55"/>
              <w:right w:type="dxa" w:w="110"/>
            </w:tcMar>
          </w:tcPr>
          <w:p>
            <w:pPr>
              <w:spacing w:after="0" w:line="232"/>
              <w:jc w:val="left"/>
            </w:pPr>
            <w:r>
              <w:rPr>
                <w:rFonts w:ascii="Calibri" w:cs="Calibri" w:eastAsia="Calibri" w:hAnsi="Calibri"/>
                <w:b/>
                <w:bCs/>
                <w:color w:val="FFFFFF"/>
                <w:sz w:val="17"/>
                <w:szCs w:val="17"/>
              </w:rPr>
              <w:t xml:space="preserve">Rôle</w:t>
            </w:r>
          </w:p>
        </w:tc>
      </w:tr>
      <w:tr>
        <w:trPr>
          <w:tblHeader w:val="false"/>
        </w:trPr>
        <w:tc>
          <w:tcPr>
            <w:tcW w:type="dxa" w:w="3400"/>
            <w:shd w:fill="FFFFFF" w:color="auto" w:val="clear"/>
            <w:tcMar>
              <w:top w:type="dxa" w:w="55"/>
              <w:left w:type="dxa" w:w="110"/>
              <w:bottom w:type="dxa" w:w="55"/>
              <w:right w:type="dxa" w:w="110"/>
            </w:tcMar>
          </w:tcPr>
          <w:p>
            <w:pPr>
              <w:spacing w:after="0" w:line="232"/>
              <w:jc w:val="left"/>
            </w:pPr>
            <w:r>
              <w:rPr>
                <w:rFonts w:ascii="Calibri" w:cs="Calibri" w:eastAsia="Calibri" w:hAnsi="Calibri"/>
                <w:b/>
                <w:bCs/>
                <w:color w:val="003B71"/>
                <w:sz w:val="16"/>
                <w:szCs w:val="16"/>
              </w:rPr>
              <w:t xml:space="preserve">DL_SCHEMA</w:t>
            </w:r>
          </w:p>
        </w:tc>
        <w:tc>
          <w:tcPr>
            <w:tcW w:type="dxa" w:w="26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data_lake</w:t>
            </w:r>
          </w:p>
        </w:tc>
        <w:tc>
          <w:tcPr>
            <w:tcW w:type="dxa" w:w="37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Schéma du data lake</w:t>
            </w:r>
          </w:p>
        </w:tc>
      </w:tr>
      <w:tr>
        <w:trPr>
          <w:tblHeader w:val="false"/>
        </w:trPr>
        <w:tc>
          <w:tcPr>
            <w:tcW w:type="dxa" w:w="3400"/>
            <w:shd w:fill="F5F7FA" w:color="auto" w:val="clear"/>
            <w:tcMar>
              <w:top w:type="dxa" w:w="55"/>
              <w:left w:type="dxa" w:w="110"/>
              <w:bottom w:type="dxa" w:w="55"/>
              <w:right w:type="dxa" w:w="110"/>
            </w:tcMar>
          </w:tcPr>
          <w:p>
            <w:pPr>
              <w:spacing w:after="0" w:line="232"/>
              <w:jc w:val="left"/>
            </w:pPr>
            <w:r>
              <w:rPr>
                <w:rFonts w:ascii="Calibri" w:cs="Calibri" w:eastAsia="Calibri" w:hAnsi="Calibri"/>
                <w:b/>
                <w:bCs/>
                <w:color w:val="003B71"/>
                <w:sz w:val="16"/>
                <w:szCs w:val="16"/>
              </w:rPr>
              <w:t xml:space="preserve">AI_SCORES_TABLE</w:t>
            </w:r>
          </w:p>
        </w:tc>
        <w:tc>
          <w:tcPr>
            <w:tcW w:type="dxa" w:w="2600"/>
            <w:shd w:fill="F5F7FA"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client_ai_scores</w:t>
            </w:r>
          </w:p>
        </w:tc>
        <w:tc>
          <w:tcPr>
            <w:tcW w:type="dxa" w:w="3700"/>
            <w:shd w:fill="F5F7FA"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Table de restitution enrichie</w:t>
            </w:r>
          </w:p>
        </w:tc>
      </w:tr>
      <w:tr>
        <w:trPr>
          <w:tblHeader w:val="false"/>
        </w:trPr>
        <w:tc>
          <w:tcPr>
            <w:tcW w:type="dxa" w:w="3400"/>
            <w:shd w:fill="FFFFFF" w:color="auto" w:val="clear"/>
            <w:tcMar>
              <w:top w:type="dxa" w:w="55"/>
              <w:left w:type="dxa" w:w="110"/>
              <w:bottom w:type="dxa" w:w="55"/>
              <w:right w:type="dxa" w:w="110"/>
            </w:tcMar>
          </w:tcPr>
          <w:p>
            <w:pPr>
              <w:spacing w:after="0" w:line="232"/>
              <w:jc w:val="left"/>
            </w:pPr>
            <w:r>
              <w:rPr>
                <w:rFonts w:ascii="Calibri" w:cs="Calibri" w:eastAsia="Calibri" w:hAnsi="Calibri"/>
                <w:b/>
                <w:bCs/>
                <w:color w:val="003B71"/>
                <w:sz w:val="16"/>
                <w:szCs w:val="16"/>
              </w:rPr>
              <w:t xml:space="preserve">AI_COLUMN_PREFIX</w:t>
            </w:r>
          </w:p>
        </w:tc>
        <w:tc>
          <w:tcPr>
            <w:tcW w:type="dxa" w:w="26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ai_</w:t>
            </w:r>
          </w:p>
        </w:tc>
        <w:tc>
          <w:tcPr>
            <w:tcW w:type="dxa" w:w="37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Préfixe des colonnes IA</w:t>
            </w:r>
          </w:p>
        </w:tc>
      </w:tr>
      <w:tr>
        <w:trPr>
          <w:tblHeader w:val="false"/>
        </w:trPr>
        <w:tc>
          <w:tcPr>
            <w:tcW w:type="dxa" w:w="3400"/>
            <w:shd w:fill="F5F7FA" w:color="auto" w:val="clear"/>
            <w:tcMar>
              <w:top w:type="dxa" w:w="55"/>
              <w:left w:type="dxa" w:w="110"/>
              <w:bottom w:type="dxa" w:w="55"/>
              <w:right w:type="dxa" w:w="110"/>
            </w:tcMar>
          </w:tcPr>
          <w:p>
            <w:pPr>
              <w:spacing w:after="0" w:line="232"/>
              <w:jc w:val="left"/>
            </w:pPr>
            <w:r>
              <w:rPr>
                <w:rFonts w:ascii="Calibri" w:cs="Calibri" w:eastAsia="Calibri" w:hAnsi="Calibri"/>
                <w:b/>
                <w:bCs/>
                <w:color w:val="003B71"/>
                <w:sz w:val="16"/>
                <w:szCs w:val="16"/>
              </w:rPr>
              <w:t xml:space="preserve">RESULTS_TABLE</w:t>
            </w:r>
          </w:p>
        </w:tc>
        <w:tc>
          <w:tcPr>
            <w:tcW w:type="dxa" w:w="2600"/>
            <w:shd w:fill="F5F7FA"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campaign_results</w:t>
            </w:r>
          </w:p>
        </w:tc>
        <w:tc>
          <w:tcPr>
            <w:tcW w:type="dxa" w:w="3700"/>
            <w:shd w:fill="F5F7FA"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Table des retours SwiftNova</w:t>
            </w:r>
          </w:p>
        </w:tc>
      </w:tr>
      <w:tr>
        <w:trPr>
          <w:tblHeader w:val="false"/>
        </w:trPr>
        <w:tc>
          <w:tcPr>
            <w:tcW w:type="dxa" w:w="3400"/>
            <w:shd w:fill="FFFFFF" w:color="auto" w:val="clear"/>
            <w:tcMar>
              <w:top w:type="dxa" w:w="55"/>
              <w:left w:type="dxa" w:w="110"/>
              <w:bottom w:type="dxa" w:w="55"/>
              <w:right w:type="dxa" w:w="110"/>
            </w:tcMar>
          </w:tcPr>
          <w:p>
            <w:pPr>
              <w:spacing w:after="0" w:line="232"/>
              <w:jc w:val="left"/>
            </w:pPr>
            <w:r>
              <w:rPr>
                <w:rFonts w:ascii="Calibri" w:cs="Calibri" w:eastAsia="Calibri" w:hAnsi="Calibri"/>
                <w:b/>
                <w:bCs/>
                <w:color w:val="003B71"/>
                <w:sz w:val="16"/>
                <w:szCs w:val="16"/>
              </w:rPr>
              <w:t xml:space="preserve">IDMAP_TABLE</w:t>
            </w:r>
          </w:p>
        </w:tc>
        <w:tc>
          <w:tcPr>
            <w:tcW w:type="dxa" w:w="26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id_map</w:t>
            </w:r>
          </w:p>
        </w:tc>
        <w:tc>
          <w:tcPr>
            <w:tcW w:type="dxa" w:w="37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Table de réconciliation d'identité</w:t>
            </w:r>
          </w:p>
        </w:tc>
      </w:tr>
    </w:tbl>
    <w:p>
      <w:pPr>
        <w:spacing w:after="40" w:before="220"/>
      </w:pPr>
      <w:r>
        <w:rPr>
          <w:rFonts w:ascii="Calibri" w:cs="Calibri" w:eastAsia="Calibri" w:hAnsi="Calibri"/>
          <w:b/>
          <w:bCs/>
          <w:color w:val="BD9B3C"/>
          <w:spacing w:val="30"/>
          <w:sz w:val="17"/>
          <w:szCs w:val="17"/>
        </w:rPr>
        <w:t xml:space="preserve">8 · SÉCURITÉ, PERFORMANCE &amp; EXPLOITATION</w:t>
      </w:r>
    </w:p>
    <w:p>
      <w:pPr>
        <w:pStyle w:val="ListParagraph"/>
        <w:numPr>
          <w:ilvl w:val="0"/>
          <w:numId w:val="2"/>
        </w:numPr>
        <w:spacing w:after="70" w:line="256"/>
      </w:pPr>
      <w:r>
        <w:rPr>
          <w:rFonts w:ascii="Calibri" w:cs="Calibri" w:eastAsia="Calibri" w:hAnsi="Calibri"/>
          <w:b/>
          <w:bCs/>
          <w:color w:val="003B71"/>
          <w:sz w:val="21"/>
          <w:szCs w:val="21"/>
        </w:rPr>
        <w:t xml:space="preserve">Souveraineté : </w:t>
      </w:r>
      <w:r>
        <w:rPr>
          <w:rFonts w:ascii="Calibri" w:cs="Calibri" w:eastAsia="Calibri" w:hAnsi="Calibri"/>
          <w:color w:val="47525F"/>
          <w:sz w:val="21"/>
          <w:szCs w:val="21"/>
        </w:rPr>
        <w:t xml:space="preserve">tout reste dans le SI de la banque ; aucun envoi de PII vers l'externe.</w:t>
      </w:r>
    </w:p>
    <w:p>
      <w:pPr>
        <w:pStyle w:val="ListParagraph"/>
        <w:numPr>
          <w:ilvl w:val="0"/>
          <w:numId w:val="2"/>
        </w:numPr>
        <w:spacing w:after="70" w:line="256"/>
      </w:pPr>
      <w:r>
        <w:rPr>
          <w:rFonts w:ascii="Calibri" w:cs="Calibri" w:eastAsia="Calibri" w:hAnsi="Calibri"/>
          <w:b/>
          <w:bCs/>
          <w:color w:val="003B71"/>
          <w:sz w:val="21"/>
          <w:szCs w:val="21"/>
        </w:rPr>
        <w:t xml:space="preserve">Performance : </w:t>
      </w:r>
      <w:r>
        <w:rPr>
          <w:rFonts w:ascii="Calibri" w:cs="Calibri" w:eastAsia="Calibri" w:hAnsi="Calibri"/>
          <w:color w:val="47525F"/>
          <w:sz w:val="21"/>
          <w:szCs w:val="21"/>
        </w:rPr>
        <w:t xml:space="preserve">COPY + index idx_ai_target / idx_ai_channel pour des requêtes de cible rapides ; volumétrie validée (100 k &lt; 60 s).</w:t>
      </w:r>
    </w:p>
    <w:p>
      <w:pPr>
        <w:pStyle w:val="ListParagraph"/>
        <w:numPr>
          <w:ilvl w:val="0"/>
          <w:numId w:val="2"/>
        </w:numPr>
        <w:spacing w:after="70" w:line="256"/>
      </w:pPr>
      <w:r>
        <w:rPr>
          <w:rFonts w:ascii="Calibri" w:cs="Calibri" w:eastAsia="Calibri" w:hAnsi="Calibri"/>
          <w:b/>
          <w:bCs/>
          <w:color w:val="003B71"/>
          <w:sz w:val="21"/>
          <w:szCs w:val="21"/>
        </w:rPr>
        <w:t xml:space="preserve">Ordonnancement : </w:t>
      </w:r>
      <w:r>
        <w:rPr>
          <w:rFonts w:ascii="Calibri" w:cs="Calibri" w:eastAsia="Calibri" w:hAnsi="Calibri"/>
          <w:color w:val="47525F"/>
          <w:sz w:val="21"/>
          <w:szCs w:val="21"/>
        </w:rPr>
        <w:t xml:space="preserve">batch nocturne planifié avant la fenêtre d'envoi ; supervision de la fraîcheur (ai_computed_at).</w:t>
      </w:r>
    </w:p>
    <w:p>
      <w:pPr>
        <w:pStyle w:val="ListParagraph"/>
        <w:numPr>
          <w:ilvl w:val="0"/>
          <w:numId w:val="2"/>
        </w:numPr>
        <w:spacing w:after="70" w:line="256"/>
      </w:pPr>
      <w:r>
        <w:rPr>
          <w:rFonts w:ascii="Calibri" w:cs="Calibri" w:eastAsia="Calibri" w:hAnsi="Calibri"/>
          <w:b/>
          <w:bCs/>
          <w:color w:val="003B71"/>
          <w:sz w:val="21"/>
          <w:szCs w:val="21"/>
        </w:rPr>
        <w:t xml:space="preserve">Robustesse : </w:t>
      </w:r>
      <w:r>
        <w:rPr>
          <w:rFonts w:ascii="Calibri" w:cs="Calibri" w:eastAsia="Calibri" w:hAnsi="Calibri"/>
          <w:color w:val="47525F"/>
          <w:sz w:val="21"/>
          <w:szCs w:val="21"/>
        </w:rPr>
        <w:t xml:space="preserve">chargement transactionnel, réconciliation des compteurs après run, alerting sur écart ou échec.</w:t>
      </w:r>
    </w:p>
    <w:p>
      <w:pPr>
        <w:pStyle w:val="ListParagraph"/>
        <w:numPr>
          <w:ilvl w:val="0"/>
          <w:numId w:val="2"/>
        </w:numPr>
        <w:spacing w:after="70" w:line="256"/>
      </w:pPr>
      <w:r>
        <w:rPr>
          <w:rFonts w:ascii="Calibri" w:cs="Calibri" w:eastAsia="Calibri" w:hAnsi="Calibri"/>
          <w:b/>
          <w:bCs/>
          <w:color w:val="003B71"/>
          <w:sz w:val="21"/>
          <w:szCs w:val="21"/>
        </w:rPr>
        <w:t xml:space="preserve">Traçabilité : </w:t>
      </w:r>
      <w:r>
        <w:rPr>
          <w:rFonts w:ascii="Calibri" w:cs="Calibri" w:eastAsia="Calibri" w:hAnsi="Calibri"/>
          <w:color w:val="47525F"/>
          <w:sz w:val="21"/>
          <w:szCs w:val="21"/>
        </w:rPr>
        <w:t xml:space="preserve">ai_model_version et ai_exclusion_reason pour l'audit conformité.</w:t>
      </w:r>
    </w:p>
    <w:p>
      <w:pPr>
        <w:spacing w:after="40" w:before="220"/>
      </w:pPr>
      <w:r>
        <w:rPr>
          <w:rFonts w:ascii="Calibri" w:cs="Calibri" w:eastAsia="Calibri" w:hAnsi="Calibri"/>
          <w:b/>
          <w:bCs/>
          <w:color w:val="BD9B3C"/>
          <w:spacing w:val="30"/>
          <w:sz w:val="17"/>
          <w:szCs w:val="17"/>
        </w:rPr>
        <w:t xml:space="preserve">9 · PLAN DE RECETTE</w:t>
      </w:r>
    </w:p>
    <w:tbl>
      <w:tblPr>
        <w:tblW w:type="dxa" w:w="970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4400"/>
        <w:gridCol w:w="3100"/>
      </w:tblGrid>
      <w:tr>
        <w:trPr>
          <w:tblHeader/>
        </w:trPr>
        <w:tc>
          <w:tcPr>
            <w:tcW w:type="dxa" w:w="2200"/>
            <w:shd w:fill="003B71" w:color="auto" w:val="clear"/>
            <w:tcMar>
              <w:top w:type="dxa" w:w="55"/>
              <w:left w:type="dxa" w:w="110"/>
              <w:bottom w:type="dxa" w:w="55"/>
              <w:right w:type="dxa" w:w="110"/>
            </w:tcMar>
          </w:tcPr>
          <w:p>
            <w:pPr>
              <w:spacing w:after="0" w:line="232"/>
              <w:jc w:val="left"/>
            </w:pPr>
            <w:r>
              <w:rPr>
                <w:rFonts w:ascii="Calibri" w:cs="Calibri" w:eastAsia="Calibri" w:hAnsi="Calibri"/>
                <w:b/>
                <w:bCs/>
                <w:color w:val="FFFFFF"/>
                <w:sz w:val="17"/>
                <w:szCs w:val="17"/>
              </w:rPr>
              <w:t xml:space="preserve">Niveau</w:t>
            </w:r>
          </w:p>
        </w:tc>
        <w:tc>
          <w:tcPr>
            <w:tcW w:type="dxa" w:w="4400"/>
            <w:shd w:fill="003B71" w:color="auto" w:val="clear"/>
            <w:tcMar>
              <w:top w:type="dxa" w:w="55"/>
              <w:left w:type="dxa" w:w="110"/>
              <w:bottom w:type="dxa" w:w="55"/>
              <w:right w:type="dxa" w:w="110"/>
            </w:tcMar>
          </w:tcPr>
          <w:p>
            <w:pPr>
              <w:spacing w:after="0" w:line="232"/>
              <w:jc w:val="left"/>
            </w:pPr>
            <w:r>
              <w:rPr>
                <w:rFonts w:ascii="Calibri" w:cs="Calibri" w:eastAsia="Calibri" w:hAnsi="Calibri"/>
                <w:b/>
                <w:bCs/>
                <w:color w:val="FFFFFF"/>
                <w:sz w:val="17"/>
                <w:szCs w:val="17"/>
              </w:rPr>
              <w:t xml:space="preserve">Objectif</w:t>
            </w:r>
          </w:p>
        </w:tc>
        <w:tc>
          <w:tcPr>
            <w:tcW w:type="dxa" w:w="3100"/>
            <w:shd w:fill="003B71" w:color="auto" w:val="clear"/>
            <w:tcMar>
              <w:top w:type="dxa" w:w="55"/>
              <w:left w:type="dxa" w:w="110"/>
              <w:bottom w:type="dxa" w:w="55"/>
              <w:right w:type="dxa" w:w="110"/>
            </w:tcMar>
          </w:tcPr>
          <w:p>
            <w:pPr>
              <w:spacing w:after="0" w:line="232"/>
              <w:jc w:val="left"/>
            </w:pPr>
            <w:r>
              <w:rPr>
                <w:rFonts w:ascii="Calibri" w:cs="Calibri" w:eastAsia="Calibri" w:hAnsi="Calibri"/>
                <w:b/>
                <w:bCs/>
                <w:color w:val="FFFFFF"/>
                <w:sz w:val="17"/>
                <w:szCs w:val="17"/>
              </w:rPr>
              <w:t xml:space="preserve">Critère de succès</w:t>
            </w:r>
          </w:p>
        </w:tc>
      </w:tr>
      <w:tr>
        <w:trPr>
          <w:tblHeader w:val="false"/>
        </w:trPr>
        <w:tc>
          <w:tcPr>
            <w:tcW w:type="dxa" w:w="2200"/>
            <w:shd w:fill="FFFFFF" w:color="auto" w:val="clear"/>
            <w:tcMar>
              <w:top w:type="dxa" w:w="55"/>
              <w:left w:type="dxa" w:w="110"/>
              <w:bottom w:type="dxa" w:w="55"/>
              <w:right w:type="dxa" w:w="110"/>
            </w:tcMar>
          </w:tcPr>
          <w:p>
            <w:pPr>
              <w:spacing w:after="0" w:line="232"/>
              <w:jc w:val="left"/>
            </w:pPr>
            <w:r>
              <w:rPr>
                <w:rFonts w:ascii="Calibri" w:cs="Calibri" w:eastAsia="Calibri" w:hAnsi="Calibri"/>
                <w:b/>
                <w:bCs/>
                <w:color w:val="003B71"/>
                <w:sz w:val="16"/>
                <w:szCs w:val="16"/>
              </w:rPr>
              <w:t xml:space="preserve">Unitaire</w:t>
            </w:r>
          </w:p>
        </w:tc>
        <w:tc>
          <w:tcPr>
            <w:tcW w:type="dxa" w:w="44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Le write-back produit les colonnes attendues, types conformes.</w:t>
            </w:r>
          </w:p>
        </w:tc>
        <w:tc>
          <w:tcPr>
            <w:tcW w:type="dxa" w:w="31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Schéma = spécification</w:t>
            </w:r>
          </w:p>
        </w:tc>
      </w:tr>
      <w:tr>
        <w:trPr>
          <w:tblHeader w:val="false"/>
        </w:trPr>
        <w:tc>
          <w:tcPr>
            <w:tcW w:type="dxa" w:w="2200"/>
            <w:shd w:fill="F5F7FA" w:color="auto" w:val="clear"/>
            <w:tcMar>
              <w:top w:type="dxa" w:w="55"/>
              <w:left w:type="dxa" w:w="110"/>
              <w:bottom w:type="dxa" w:w="55"/>
              <w:right w:type="dxa" w:w="110"/>
            </w:tcMar>
          </w:tcPr>
          <w:p>
            <w:pPr>
              <w:spacing w:after="0" w:line="232"/>
              <w:jc w:val="left"/>
            </w:pPr>
            <w:r>
              <w:rPr>
                <w:rFonts w:ascii="Calibri" w:cs="Calibri" w:eastAsia="Calibri" w:hAnsi="Calibri"/>
                <w:b/>
                <w:bCs/>
                <w:color w:val="003B71"/>
                <w:sz w:val="16"/>
                <w:szCs w:val="16"/>
              </w:rPr>
              <w:t xml:space="preserve">Performance</w:t>
            </w:r>
          </w:p>
        </w:tc>
        <w:tc>
          <w:tcPr>
            <w:tcW w:type="dxa" w:w="4400"/>
            <w:shd w:fill="F5F7FA"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Chargement 100 000 lignes.</w:t>
            </w:r>
          </w:p>
        </w:tc>
        <w:tc>
          <w:tcPr>
            <w:tcW w:type="dxa" w:w="3100"/>
            <w:shd w:fill="F5F7FA"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&lt; 60 secondes</w:t>
            </w:r>
          </w:p>
        </w:tc>
      </w:tr>
      <w:tr>
        <w:trPr>
          <w:tblHeader w:val="false"/>
        </w:trPr>
        <w:tc>
          <w:tcPr>
            <w:tcW w:type="dxa" w:w="2200"/>
            <w:shd w:fill="FFFFFF" w:color="auto" w:val="clear"/>
            <w:tcMar>
              <w:top w:type="dxa" w:w="55"/>
              <w:left w:type="dxa" w:w="110"/>
              <w:bottom w:type="dxa" w:w="55"/>
              <w:right w:type="dxa" w:w="110"/>
            </w:tcMar>
          </w:tcPr>
          <w:p>
            <w:pPr>
              <w:spacing w:after="0" w:line="232"/>
              <w:jc w:val="left"/>
            </w:pPr>
            <w:r>
              <w:rPr>
                <w:rFonts w:ascii="Calibri" w:cs="Calibri" w:eastAsia="Calibri" w:hAnsi="Calibri"/>
                <w:b/>
                <w:bCs/>
                <w:color w:val="003B71"/>
                <w:sz w:val="16"/>
                <w:szCs w:val="16"/>
              </w:rPr>
              <w:t xml:space="preserve">Intégration</w:t>
            </w:r>
          </w:p>
        </w:tc>
        <w:tc>
          <w:tcPr>
            <w:tcW w:type="dxa" w:w="44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Requête de cible SwiftNova renvoie la population attendue.</w:t>
            </w:r>
          </w:p>
        </w:tc>
        <w:tc>
          <w:tcPr>
            <w:tcW w:type="dxa" w:w="31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Comptages réconciliés</w:t>
            </w:r>
          </w:p>
        </w:tc>
      </w:tr>
      <w:tr>
        <w:trPr>
          <w:tblHeader w:val="false"/>
        </w:trPr>
        <w:tc>
          <w:tcPr>
            <w:tcW w:type="dxa" w:w="2200"/>
            <w:shd w:fill="F5F7FA" w:color="auto" w:val="clear"/>
            <w:tcMar>
              <w:top w:type="dxa" w:w="55"/>
              <w:left w:type="dxa" w:w="110"/>
              <w:bottom w:type="dxa" w:w="55"/>
              <w:right w:type="dxa" w:w="110"/>
            </w:tcMar>
          </w:tcPr>
          <w:p>
            <w:pPr>
              <w:spacing w:after="0" w:line="232"/>
              <w:jc w:val="left"/>
            </w:pPr>
            <w:r>
              <w:rPr>
                <w:rFonts w:ascii="Calibri" w:cs="Calibri" w:eastAsia="Calibri" w:hAnsi="Calibri"/>
                <w:b/>
                <w:bCs/>
                <w:color w:val="003B71"/>
                <w:sz w:val="16"/>
                <w:szCs w:val="16"/>
              </w:rPr>
              <w:t xml:space="preserve">Conformité</w:t>
            </w:r>
          </w:p>
        </w:tc>
        <w:tc>
          <w:tcPr>
            <w:tcW w:type="dxa" w:w="4400"/>
            <w:shd w:fill="F5F7FA"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Un client non éligible n'apparaît jamais dans une cible.</w:t>
            </w:r>
          </w:p>
        </w:tc>
        <w:tc>
          <w:tcPr>
            <w:tcW w:type="dxa" w:w="3100"/>
            <w:shd w:fill="F5F7FA"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0 exclusion violée</w:t>
            </w:r>
          </w:p>
        </w:tc>
      </w:tr>
      <w:tr>
        <w:trPr>
          <w:tblHeader w:val="false"/>
        </w:trPr>
        <w:tc>
          <w:tcPr>
            <w:tcW w:type="dxa" w:w="2200"/>
            <w:shd w:fill="FFFFFF" w:color="auto" w:val="clear"/>
            <w:tcMar>
              <w:top w:type="dxa" w:w="55"/>
              <w:left w:type="dxa" w:w="110"/>
              <w:bottom w:type="dxa" w:w="55"/>
              <w:right w:type="dxa" w:w="110"/>
            </w:tcMar>
          </w:tcPr>
          <w:p>
            <w:pPr>
              <w:spacing w:after="0" w:line="232"/>
              <w:jc w:val="left"/>
            </w:pPr>
            <w:r>
              <w:rPr>
                <w:rFonts w:ascii="Calibri" w:cs="Calibri" w:eastAsia="Calibri" w:hAnsi="Calibri"/>
                <w:b/>
                <w:bCs/>
                <w:color w:val="003B71"/>
                <w:sz w:val="16"/>
                <w:szCs w:val="16"/>
              </w:rPr>
              <w:t xml:space="preserve">Feedback</w:t>
            </w:r>
          </w:p>
        </w:tc>
        <w:tc>
          <w:tcPr>
            <w:tcW w:type="dxa" w:w="44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objectif_atteint alimente le label ; pression mise à jour.</w:t>
            </w:r>
          </w:p>
        </w:tc>
        <w:tc>
          <w:tcPr>
            <w:tcW w:type="dxa" w:w="31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Modèle réentraîné, dates fraîches</w:t>
            </w:r>
          </w:p>
        </w:tc>
      </w:tr>
      <w:tr>
        <w:trPr>
          <w:tblHeader w:val="false"/>
        </w:trPr>
        <w:tc>
          <w:tcPr>
            <w:tcW w:type="dxa" w:w="2200"/>
            <w:shd w:fill="F5F7FA" w:color="auto" w:val="clear"/>
            <w:tcMar>
              <w:top w:type="dxa" w:w="55"/>
              <w:left w:type="dxa" w:w="110"/>
              <w:bottom w:type="dxa" w:w="55"/>
              <w:right w:type="dxa" w:w="110"/>
            </w:tcMar>
          </w:tcPr>
          <w:p>
            <w:pPr>
              <w:spacing w:after="0" w:line="232"/>
              <w:jc w:val="left"/>
            </w:pPr>
            <w:r>
              <w:rPr>
                <w:rFonts w:ascii="Calibri" w:cs="Calibri" w:eastAsia="Calibri" w:hAnsi="Calibri"/>
                <w:b/>
                <w:bCs/>
                <w:color w:val="8A6F1E"/>
                <w:sz w:val="16"/>
                <w:szCs w:val="16"/>
              </w:rPr>
              <w:t xml:space="preserve">Pilote A/B</w:t>
            </w:r>
          </w:p>
        </w:tc>
        <w:tc>
          <w:tcPr>
            <w:tcW w:type="dxa" w:w="4400"/>
            <w:shd w:fill="F5F7FA"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Uplift mesuré vs campagne actuelle sur 2 produits.</w:t>
            </w:r>
          </w:p>
        </w:tc>
        <w:tc>
          <w:tcPr>
            <w:tcW w:type="dxa" w:w="3100"/>
            <w:shd w:fill="F5F7FA"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Décision go / no-go</w:t>
            </w:r>
          </w:p>
        </w:tc>
      </w:tr>
    </w:tbl>
    <w:p>
      <w:pPr>
        <w:pageBreakBefore/>
      </w:pPr>
    </w:p>
    <w:p>
      <w:pPr>
        <w:spacing w:after="40" w:before="220"/>
      </w:pPr>
      <w:r>
        <w:rPr>
          <w:rFonts w:ascii="Calibri" w:cs="Calibri" w:eastAsia="Calibri" w:hAnsi="Calibri"/>
          <w:b/>
          <w:bCs/>
          <w:color w:val="BD9B3C"/>
          <w:spacing w:val="30"/>
          <w:sz w:val="17"/>
          <w:szCs w:val="17"/>
        </w:rPr>
        <w:t xml:space="preserve">10 · APPROCHE DE MODÉLISATION — DÉMARRAGE PUIS APPRENTISSAGE</w:t>
      </w:r>
    </w:p>
    <w:p>
      <w:pPr>
        <w:spacing w:after="110" w:before="60"/>
      </w:pPr>
      <w:r>
        <w:rPr>
          <w:rFonts w:ascii="Cambria" w:cs="Cambria" w:eastAsia="Cambria" w:hAnsi="Cambria"/>
          <w:b/>
          <w:bCs/>
          <w:color w:val="003B71"/>
          <w:sz w:val="26"/>
          <w:szCs w:val="26"/>
        </w:rPr>
        <w:t xml:space="preserve">Règles d'abord, ML ensuite : le dispositif fonctionne dès le jour 1</w:t>
      </w:r>
    </w:p>
    <w:p>
      <w:pPr>
        <w:spacing w:after="110" w:line="262"/>
        <w:jc w:val="both"/>
      </w:pPr>
      <w:r>
        <w:rPr>
          <w:rFonts w:ascii="Calibri" w:cs="Calibri" w:eastAsia="Calibri" w:hAnsi="Calibri"/>
          <w:color w:val="47525F"/>
          <w:sz w:val="21"/>
          <w:szCs w:val="21"/>
        </w:rPr>
        <w:t xml:space="preserve">Deux régimes se succèdent. Au démarrage (J0), l'agent n'a encore aucun retour de campagne : le scoring s'appuie sur l'historique interne, tandis que le canal et l'heure sont déterminés par des règles. En régime établi, la boucle de feedback (campaign_results) alimente le machine learning, qui remplace progressivement les règles par des décisions mesurées.</w:t>
      </w:r>
    </w:p>
    <w:p>
      <w:pPr>
        <w:spacing w:after="50" w:before="130"/>
      </w:pPr>
      <w:r>
        <w:rPr>
          <w:rFonts w:ascii="Cambria" w:cs="Cambria" w:eastAsia="Cambria" w:hAnsi="Cambria"/>
          <w:b/>
          <w:bCs/>
          <w:color w:val="2A2F36"/>
          <w:sz w:val="21"/>
          <w:szCs w:val="21"/>
        </w:rPr>
        <w:t xml:space="preserve">Scoring (propension)</w:t>
      </w:r>
    </w:p>
    <w:p>
      <w:pPr>
        <w:spacing w:after="110" w:line="262"/>
        <w:jc w:val="both"/>
      </w:pPr>
      <w:r>
        <w:rPr>
          <w:rFonts w:ascii="Calibri" w:cs="Calibri" w:eastAsia="Calibri" w:hAnsi="Calibri"/>
          <w:color w:val="47525F"/>
          <w:sz w:val="21"/>
          <w:szCs w:val="21"/>
        </w:rPr>
        <w:t xml:space="preserve">Au démarrage : un modèle par produit est entraîné sur l'historique de détention / acquisition présent dans customer_360 (étiquette : « a souscrit ce produit », oui/non) ; à défaut d'historique exploitable, un scoring par règles expertes prend le relais temporairement. Moteur : XGBoost / LightGBM précédé du préprocesseur scikit-learn ; sortie : une probabilité 0–1 par produit → la meilleure action (NBA) est le produit au score maximal. En régime : le modèle est réentraîné sur l'atteinte de l'Objectif et les conversions.</w:t>
      </w:r>
    </w:p>
    <w:p>
      <w:pPr>
        <w:spacing w:after="50" w:before="130"/>
      </w:pPr>
      <w:r>
        <w:rPr>
          <w:rFonts w:ascii="Cambria" w:cs="Cambria" w:eastAsia="Cambria" w:hAnsi="Cambria"/>
          <w:b/>
          <w:bCs/>
          <w:color w:val="2A2F36"/>
          <w:sz w:val="21"/>
          <w:szCs w:val="21"/>
        </w:rPr>
        <w:t xml:space="preserve">Meilleur canal</w:t>
      </w:r>
    </w:p>
    <w:p>
      <w:pPr>
        <w:spacing w:after="110" w:line="262"/>
        <w:jc w:val="both"/>
      </w:pPr>
      <w:r>
        <w:rPr>
          <w:rFonts w:ascii="Calibri" w:cs="Calibri" w:eastAsia="Calibri" w:hAnsi="Calibri"/>
          <w:color w:val="47525F"/>
          <w:sz w:val="21"/>
          <w:szCs w:val="21"/>
        </w:rPr>
        <w:t xml:space="preserve">Au démarrage : décision déterministe — canal préféré du produit (ex. crédit → agence, carte → Push) croisé avec la préférence déclarée du client et la joignabilité vérifiée en temps réel (jeton Push valide ? mobile ? email ?), avec repli automatique Push → SMS → Email. En régime : la réactivité par canal (ouvertures / clics observés) affine le choix, la règle restant le filet de sécurité.</w:t>
      </w:r>
    </w:p>
    <w:p>
      <w:pPr>
        <w:spacing w:after="50" w:before="130"/>
      </w:pPr>
      <w:r>
        <w:rPr>
          <w:rFonts w:ascii="Cambria" w:cs="Cambria" w:eastAsia="Cambria" w:hAnsi="Cambria"/>
          <w:b/>
          <w:bCs/>
          <w:color w:val="2A2F36"/>
          <w:sz w:val="21"/>
          <w:szCs w:val="21"/>
        </w:rPr>
        <w:t xml:space="preserve">Heure d'envoi (Send-Time Optimization)</w:t>
      </w:r>
    </w:p>
    <w:p>
      <w:pPr>
        <w:spacing w:after="110" w:line="262"/>
        <w:jc w:val="both"/>
      </w:pPr>
      <w:r>
        <w:rPr>
          <w:rFonts w:ascii="Calibri" w:cs="Calibri" w:eastAsia="Calibri" w:hAnsi="Calibri"/>
          <w:color w:val="47525F"/>
          <w:sz w:val="21"/>
          <w:szCs w:val="21"/>
        </w:rPr>
        <w:t xml:space="preserve">Au démarrage : aucun historique d'ouverture par client → un clustering K-Means range chaque client dans un profil comportemental, et chaque profil reçoit un créneau / jour par défaut. En régime : on passe à la mesure directe — l'agent retient le créneau où l'engagement observé (par jour × créneau) est le plus fort pour ce client.</w:t>
      </w:r>
    </w:p>
    <w:tbl>
      <w:tblPr>
        <w:tblW w:type="dxa" w:w="9700"/>
        <w:tblBorders>
          <w:top w:val="single" w:color="E2E8F0" w:sz="4"/>
          <w:left w:val="single" w:color="E2E8F0" w:sz="4"/>
          <w:bottom w:val="single" w:color="E2E8F0" w:sz="4"/>
          <w:right w:val="single" w:color="E2E8F0" w:sz="4"/>
          <w:insideH w:val="single" w:color="E2E8F0" w:sz="4"/>
          <w:insideV w:val="single" w:color="E2E8F0" w:sz="4"/>
        </w:tblBorders>
      </w:tblPr>
      <w:tblGrid>
        <w:gridCol w:w="1700"/>
        <w:gridCol w:w="2900"/>
        <w:gridCol w:w="2900"/>
        <w:gridCol w:w="2200"/>
      </w:tblGrid>
      <w:tr>
        <w:trPr>
          <w:tblHeader/>
        </w:trPr>
        <w:tc>
          <w:tcPr>
            <w:tcW w:type="dxa" w:w="1700"/>
            <w:shd w:fill="003B71" w:color="auto" w:val="clear"/>
            <w:tcMar>
              <w:top w:type="dxa" w:w="55"/>
              <w:left w:type="dxa" w:w="110"/>
              <w:bottom w:type="dxa" w:w="55"/>
              <w:right w:type="dxa" w:w="110"/>
            </w:tcMar>
          </w:tcPr>
          <w:p>
            <w:pPr>
              <w:spacing w:after="0" w:line="232"/>
              <w:jc w:val="left"/>
            </w:pPr>
            <w:r>
              <w:rPr>
                <w:rFonts w:ascii="Calibri" w:cs="Calibri" w:eastAsia="Calibri" w:hAnsi="Calibri"/>
                <w:b/>
                <w:bCs/>
                <w:color w:val="FFFFFF"/>
                <w:sz w:val="17"/>
                <w:szCs w:val="17"/>
              </w:rPr>
              <w:t xml:space="preserve">Brique</w:t>
            </w:r>
          </w:p>
        </w:tc>
        <w:tc>
          <w:tcPr>
            <w:tcW w:type="dxa" w:w="2900"/>
            <w:shd w:fill="003B71" w:color="auto" w:val="clear"/>
            <w:tcMar>
              <w:top w:type="dxa" w:w="55"/>
              <w:left w:type="dxa" w:w="110"/>
              <w:bottom w:type="dxa" w:w="55"/>
              <w:right w:type="dxa" w:w="110"/>
            </w:tcMar>
          </w:tcPr>
          <w:p>
            <w:pPr>
              <w:spacing w:after="0" w:line="232"/>
              <w:jc w:val="left"/>
            </w:pPr>
            <w:r>
              <w:rPr>
                <w:rFonts w:ascii="Calibri" w:cs="Calibri" w:eastAsia="Calibri" w:hAnsi="Calibri"/>
                <w:b/>
                <w:bCs/>
                <w:color w:val="FFFFFF"/>
                <w:sz w:val="17"/>
                <w:szCs w:val="17"/>
              </w:rPr>
              <w:t xml:space="preserve">Démarrage (J0)</w:t>
            </w:r>
          </w:p>
        </w:tc>
        <w:tc>
          <w:tcPr>
            <w:tcW w:type="dxa" w:w="2900"/>
            <w:shd w:fill="003B71" w:color="auto" w:val="clear"/>
            <w:tcMar>
              <w:top w:type="dxa" w:w="55"/>
              <w:left w:type="dxa" w:w="110"/>
              <w:bottom w:type="dxa" w:w="55"/>
              <w:right w:type="dxa" w:w="110"/>
            </w:tcMar>
          </w:tcPr>
          <w:p>
            <w:pPr>
              <w:spacing w:after="0" w:line="232"/>
              <w:jc w:val="left"/>
            </w:pPr>
            <w:r>
              <w:rPr>
                <w:rFonts w:ascii="Calibri" w:cs="Calibri" w:eastAsia="Calibri" w:hAnsi="Calibri"/>
                <w:b/>
                <w:bCs/>
                <w:color w:val="FFFFFF"/>
                <w:sz w:val="17"/>
                <w:szCs w:val="17"/>
              </w:rPr>
              <w:t xml:space="preserve">Régime établi (ML)</w:t>
            </w:r>
          </w:p>
        </w:tc>
        <w:tc>
          <w:tcPr>
            <w:tcW w:type="dxa" w:w="2200"/>
            <w:shd w:fill="003B71" w:color="auto" w:val="clear"/>
            <w:tcMar>
              <w:top w:type="dxa" w:w="55"/>
              <w:left w:type="dxa" w:w="110"/>
              <w:bottom w:type="dxa" w:w="55"/>
              <w:right w:type="dxa" w:w="110"/>
            </w:tcMar>
          </w:tcPr>
          <w:p>
            <w:pPr>
              <w:spacing w:after="0" w:line="232"/>
              <w:jc w:val="left"/>
            </w:pPr>
            <w:r>
              <w:rPr>
                <w:rFonts w:ascii="Calibri" w:cs="Calibri" w:eastAsia="Calibri" w:hAnsi="Calibri"/>
                <w:b/>
                <w:bCs/>
                <w:color w:val="FFFFFF"/>
                <w:sz w:val="17"/>
                <w:szCs w:val="17"/>
              </w:rPr>
              <w:t xml:space="preserve">Base d'apprentissage</w:t>
            </w:r>
          </w:p>
        </w:tc>
      </w:tr>
      <w:tr>
        <w:trPr>
          <w:tblHeader w:val="false"/>
        </w:trPr>
        <w:tc>
          <w:tcPr>
            <w:tcW w:type="dxa" w:w="1700"/>
            <w:shd w:fill="FFFFFF" w:color="auto" w:val="clear"/>
            <w:tcMar>
              <w:top w:type="dxa" w:w="55"/>
              <w:left w:type="dxa" w:w="110"/>
              <w:bottom w:type="dxa" w:w="55"/>
              <w:right w:type="dxa" w:w="110"/>
            </w:tcMar>
          </w:tcPr>
          <w:p>
            <w:pPr>
              <w:spacing w:after="0" w:line="232"/>
              <w:jc w:val="left"/>
            </w:pPr>
            <w:r>
              <w:rPr>
                <w:rFonts w:ascii="Calibri" w:cs="Calibri" w:eastAsia="Calibri" w:hAnsi="Calibri"/>
                <w:b/>
                <w:bCs/>
                <w:color w:val="003B71"/>
                <w:sz w:val="16"/>
                <w:szCs w:val="16"/>
              </w:rPr>
              <w:t xml:space="preserve">Scoring</w:t>
            </w:r>
          </w:p>
        </w:tc>
        <w:tc>
          <w:tcPr>
            <w:tcW w:type="dxa" w:w="29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Historique de détention produits (ou règles expertes)</w:t>
            </w:r>
          </w:p>
        </w:tc>
        <w:tc>
          <w:tcPr>
            <w:tcW w:type="dxa" w:w="29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Réentraîné (XGBoost/LightGBM + SHAP)</w:t>
            </w:r>
          </w:p>
        </w:tc>
        <w:tc>
          <w:tcPr>
            <w:tcW w:type="dxa" w:w="22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Objectif atteint + conversions</w:t>
            </w:r>
          </w:p>
        </w:tc>
      </w:tr>
      <w:tr>
        <w:trPr>
          <w:tblHeader w:val="false"/>
        </w:trPr>
        <w:tc>
          <w:tcPr>
            <w:tcW w:type="dxa" w:w="1700"/>
            <w:shd w:fill="F5F7FA" w:color="auto" w:val="clear"/>
            <w:tcMar>
              <w:top w:type="dxa" w:w="55"/>
              <w:left w:type="dxa" w:w="110"/>
              <w:bottom w:type="dxa" w:w="55"/>
              <w:right w:type="dxa" w:w="110"/>
            </w:tcMar>
          </w:tcPr>
          <w:p>
            <w:pPr>
              <w:spacing w:after="0" w:line="232"/>
              <w:jc w:val="left"/>
            </w:pPr>
            <w:r>
              <w:rPr>
                <w:rFonts w:ascii="Calibri" w:cs="Calibri" w:eastAsia="Calibri" w:hAnsi="Calibri"/>
                <w:b/>
                <w:bCs/>
                <w:color w:val="003B71"/>
                <w:sz w:val="16"/>
                <w:szCs w:val="16"/>
              </w:rPr>
              <w:t xml:space="preserve">Canal</w:t>
            </w:r>
          </w:p>
        </w:tc>
        <w:tc>
          <w:tcPr>
            <w:tcW w:type="dxa" w:w="2900"/>
            <w:shd w:fill="F5F7FA"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Règles : préférence + joignabilité + fallback</w:t>
            </w:r>
          </w:p>
        </w:tc>
        <w:tc>
          <w:tcPr>
            <w:tcW w:type="dxa" w:w="2900"/>
            <w:shd w:fill="F5F7FA"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Réactivité par canal apprise</w:t>
            </w:r>
          </w:p>
        </w:tc>
        <w:tc>
          <w:tcPr>
            <w:tcW w:type="dxa" w:w="2200"/>
            <w:shd w:fill="F5F7FA"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Événements par canal</w:t>
            </w:r>
          </w:p>
        </w:tc>
      </w:tr>
      <w:tr>
        <w:trPr>
          <w:tblHeader w:val="false"/>
        </w:trPr>
        <w:tc>
          <w:tcPr>
            <w:tcW w:type="dxa" w:w="1700"/>
            <w:shd w:fill="FFFFFF" w:color="auto" w:val="clear"/>
            <w:tcMar>
              <w:top w:type="dxa" w:w="55"/>
              <w:left w:type="dxa" w:w="110"/>
              <w:bottom w:type="dxa" w:w="55"/>
              <w:right w:type="dxa" w:w="110"/>
            </w:tcMar>
          </w:tcPr>
          <w:p>
            <w:pPr>
              <w:spacing w:after="0" w:line="232"/>
              <w:jc w:val="left"/>
            </w:pPr>
            <w:r>
              <w:rPr>
                <w:rFonts w:ascii="Calibri" w:cs="Calibri" w:eastAsia="Calibri" w:hAnsi="Calibri"/>
                <w:b/>
                <w:bCs/>
                <w:color w:val="003B71"/>
                <w:sz w:val="16"/>
                <w:szCs w:val="16"/>
              </w:rPr>
              <w:t xml:space="preserve">Heure</w:t>
            </w:r>
          </w:p>
        </w:tc>
        <w:tc>
          <w:tcPr>
            <w:tcW w:type="dxa" w:w="29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K-Means → créneau par profil</w:t>
            </w:r>
          </w:p>
        </w:tc>
        <w:tc>
          <w:tcPr>
            <w:tcW w:type="dxa" w:w="29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Argmax de l'engagement observé</w:t>
            </w:r>
          </w:p>
        </w:tc>
        <w:tc>
          <w:tcPr>
            <w:tcW w:type="dxa" w:w="22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Ouvertures / clics par jour × créneau</w:t>
            </w:r>
          </w:p>
        </w:tc>
      </w:tr>
    </w:tbl>
    <w:p>
      <w:pPr>
        <w:spacing w:after="110" w:line="262"/>
        <w:jc w:val="both"/>
      </w:pPr>
      <w:r>
        <w:rPr>
          <w:rFonts w:ascii="Calibri" w:cs="Calibri" w:eastAsia="Calibri" w:hAnsi="Calibri"/>
          <w:i/>
          <w:iCs/>
          <w:color w:val="8A6F1E"/>
          <w:sz w:val="21"/>
          <w:szCs w:val="21"/>
        </w:rPr>
        <w:t xml:space="preserve">Point clé : au jour 1, le dispositif fonctionne déjà (règles + historique) ; le ML ne fait ensuite que remplacer les règles par des décisions mesurées, à mesure que les campagnes produisent des retours.</w:t>
      </w:r>
    </w:p>
    <w:p>
      <w:pPr>
        <w:pageBreakBefore/>
      </w:pPr>
    </w:p>
    <w:p>
      <w:pPr>
        <w:spacing w:after="40" w:before="220"/>
      </w:pPr>
      <w:r>
        <w:rPr>
          <w:rFonts w:ascii="Calibri" w:cs="Calibri" w:eastAsia="Calibri" w:hAnsi="Calibri"/>
          <w:b/>
          <w:bCs/>
          <w:color w:val="BD9B3C"/>
          <w:spacing w:val="30"/>
          <w:sz w:val="17"/>
          <w:szCs w:val="17"/>
        </w:rPr>
        <w:t xml:space="preserve">ANNEXE A · JUSTIFICATION DES CHOIX TECHNIQUES</w:t>
      </w:r>
    </w:p>
    <w:p>
      <w:pPr>
        <w:spacing w:after="110" w:before="60"/>
      </w:pPr>
      <w:r>
        <w:rPr>
          <w:rFonts w:ascii="Cambria" w:cs="Cambria" w:eastAsia="Cambria" w:hAnsi="Cambria"/>
          <w:b/>
          <w:bCs/>
          <w:color w:val="003B71"/>
          <w:sz w:val="26"/>
          <w:szCs w:val="26"/>
        </w:rPr>
        <w:t xml:space="preserve">Pourquoi cette pile — et comment la défendre</w:t>
      </w:r>
    </w:p>
    <w:p>
      <w:pPr>
        <w:spacing w:after="50" w:before="130"/>
      </w:pPr>
      <w:r>
        <w:rPr>
          <w:rFonts w:ascii="Cambria" w:cs="Cambria" w:eastAsia="Cambria" w:hAnsi="Cambria"/>
          <w:b/>
          <w:bCs/>
          <w:color w:val="2A2F36"/>
          <w:sz w:val="21"/>
          <w:szCs w:val="21"/>
        </w:rPr>
        <w:t xml:space="preserve">XGBoost / LightGBM (arbres de gradient boosté) pour la propension</w:t>
      </w:r>
    </w:p>
    <w:p>
      <w:pPr>
        <w:spacing w:after="110" w:line="262"/>
        <w:jc w:val="both"/>
      </w:pPr>
      <w:r>
        <w:rPr>
          <w:rFonts w:ascii="Calibri" w:cs="Calibri" w:eastAsia="Calibri" w:hAnsi="Calibri"/>
          <w:color w:val="47525F"/>
          <w:sz w:val="21"/>
          <w:szCs w:val="21"/>
        </w:rPr>
        <w:t xml:space="preserve">Sur données tabulaires — profils, montants, ratios, compteurs — les arbres de gradient boosté sont l'état de l'art : des travaux de référence largement cités (Grinsztajn et al., NeurIPS 2022 ; Shwartz-Ziv &amp; Armon, 2021) montrent qu'ils surpassent le deep learning sur ce type de données, pour un coût moindre. Ils captent automatiquement non-linéarités et interactions, résistent aux données réelles (manquantes, échelles hétérogènes, déséquilibre de classes), sont rapides à l'échelle de la base, matures en production bancaire, et — point décisif — s'expliquent nativement (SHAP).</w:t>
      </w:r>
    </w:p>
    <w:p>
      <w:pPr>
        <w:spacing w:after="110" w:line="262"/>
        <w:jc w:val="both"/>
      </w:pPr>
      <w:r>
        <w:rPr>
          <w:rFonts w:ascii="Calibri" w:cs="Calibri" w:eastAsia="Calibri" w:hAnsi="Calibri"/>
          <w:b/>
          <w:bCs/>
          <w:color w:val="8A6F1E"/>
          <w:sz w:val="21"/>
          <w:szCs w:val="21"/>
        </w:rPr>
        <w:t xml:space="preserve">À dire : </w:t>
      </w:r>
      <w:r>
        <w:rPr>
          <w:rFonts w:ascii="Calibri" w:cs="Calibri" w:eastAsia="Calibri" w:hAnsi="Calibri"/>
          <w:i/>
          <w:iCs/>
          <w:color w:val="8A6F1E"/>
          <w:sz w:val="21"/>
          <w:szCs w:val="21"/>
        </w:rPr>
        <w:t xml:space="preserve">« Standard sur données tabulaires ; le deep learning n'apporte pas de gain prouvé ici et s'audite moins bien. Nos scores restent explicables, robustes au réel et 100 % internes. »</w:t>
      </w:r>
    </w:p>
    <w:p>
      <w:pPr>
        <w:spacing w:after="50" w:before="130"/>
      </w:pPr>
      <w:r>
        <w:rPr>
          <w:rFonts w:ascii="Cambria" w:cs="Cambria" w:eastAsia="Cambria" w:hAnsi="Cambria"/>
          <w:b/>
          <w:bCs/>
          <w:color w:val="2A2F36"/>
          <w:sz w:val="21"/>
          <w:szCs w:val="21"/>
        </w:rPr>
        <w:t xml:space="preserve">Préprocesseur scikit-learn (imputation + standardisation + one-hot, en Pipeline)</w:t>
      </w:r>
    </w:p>
    <w:p>
      <w:pPr>
        <w:spacing w:after="110" w:line="262"/>
        <w:jc w:val="both"/>
      </w:pPr>
      <w:r>
        <w:rPr>
          <w:rFonts w:ascii="Calibri" w:cs="Calibri" w:eastAsia="Calibri" w:hAnsi="Calibri"/>
          <w:color w:val="47525F"/>
          <w:sz w:val="21"/>
          <w:szCs w:val="21"/>
        </w:rPr>
        <w:t xml:space="preserve">Les données réelles arrivent avec des valeurs manquantes, des échelles différentes et des variables catégorielles. Le Pipeline applique le même traitement à l'entraînement et à l'inférence (pas de fuite, pas de divergence), impute sans exclure aucun client, tolère les modalités nouvelles en production, et se sérialise avec le modèle (une seule version cohérente et rejouable).</w:t>
      </w:r>
    </w:p>
    <w:p>
      <w:pPr>
        <w:spacing w:after="110" w:line="262"/>
        <w:jc w:val="both"/>
      </w:pPr>
      <w:r>
        <w:rPr>
          <w:rFonts w:ascii="Calibri" w:cs="Calibri" w:eastAsia="Calibri" w:hAnsi="Calibri"/>
          <w:b/>
          <w:bCs/>
          <w:color w:val="8A6F1E"/>
          <w:sz w:val="21"/>
          <w:szCs w:val="21"/>
        </w:rPr>
        <w:t xml:space="preserve">À dire : </w:t>
      </w:r>
      <w:r>
        <w:rPr>
          <w:rFonts w:ascii="Calibri" w:cs="Calibri" w:eastAsia="Calibri" w:hAnsi="Calibri"/>
          <w:i/>
          <w:iCs/>
          <w:color w:val="8A6F1E"/>
          <w:sz w:val="21"/>
          <w:szCs w:val="21"/>
        </w:rPr>
        <w:t xml:space="preserve">« Cohérence entraînement/production garantie, aucune donnée perdue, versionné avec le modèle — un critère de fiabilité et d'audit, pas un confort. »</w:t>
      </w:r>
    </w:p>
    <w:p>
      <w:pPr>
        <w:spacing w:after="50" w:before="130"/>
      </w:pPr>
      <w:r>
        <w:rPr>
          <w:rFonts w:ascii="Cambria" w:cs="Cambria" w:eastAsia="Cambria" w:hAnsi="Cambria"/>
          <w:b/>
          <w:bCs/>
          <w:color w:val="2A2F36"/>
          <w:sz w:val="21"/>
          <w:szCs w:val="21"/>
        </w:rPr>
        <w:t xml:space="preserve">K-Means (démarrage à froid du Send-Time uniquement)</w:t>
      </w:r>
    </w:p>
    <w:p>
      <w:pPr>
        <w:spacing w:after="110" w:line="262"/>
        <w:jc w:val="both"/>
      </w:pPr>
      <w:r>
        <w:rPr>
          <w:rFonts w:ascii="Calibri" w:cs="Calibri" w:eastAsia="Calibri" w:hAnsi="Calibri"/>
          <w:color w:val="47525F"/>
          <w:sz w:val="21"/>
          <w:szCs w:val="21"/>
        </w:rPr>
        <w:t xml:space="preserve">K-Means n'est pas le prédicteur principal : il sert uniquement à affecter un créneau par défaut tant qu'aucun historique d'ouverture par client n'existe. Non supervisé (donc adapté à l'absence d'étiquette à J0), simple, rapide, scalable et explicable ; transitoire par conception, il est remplacé par la mesure directe dès que la donnée d'engagement arrive.</w:t>
      </w:r>
    </w:p>
    <w:p>
      <w:pPr>
        <w:spacing w:after="110" w:line="262"/>
        <w:jc w:val="both"/>
      </w:pPr>
      <w:r>
        <w:rPr>
          <w:rFonts w:ascii="Calibri" w:cs="Calibri" w:eastAsia="Calibri" w:hAnsi="Calibri"/>
          <w:b/>
          <w:bCs/>
          <w:color w:val="8A6F1E"/>
          <w:sz w:val="21"/>
          <w:szCs w:val="21"/>
        </w:rPr>
        <w:t xml:space="preserve">À dire : </w:t>
      </w:r>
      <w:r>
        <w:rPr>
          <w:rFonts w:ascii="Calibri" w:cs="Calibri" w:eastAsia="Calibri" w:hAnsi="Calibri"/>
          <w:i/>
          <w:iCs/>
          <w:color w:val="8A6F1E"/>
          <w:sz w:val="21"/>
          <w:szCs w:val="21"/>
        </w:rPr>
        <w:t xml:space="preserve">« Choix volontairement simple pour un besoin transitoire ; remplacé par la mesure réelle dès que possible. On peut même réutiliser les segments métier existants. »</w:t>
      </w:r>
    </w:p>
    <w:tbl>
      <w:tblPr>
        <w:tblW w:type="dxa" w:w="9700"/>
        <w:tblBorders>
          <w:top w:val="single" w:color="E2E8F0" w:sz="4"/>
          <w:left w:val="single" w:color="E2E8F0" w:sz="4"/>
          <w:bottom w:val="single" w:color="E2E8F0" w:sz="4"/>
          <w:right w:val="single" w:color="E2E8F0" w:sz="4"/>
          <w:insideH w:val="single" w:color="E2E8F0" w:sz="4"/>
          <w:insideV w:val="single" w:color="E2E8F0" w:sz="4"/>
        </w:tblBorders>
      </w:tblPr>
      <w:tblGrid>
        <w:gridCol w:w="2400"/>
        <w:gridCol w:w="4300"/>
        <w:gridCol w:w="3000"/>
      </w:tblGrid>
      <w:tr>
        <w:trPr>
          <w:tblHeader/>
        </w:trPr>
        <w:tc>
          <w:tcPr>
            <w:tcW w:type="dxa" w:w="2400"/>
            <w:shd w:fill="003B71" w:color="auto" w:val="clear"/>
            <w:tcMar>
              <w:top w:type="dxa" w:w="55"/>
              <w:left w:type="dxa" w:w="110"/>
              <w:bottom w:type="dxa" w:w="55"/>
              <w:right w:type="dxa" w:w="110"/>
            </w:tcMar>
          </w:tcPr>
          <w:p>
            <w:pPr>
              <w:spacing w:after="0" w:line="232"/>
              <w:jc w:val="left"/>
            </w:pPr>
            <w:r>
              <w:rPr>
                <w:rFonts w:ascii="Calibri" w:cs="Calibri" w:eastAsia="Calibri" w:hAnsi="Calibri"/>
                <w:b/>
                <w:bCs/>
                <w:color w:val="FFFFFF"/>
                <w:sz w:val="17"/>
                <w:szCs w:val="17"/>
              </w:rPr>
              <w:t xml:space="preserve">Choix technique</w:t>
            </w:r>
          </w:p>
        </w:tc>
        <w:tc>
          <w:tcPr>
            <w:tcW w:type="dxa" w:w="4300"/>
            <w:shd w:fill="003B71" w:color="auto" w:val="clear"/>
            <w:tcMar>
              <w:top w:type="dxa" w:w="55"/>
              <w:left w:type="dxa" w:w="110"/>
              <w:bottom w:type="dxa" w:w="55"/>
              <w:right w:type="dxa" w:w="110"/>
            </w:tcMar>
          </w:tcPr>
          <w:p>
            <w:pPr>
              <w:spacing w:after="0" w:line="232"/>
              <w:jc w:val="left"/>
            </w:pPr>
            <w:r>
              <w:rPr>
                <w:rFonts w:ascii="Calibri" w:cs="Calibri" w:eastAsia="Calibri" w:hAnsi="Calibri"/>
                <w:b/>
                <w:bCs/>
                <w:color w:val="FFFFFF"/>
                <w:sz w:val="17"/>
                <w:szCs w:val="17"/>
              </w:rPr>
              <w:t xml:space="preserve">Pourquoi ce choix</w:t>
            </w:r>
          </w:p>
        </w:tc>
        <w:tc>
          <w:tcPr>
            <w:tcW w:type="dxa" w:w="3000"/>
            <w:shd w:fill="003B71" w:color="auto" w:val="clear"/>
            <w:tcMar>
              <w:top w:type="dxa" w:w="55"/>
              <w:left w:type="dxa" w:w="110"/>
              <w:bottom w:type="dxa" w:w="55"/>
              <w:right w:type="dxa" w:w="110"/>
            </w:tcMar>
          </w:tcPr>
          <w:p>
            <w:pPr>
              <w:spacing w:after="0" w:line="232"/>
              <w:jc w:val="left"/>
            </w:pPr>
            <w:r>
              <w:rPr>
                <w:rFonts w:ascii="Calibri" w:cs="Calibri" w:eastAsia="Calibri" w:hAnsi="Calibri"/>
                <w:b/>
                <w:bCs/>
                <w:color w:val="FFFFFF"/>
                <w:sz w:val="17"/>
                <w:szCs w:val="17"/>
              </w:rPr>
              <w:t xml:space="preserve">Alternative écartée</w:t>
            </w:r>
          </w:p>
        </w:tc>
      </w:tr>
      <w:tr>
        <w:trPr>
          <w:tblHeader w:val="false"/>
        </w:trPr>
        <w:tc>
          <w:tcPr>
            <w:tcW w:type="dxa" w:w="2400"/>
            <w:shd w:fill="FFFFFF" w:color="auto" w:val="clear"/>
            <w:tcMar>
              <w:top w:type="dxa" w:w="55"/>
              <w:left w:type="dxa" w:w="110"/>
              <w:bottom w:type="dxa" w:w="55"/>
              <w:right w:type="dxa" w:w="110"/>
            </w:tcMar>
          </w:tcPr>
          <w:p>
            <w:pPr>
              <w:spacing w:after="0" w:line="232"/>
              <w:jc w:val="left"/>
            </w:pPr>
            <w:r>
              <w:rPr>
                <w:rFonts w:ascii="Calibri" w:cs="Calibri" w:eastAsia="Calibri" w:hAnsi="Calibri"/>
                <w:b/>
                <w:bCs/>
                <w:color w:val="003B71"/>
                <w:sz w:val="16"/>
                <w:szCs w:val="16"/>
              </w:rPr>
              <w:t xml:space="preserve">XGBoost / LightGBM</w:t>
            </w:r>
          </w:p>
        </w:tc>
        <w:tc>
          <w:tcPr>
            <w:tcW w:type="dxa" w:w="43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État de l'art sur données tabulaires ; non-linéarités &amp; interactions ; robuste (manquantes, échelles, déséquilibre) ; explicable (SHAP) ; rapide, mature, on-premise.</w:t>
            </w:r>
          </w:p>
        </w:tc>
        <w:tc>
          <w:tcPr>
            <w:tcW w:type="dxa" w:w="30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Deep learning (aucun gain prouvé, coûteux, peu explicable) ; régression logistique (linéaire → baseline) ; random forest (un cran sous le boosting).</w:t>
            </w:r>
          </w:p>
        </w:tc>
      </w:tr>
      <w:tr>
        <w:trPr>
          <w:tblHeader w:val="false"/>
        </w:trPr>
        <w:tc>
          <w:tcPr>
            <w:tcW w:type="dxa" w:w="2400"/>
            <w:shd w:fill="F5F7FA" w:color="auto" w:val="clear"/>
            <w:tcMar>
              <w:top w:type="dxa" w:w="55"/>
              <w:left w:type="dxa" w:w="110"/>
              <w:bottom w:type="dxa" w:w="55"/>
              <w:right w:type="dxa" w:w="110"/>
            </w:tcMar>
          </w:tcPr>
          <w:p>
            <w:pPr>
              <w:spacing w:after="0" w:line="232"/>
              <w:jc w:val="left"/>
            </w:pPr>
            <w:r>
              <w:rPr>
                <w:rFonts w:ascii="Calibri" w:cs="Calibri" w:eastAsia="Calibri" w:hAnsi="Calibri"/>
                <w:b/>
                <w:bCs/>
                <w:color w:val="003B71"/>
                <w:sz w:val="16"/>
                <w:szCs w:val="16"/>
              </w:rPr>
              <w:t xml:space="preserve">Préprocesseur scikit-learn (Pipeline)</w:t>
            </w:r>
          </w:p>
        </w:tc>
        <w:tc>
          <w:tcPr>
            <w:tcW w:type="dxa" w:w="4300"/>
            <w:shd w:fill="F5F7FA"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Cohérence train/prod sans fuite ; imputation (n'exclut aucun client) ; one-hot tolérant aux modalités nouvelles ; sérialisé &amp; versionné avec le modèle.</w:t>
            </w:r>
          </w:p>
        </w:tc>
        <w:tc>
          <w:tcPr>
            <w:tcW w:type="dxa" w:w="3000"/>
            <w:shd w:fill="F5F7FA"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Prétraitement SQL / maison : non reproductible, risque de divergence train/prod.</w:t>
            </w:r>
          </w:p>
        </w:tc>
      </w:tr>
      <w:tr>
        <w:trPr>
          <w:tblHeader w:val="false"/>
        </w:trPr>
        <w:tc>
          <w:tcPr>
            <w:tcW w:type="dxa" w:w="2400"/>
            <w:shd w:fill="FFFFFF" w:color="auto" w:val="clear"/>
            <w:tcMar>
              <w:top w:type="dxa" w:w="55"/>
              <w:left w:type="dxa" w:w="110"/>
              <w:bottom w:type="dxa" w:w="55"/>
              <w:right w:type="dxa" w:w="110"/>
            </w:tcMar>
          </w:tcPr>
          <w:p>
            <w:pPr>
              <w:spacing w:after="0" w:line="232"/>
              <w:jc w:val="left"/>
            </w:pPr>
            <w:r>
              <w:rPr>
                <w:rFonts w:ascii="Calibri" w:cs="Calibri" w:eastAsia="Calibri" w:hAnsi="Calibri"/>
                <w:b/>
                <w:bCs/>
                <w:color w:val="003B71"/>
                <w:sz w:val="16"/>
                <w:szCs w:val="16"/>
              </w:rPr>
              <w:t xml:space="preserve">K-Means (STO à froid)</w:t>
            </w:r>
          </w:p>
        </w:tc>
        <w:tc>
          <w:tcPr>
            <w:tcW w:type="dxa" w:w="43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Non supervisé (aucune étiquette à J0) ; simple, rapide, scalable, explicable ; transitoire (remplacé par la mesure réelle).</w:t>
            </w:r>
          </w:p>
        </w:tc>
        <w:tc>
          <w:tcPr>
            <w:tcW w:type="dxa" w:w="3000"/>
            <w:shd w:fill="FFFFFF" w:color="auto" w:val="clear"/>
            <w:tcMar>
              <w:top w:type="dxa" w:w="55"/>
              <w:left w:type="dxa" w:w="110"/>
              <w:bottom w:type="dxa" w:w="55"/>
              <w:right w:type="dxa" w:w="110"/>
            </w:tcMar>
          </w:tcPr>
          <w:p>
            <w:pPr>
              <w:spacing w:after="0" w:line="232"/>
              <w:jc w:val="left"/>
            </w:pPr>
            <w:r>
              <w:rPr>
                <w:rFonts w:ascii="Calibri" w:cs="Calibri" w:eastAsia="Calibri" w:hAnsi="Calibri"/>
                <w:color w:val="47525F"/>
                <w:sz w:val="16"/>
                <w:szCs w:val="16"/>
              </w:rPr>
              <w:t xml:space="preserve">Segments métier existants (option valable) ; DBSCAN / GMM / hiérarchique (plus lourds, gain marginal).</w:t>
            </w:r>
          </w:p>
        </w:tc>
      </w:tr>
    </w:tbl>
    <w:p>
      <w:pPr>
        <w:spacing w:after="110" w:line="262"/>
        <w:jc w:val="both"/>
      </w:pPr>
      <w:r>
        <w:rPr>
          <w:rFonts w:ascii="Calibri" w:cs="Calibri" w:eastAsia="Calibri" w:hAnsi="Calibri"/>
          <w:i/>
          <w:iCs/>
          <w:color w:val="8A6F1E"/>
          <w:sz w:val="21"/>
          <w:szCs w:val="21"/>
        </w:rPr>
        <w:t xml:space="preserve">Argument d'ensemble : la pile réunit adéquation aux données tabulaires bancaires, explicabilité, maturité et faible risque, souveraineté (open-source, on-premise) et une logique « règles d'abord, ML ensuite ». Rien d'exotique — chaque brique est un standard de l'industrie, ce qui est précisément défendable.</w:t>
      </w:r>
    </w:p>
    <w:p>
      <w:pPr>
        <w:spacing w:after="40" w:before="220"/>
      </w:pPr>
      <w:r>
        <w:rPr>
          <w:rFonts w:ascii="Calibri" w:cs="Calibri" w:eastAsia="Calibri" w:hAnsi="Calibri"/>
          <w:b/>
          <w:bCs/>
          <w:color w:val="BD9B3C"/>
          <w:spacing w:val="30"/>
          <w:sz w:val="17"/>
          <w:szCs w:val="17"/>
        </w:rPr>
        <w:t xml:space="preserve">11 · PROCHAINES ÉTAPES</w:t>
      </w:r>
    </w:p>
    <w:p>
      <w:pPr>
        <w:spacing w:after="110" w:line="262"/>
        <w:jc w:val="both"/>
      </w:pPr>
      <w:r>
        <w:rPr>
          <w:rFonts w:ascii="Calibri" w:cs="Calibri" w:eastAsia="Calibri" w:hAnsi="Calibri"/>
          <w:b/>
          <w:bCs/>
          <w:color w:val="003B71"/>
          <w:sz w:val="21"/>
          <w:szCs w:val="21"/>
        </w:rPr>
        <w:t xml:space="preserve">1. </w:t>
      </w:r>
      <w:r>
        <w:rPr>
          <w:rFonts w:ascii="Calibri" w:cs="Calibri" w:eastAsia="Calibri" w:hAnsi="Calibri"/>
          <w:color w:val="47525F"/>
          <w:sz w:val="21"/>
          <w:szCs w:val="21"/>
        </w:rPr>
        <w:t xml:space="preserve">Faire valider ce schéma et la convention de nommage par l'éditeur et la DSI.</w:t>
      </w:r>
    </w:p>
    <w:p>
      <w:pPr>
        <w:spacing w:after="110" w:line="262"/>
        <w:jc w:val="both"/>
      </w:pPr>
      <w:r>
        <w:rPr>
          <w:rFonts w:ascii="Calibri" w:cs="Calibri" w:eastAsia="Calibri" w:hAnsi="Calibri"/>
          <w:b/>
          <w:bCs/>
          <w:color w:val="003B71"/>
          <w:sz w:val="21"/>
          <w:szCs w:val="21"/>
        </w:rPr>
        <w:t xml:space="preserve">2. </w:t>
      </w:r>
      <w:r>
        <w:rPr>
          <w:rFonts w:ascii="Calibri" w:cs="Calibri" w:eastAsia="Calibri" w:hAnsi="Calibri"/>
          <w:color w:val="47525F"/>
          <w:sz w:val="21"/>
          <w:szCs w:val="21"/>
        </w:rPr>
        <w:t xml:space="preserve">Créer les tables (client_ai_scores, campaign_results, id_map) et développer le loader write-back + le lecteur de résultats.</w:t>
      </w:r>
    </w:p>
    <w:p>
      <w:pPr>
        <w:spacing w:after="110" w:line="262"/>
        <w:jc w:val="both"/>
      </w:pPr>
      <w:r>
        <w:rPr>
          <w:rFonts w:ascii="Calibri" w:cs="Calibri" w:eastAsia="Calibri" w:hAnsi="Calibri"/>
          <w:b/>
          <w:bCs/>
          <w:color w:val="003B71"/>
          <w:sz w:val="21"/>
          <w:szCs w:val="21"/>
        </w:rPr>
        <w:t xml:space="preserve">3. </w:t>
      </w:r>
      <w:r>
        <w:rPr>
          <w:rFonts w:ascii="Calibri" w:cs="Calibri" w:eastAsia="Calibri" w:hAnsi="Calibri"/>
          <w:color w:val="47525F"/>
          <w:sz w:val="21"/>
          <w:szCs w:val="21"/>
        </w:rPr>
        <w:t xml:space="preserve">Recette selon le plan ci-dessus, puis pilote A/B mesurable sur deux produits.</w:t>
      </w:r>
    </w:p>
    <w:sectPr>
      <w:headerReference w:type="default" r:id="rId7"/>
      <w:footerReference w:type="default" r:id="rId8"/>
      <w:pgSz w:w="11906" w:h="16838"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center"/>
    </w:pPr>
    <w:r>
      <w:rPr>
        <w:rFonts w:ascii="Calibri" w:cs="Calibri" w:eastAsia="Calibri" w:hAnsi="Calibri"/>
        <w:color w:val="8A95A2"/>
        <w:sz w:val="15"/>
        <w:szCs w:val="15"/>
      </w:rPr>
      <w:t xml:space="preserve">STRATAWISE AFRICA · Spécification connecteur Agent IA ↔ SwiftNova · Confidentiel · </w:t>
    </w:r>
    <w:r>
      <w:rPr>
        <w:rFonts w:ascii="Calibri" w:cs="Calibri" w:eastAsia="Calibri" w:hAnsi="Calibri"/>
        <w:color w:val="8A95A2"/>
        <w:sz w:val="15"/>
        <w:szCs w:val="15"/>
      </w:rPr>
      <w:t xml:space="preserve">p.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2573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b/>
        <w:bCs/>
        <w:color w:val="BD9B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25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a652a1e80af0c9bcf1562d9410f23c74a45ead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 technique — Connecteur Agent IA ↔ SwiftNova</dc:title>
  <dc:creator>STRATAWISE AFRICA</dc:creator>
  <cp:lastModifiedBy>Un-named</cp:lastModifiedBy>
  <cp:revision>1</cp:revision>
  <dcterms:created xsi:type="dcterms:W3CDTF">2026-08-01T06:45:08.522Z</dcterms:created>
  <dcterms:modified xsi:type="dcterms:W3CDTF">2026-08-01T06:45:08.523Z</dcterms:modified>
</cp:coreProperties>
</file>

<file path=docProps/custom.xml><?xml version="1.0" encoding="utf-8"?>
<Properties xmlns="http://schemas.openxmlformats.org/officeDocument/2006/custom-properties" xmlns:vt="http://schemas.openxmlformats.org/officeDocument/2006/docPropsVTypes"/>
</file>