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aja-y-bancos"/>
      <w:r>
        <w:t xml:space="preserve">Caja y bancos</w:t>
      </w:r>
      <w:bookmarkEnd w:id="20"/>
    </w:p>
    <w:p>
      <w:pPr>
        <w:pStyle w:val="Heading2"/>
      </w:pPr>
      <w:bookmarkStart w:id="21" w:name="conceptos-y-caracteristicas"/>
      <w:r>
        <w:t xml:space="preserve">Conceptos y caracteristicas</w:t>
      </w:r>
      <w:bookmarkEnd w:id="21"/>
    </w:p>
    <w:p>
      <w:pPr>
        <w:pStyle w:val="FirstParagraph"/>
      </w:pPr>
      <w:r>
        <w:t xml:space="preserve">El rubro</w:t>
      </w:r>
      <w:r>
        <w:t xml:space="preserve"> </w:t>
      </w:r>
      <w:r>
        <w:rPr>
          <w:b/>
        </w:rPr>
        <w:t xml:space="preserve">Caja y bancos</w:t>
      </w:r>
      <w:r>
        <w:t xml:space="preserve"> </w:t>
      </w:r>
      <w:r>
        <w:t xml:space="preserve">representa a aquellos activos de la empresa que permiten hacer pagos, tienen poder cancelatorio ilimitado y liquidez ilimitada, no quedando su aceptacion en manos del acreedor.</w:t>
      </w:r>
    </w:p>
    <w:p>
      <w:pPr>
        <w:pStyle w:val="BodyText"/>
      </w:pPr>
      <w:r>
        <w:t xml:space="preserve">Se incluyen dentro del rubro el efectivo, los saldos en cuentas corrientes bancarias y cajas de ahorro, y aquellos elementos que posean dichas caracteristicas, tales como los valores a depositar, los fondos fijos, los valores al cobro, y los giros bancarios a la vista.</w:t>
      </w:r>
    </w:p>
    <w:p>
      <w:pPr>
        <w:pStyle w:val="Heading2"/>
      </w:pPr>
      <w:bookmarkStart w:id="22" w:name="criterios-de-medicion"/>
      <w:r>
        <w:t xml:space="preserve">Criterios de medicion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Saldos en moneda de curso legal:</w:t>
      </w:r>
      <w:r>
        <w:t xml:space="preserve"> </w:t>
      </w:r>
      <w:r>
        <w:t xml:space="preserve">Dichos saldos ya se encuentran valuados en la unidad de medida de los EECC, teniendo que tratarse solo aquellos valores en moneda extranjera. Para verificar dichos valores, se procede a un recuento fisico denominado</w:t>
      </w:r>
      <w:r>
        <w:t xml:space="preserve"> </w:t>
      </w:r>
      <w:r>
        <w:rPr>
          <w:b/>
        </w:rPr>
        <w:t xml:space="preserve">Arqueo,</w:t>
      </w:r>
      <w:r>
        <w:t xml:space="preserve"> </w:t>
      </w:r>
      <w:r>
        <w:t xml:space="preserve">en donde se controla el saldo contable con todos los elementos que compongan la existencia en caja, imputando las diferencias a sus correspondientes resultados. Los saldos bancarios seran conciliados mediante la</w:t>
      </w:r>
      <w:r>
        <w:t xml:space="preserve"> </w:t>
      </w:r>
      <w:r>
        <w:rPr>
          <w:b/>
        </w:rPr>
        <w:t xml:space="preserve">conciliacion bancaria,</w:t>
      </w:r>
      <w:r>
        <w:t xml:space="preserve"> </w:t>
      </w:r>
      <w:r>
        <w:t xml:space="preserve">en donde se igualan los saldos contables y bancarios de cada cuenta del ente.</w:t>
      </w:r>
    </w:p>
    <w:p>
      <w:pPr>
        <w:numPr>
          <w:numId w:val="1001"/>
          <w:ilvl w:val="0"/>
        </w:numPr>
      </w:pPr>
      <w:r>
        <w:rPr>
          <w:b/>
        </w:rPr>
        <w:t xml:space="preserve">Saldos en moneda extranjera:</w:t>
      </w:r>
      <w:r>
        <w:t xml:space="preserve"> </w:t>
      </w:r>
      <w:r>
        <w:t xml:space="preserve">Se necesita conocer el tipo de cambio vigente en todo momento, para convertir esa existencia a moneda de curso legal. Para esto, se usan dos tipos de cambio: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Comprador,</w:t>
      </w:r>
      <w:r>
        <w:t xml:space="preserve"> </w:t>
      </w:r>
      <w:r>
        <w:t xml:space="preserve">que es el precio que el Banco nos paga por cada divisa que vendamos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Vendedor,</w:t>
      </w:r>
      <w:r>
        <w:t xml:space="preserve"> </w:t>
      </w:r>
      <w:r>
        <w:t xml:space="preserve">que es lo que nos cobra el Banco por cada divisa comprada por el ente.</w:t>
      </w:r>
    </w:p>
    <w:p>
      <w:pPr>
        <w:pStyle w:val="FirstParagraph"/>
      </w:pPr>
      <w:r>
        <w:t xml:space="preserve">Al ingresar la moneda extranjera, puede ser</w:t>
      </w:r>
      <w:r>
        <w:t xml:space="preserve"> </w:t>
      </w:r>
      <w:r>
        <w:rPr>
          <w:b/>
        </w:rPr>
        <w:t xml:space="preserve">adquirida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entregada por alguna transaccion realizada.</w:t>
      </w:r>
      <w:r>
        <w:t xml:space="preserve"> </w:t>
      </w:r>
      <w:r>
        <w:t xml:space="preserve">En el primer caso, se valua al</w:t>
      </w:r>
      <w:r>
        <w:t xml:space="preserve"> </w:t>
      </w:r>
      <w:r>
        <w:rPr>
          <w:b/>
        </w:rPr>
        <w:t xml:space="preserve">TCV.</w:t>
      </w:r>
      <w:r>
        <w:t xml:space="preserve"> </w:t>
      </w:r>
      <w:r>
        <w:t xml:space="preserve">En el segundo, se debe</w:t>
      </w:r>
      <w:r>
        <w:t xml:space="preserve"> </w:t>
      </w:r>
      <w:r>
        <w:rPr>
          <w:b/>
        </w:rPr>
        <w:t xml:space="preserve">atender a la intencion del ente:</w:t>
      </w:r>
      <w:r>
        <w:t xml:space="preserve"> </w:t>
      </w:r>
      <w:r>
        <w:t xml:space="preserve">si decide mantenerla como inversion, se medira al</w:t>
      </w:r>
      <w:r>
        <w:t xml:space="preserve"> </w:t>
      </w:r>
      <w:r>
        <w:rPr>
          <w:b/>
        </w:rPr>
        <w:t xml:space="preserve">TCV;</w:t>
      </w:r>
      <w:r>
        <w:t xml:space="preserve"> </w:t>
      </w:r>
      <w:r>
        <w:t xml:space="preserve">en cambio, si se realizan estas operaciones con habitualidad, se medira al</w:t>
      </w:r>
      <w:r>
        <w:t xml:space="preserve"> </w:t>
      </w:r>
      <w:r>
        <w:rPr>
          <w:b/>
        </w:rPr>
        <w:t xml:space="preserve">TCC.</w:t>
      </w:r>
      <w:r>
        <w:t xml:space="preserve"> </w:t>
      </w:r>
      <w:r>
        <w:t xml:space="preserve">Al cierre de cada periodo, valuamos las existencias de moneda extranjera al</w:t>
      </w:r>
      <w:r>
        <w:t xml:space="preserve"> </w:t>
      </w:r>
      <w:r>
        <w:rPr>
          <w:b/>
        </w:rPr>
        <w:t xml:space="preserve">TCC vigente,</w:t>
      </w:r>
      <w:r>
        <w:t xml:space="preserve"> </w:t>
      </w:r>
      <w:r>
        <w:t xml:space="preserve">y la diferencia entre la medicion inicial y esta ultima sera tratada como</w:t>
      </w:r>
      <w:r>
        <w:t xml:space="preserve"> </w:t>
      </w:r>
      <w:r>
        <w:rPr>
          <w:b/>
        </w:rPr>
        <w:t xml:space="preserve">diferencia de cambio.</w:t>
      </w:r>
      <w:r>
        <w:t xml:space="preserve"> </w:t>
      </w:r>
      <w:r>
        <w:t xml:space="preserve">La RT 17 estipula esto de la siguiente manera:</w:t>
      </w:r>
    </w:p>
    <w:p>
      <w:pPr>
        <w:pStyle w:val="BlockText"/>
      </w:pPr>
      <w:r>
        <w:t xml:space="preserve">Se debe considerar la suma mas representativa para el ente, tomando el tipo de cambio que identifique de forma mas clara los efectos sobre el patrimonio del ente.</w:t>
      </w:r>
    </w:p>
    <w:p>
      <w:pPr>
        <w:pStyle w:val="Heading2"/>
      </w:pPr>
      <w:bookmarkStart w:id="23" w:name="efectos-de-la-inflacion"/>
      <w:r>
        <w:t xml:space="preserve">Efectos de la inflacion</w:t>
      </w:r>
      <w:bookmarkEnd w:id="23"/>
    </w:p>
    <w:p>
      <w:pPr>
        <w:pStyle w:val="FirstParagraph"/>
      </w:pPr>
      <w:r>
        <w:t xml:space="preserve">Las partidas representativas de las disponibilidades</w:t>
      </w:r>
      <w:r>
        <w:t xml:space="preserve"> </w:t>
      </w:r>
      <w:r>
        <w:rPr>
          <w:b/>
        </w:rPr>
        <w:t xml:space="preserve">en moneda de curso legal</w:t>
      </w:r>
      <w:r>
        <w:t xml:space="preserve"> </w:t>
      </w:r>
      <w:r>
        <w:t xml:space="preserve">estan valuadas automaticamente a su valor nominal por ser un</w:t>
      </w:r>
      <w:r>
        <w:t xml:space="preserve"> </w:t>
      </w:r>
      <w:r>
        <w:rPr>
          <w:b/>
        </w:rPr>
        <w:t xml:space="preserve">activo monetario.</w:t>
      </w:r>
      <w:r>
        <w:t xml:space="preserve"> </w:t>
      </w:r>
      <w:r>
        <w:t xml:space="preserve">El efecto de la inflacion genera una disminucion del poder de compra de dichos activos, dando un resultado por exposicion a la inflacion, o RECPAM. La</w:t>
      </w:r>
      <w:r>
        <w:t xml:space="preserve"> </w:t>
      </w:r>
      <w:r>
        <w:rPr>
          <w:b/>
        </w:rPr>
        <w:t xml:space="preserve">moneda extranjera,</w:t>
      </w:r>
      <w:r>
        <w:t xml:space="preserve"> </w:t>
      </w:r>
      <w:r>
        <w:t xml:space="preserve">en cambio, es un</w:t>
      </w:r>
      <w:r>
        <w:t xml:space="preserve"> </w:t>
      </w:r>
      <w:r>
        <w:rPr>
          <w:b/>
        </w:rPr>
        <w:t xml:space="preserve">activo no monetario,</w:t>
      </w:r>
      <w:r>
        <w:t xml:space="preserve"> </w:t>
      </w:r>
      <w:r>
        <w:t xml:space="preserve">por lo que su exposicion a la inflacion generara un resultado por tenencia producto de la diferencia de cambio neto de la exposicion a la inflacion por anticuacion de partidas.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2022-03-17T02:26:26Z</dcterms:created>
  <dcterms:modified xsi:type="dcterms:W3CDTF">2022-03-17T02:26:26Z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