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Name:Widya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Febianti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R.S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NIM:1412220050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Class:A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Main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Event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hardness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experienced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Lesti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Kejora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covered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own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husband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physical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injury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mental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health.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disturbed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violence.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already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owned,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women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victim.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Children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victims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mental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disturbed.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Background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Event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hardness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experienced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Lesti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Kejora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occurred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28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September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2022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01.51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WIB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early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second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Cilandak,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South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Jakarta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Previously,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South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Jakarta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Metro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examined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two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witnesses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Dangdut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singer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report,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Lesti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Kejora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domestic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violence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(KDRT)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husband,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Rizky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Billars.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"We've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checked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two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witnesses,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employees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friend,"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(Kasi)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Metro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South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Jakarta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AKP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Nurma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South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Jakarta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Metro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Police,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Jakarta,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Friday.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Nurma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added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witnesses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undergoing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cooperative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examination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providing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complete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information.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luti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today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witness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victim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reporting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Wednesday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(28/9)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case-related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Lesi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Kejora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evidence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visual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resulting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victims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victims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household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violence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(KDRT)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husband.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Source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South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Jakarta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Metro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Courtyard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(TKP)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location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occurrence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domestic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violence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(KDRT).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experienced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Lesi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Lingi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Permanant.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already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TKP,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TKP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both,"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(Kasi)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Metro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South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Jakarta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PKR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AKP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Nurma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contact,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Jakarta,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Monday.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Nurma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explained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already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climbed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celebrity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couples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located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western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cilandak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Cilandak,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South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Jakarta.</w:t>
      </w:r>
    </w:p>
    <w:p>
      <w:pPr>
        <w:spacing w:after="200" w:lineRule="auto" w:line="276"/>
        <w:jc w:val="left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291</Words>
  <Characters>1508</Characters>
  <Application>WPS Office</Application>
  <Paragraphs>16</Paragraphs>
  <CharactersWithSpaces>1785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2022-11-23T06:58:23Z</dcterms:created>
  <dc:creator>RMX3151</dc:creator>
  <lastModifiedBy>RMX3151</lastModifiedBy>
  <dcterms:modified xsi:type="dcterms:W3CDTF">2022-11-23T06:58:23Z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e211c46800504dd69c319a44966c8b24</vt:lpwstr>
  </property>
</Properties>
</file>