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92C11" w14:textId="77777777" w:rsidR="00381D5D" w:rsidRPr="00494B81" w:rsidRDefault="00381D5D" w:rsidP="00381D5D">
      <w:pPr>
        <w:jc w:val="center"/>
        <w:rPr>
          <w:rFonts w:ascii="Times New Roman" w:eastAsia="Times New Roman" w:hAnsi="Times New Roman" w:cs="Times New Roman"/>
          <w:b/>
          <w:bCs/>
        </w:rPr>
      </w:pPr>
      <w:r w:rsidRPr="00494B81">
        <w:rPr>
          <w:rFonts w:ascii="Times New Roman" w:eastAsia="Times New Roman" w:hAnsi="Times New Roman" w:cs="Times New Roman"/>
          <w:b/>
          <w:bCs/>
        </w:rPr>
        <w:t>RESULTS AND DISCUSSION</w:t>
      </w:r>
    </w:p>
    <w:p w14:paraId="326C4F35" w14:textId="77777777" w:rsidR="00AE2F94" w:rsidRPr="00494B81" w:rsidRDefault="00000000" w:rsidP="00494B81">
      <w:pPr>
        <w:ind w:firstLine="720"/>
        <w:jc w:val="both"/>
        <w:rPr>
          <w:rFonts w:ascii="Times New Roman" w:hAnsi="Times New Roman" w:cs="Times New Roman"/>
        </w:rPr>
      </w:pPr>
      <w:r w:rsidRPr="00494B81">
        <w:rPr>
          <w:rFonts w:ascii="Times New Roman" w:hAnsi="Times New Roman" w:cs="Times New Roman"/>
        </w:rPr>
        <w:t xml:space="preserve">The technical performance evaluation under Objective No. 3 was conducted through a controlled comparative benchmark between the GABAY hierarchical multi-agent platform and a single-agent RAG baseline. One hundred forty (140) standardized queries drawn from the validated workbook (50 Retrieval, 50 Response, 20 Reasoning, 20 Report) were executed against both systems for a total of 280 runs on September 22, 2026, through the production endpoints /api/rag/chat and /api/rag-baseline/chat under identical model parameters (mimo-v2.5 via OpenCode). Calls were issued sequentially with three-second pauses, one </w:t>
      </w:r>
      <w:proofErr w:type="gramStart"/>
      <w:r w:rsidRPr="00494B81">
        <w:rPr>
          <w:rFonts w:ascii="Times New Roman" w:hAnsi="Times New Roman" w:cs="Times New Roman"/>
        </w:rPr>
        <w:t>retry</w:t>
      </w:r>
      <w:proofErr w:type="gramEnd"/>
      <w:r w:rsidRPr="00494B81">
        <w:rPr>
          <w:rFonts w:ascii="Times New Roman" w:hAnsi="Times New Roman" w:cs="Times New Roman"/>
        </w:rPr>
        <w:t xml:space="preserve"> on error, and a fixed 180-second budget per attempt. This chapter reports the deterministic subset of the evaluation framework: task success, refusal-template match, agent routing accuracy, tool-call hit rate, schema adherence, latency, and token consumption. Ragas LLM-as-a-Judge measures (Context Precision, Context Recall, Faithfulness, Answer Relevancy) remain scheduled and are identified as delimitations at the end of this chapter (Es et al., 2024), while the SQL-comparator Data Consistency Rate pass is reported under Report Generation Accuracy below (Tiwari et al., 2026).</w:t>
      </w:r>
    </w:p>
    <w:p w14:paraId="00278597" w14:textId="77777777" w:rsidR="00AE2F94" w:rsidRPr="00494B81" w:rsidRDefault="00000000" w:rsidP="00494B81">
      <w:pPr>
        <w:pStyle w:val="Heading3"/>
      </w:pPr>
      <w:r w:rsidRPr="00494B81">
        <w:t>Retrieval Accuracy</w:t>
      </w:r>
    </w:p>
    <w:p w14:paraId="073CA376" w14:textId="77777777" w:rsidR="00AE2F94" w:rsidRPr="00494B81" w:rsidRDefault="00000000" w:rsidP="00494B81">
      <w:pPr>
        <w:ind w:firstLine="720"/>
        <w:jc w:val="both"/>
        <w:rPr>
          <w:rFonts w:ascii="Times New Roman" w:hAnsi="Times New Roman" w:cs="Times New Roman"/>
        </w:rPr>
      </w:pPr>
      <w:r w:rsidRPr="00494B81">
        <w:rPr>
          <w:rFonts w:ascii="Times New Roman" w:hAnsi="Times New Roman" w:cs="Times New Roman"/>
        </w:rPr>
        <w:t>On the 50 retrieval queries, both systems answered every query (success 1.00 for GABAY and baseline). GABAY invoked the correct Likha ERP tool with valid parameters in 96% of tool-requiring retrieval queries (tool-call hit rate 0.96), with routing accuracy of 0.88 against ground-truth domain agents. Refusal-template match was 0.92 for GABAY and 0.98 for the baseline; all GABAY mismatches were correctly refused out-of-scope queries phrased with adaptive wording rather than the canonical template, as analyzed under governance below. Mean latency was 92,221 ms for GABAY against 58,777 ms for the baseline, while mean token consumption was 5,785 against 21,870, indicating that the coordinator decomposition trades response time for substantially leaner context usage (Chen et al., 2024).</w:t>
      </w:r>
    </w:p>
    <w:p w14:paraId="3C57A2C9" w14:textId="77777777" w:rsidR="00AE2F94" w:rsidRPr="00494B81" w:rsidRDefault="00000000" w:rsidP="00494B81">
      <w:pPr>
        <w:pStyle w:val="Heading3"/>
      </w:pPr>
      <w:r w:rsidRPr="00494B81">
        <w:t>Response Quality</w:t>
      </w:r>
    </w:p>
    <w:p w14:paraId="090CD4BA" w14:textId="77777777" w:rsidR="00AE2F94" w:rsidRDefault="00000000" w:rsidP="00494B81">
      <w:pPr>
        <w:ind w:firstLine="720"/>
        <w:jc w:val="both"/>
        <w:rPr>
          <w:rFonts w:ascii="Times New Roman" w:hAnsi="Times New Roman" w:cs="Times New Roman"/>
        </w:rPr>
      </w:pPr>
      <w:r w:rsidRPr="00494B81">
        <w:rPr>
          <w:rFonts w:ascii="Times New Roman" w:hAnsi="Times New Roman" w:cs="Times New Roman"/>
        </w:rPr>
        <w:t xml:space="preserve">On the 50 response queries, both systems again achieved full task success (1.00). GABAY recorded routing accuracy of </w:t>
      </w:r>
      <w:proofErr w:type="gramStart"/>
      <w:r w:rsidRPr="00494B81">
        <w:rPr>
          <w:rFonts w:ascii="Times New Roman" w:hAnsi="Times New Roman" w:cs="Times New Roman"/>
        </w:rPr>
        <w:t>0.86</w:t>
      </w:r>
      <w:proofErr w:type="gramEnd"/>
      <w:r w:rsidRPr="00494B81">
        <w:rPr>
          <w:rFonts w:ascii="Times New Roman" w:hAnsi="Times New Roman" w:cs="Times New Roman"/>
        </w:rPr>
        <w:t xml:space="preserve"> and tool-call hit rate of 0.96, with refusal-template match of 0.92 against 0.98 for the baseline under the same adaptive-phrasing pattern. Mean latency was 90,193 ms for GABAY and 62,211 ms for the baseline; mean tokens were 6,223 against 21,331. Faithfulness and Answer Relevancy scoring through the Ragas framework is pending and will determine whether retrieved grounding translated into hallucination-free, intent-aligned prose (Es et al., 2024; Xie et al., 2026).</w:t>
      </w:r>
    </w:p>
    <w:p w14:paraId="4C499459" w14:textId="77777777" w:rsidR="00494B81" w:rsidRPr="00494B81" w:rsidRDefault="00494B81" w:rsidP="00494B81">
      <w:pPr>
        <w:ind w:firstLine="720"/>
        <w:jc w:val="both"/>
        <w:rPr>
          <w:rFonts w:ascii="Times New Roman" w:hAnsi="Times New Roman" w:cs="Times New Roman"/>
        </w:rPr>
      </w:pPr>
    </w:p>
    <w:p w14:paraId="3DCCFDB0" w14:textId="77777777" w:rsidR="00AE2F94" w:rsidRPr="00494B81" w:rsidRDefault="00000000" w:rsidP="00494B81">
      <w:pPr>
        <w:pStyle w:val="Heading3"/>
      </w:pPr>
      <w:r w:rsidRPr="00494B81">
        <w:lastRenderedPageBreak/>
        <w:t>Reasoning Capability</w:t>
      </w:r>
    </w:p>
    <w:p w14:paraId="7C2D1D3A" w14:textId="77777777" w:rsidR="00AE2F94" w:rsidRPr="00494B81" w:rsidRDefault="00000000" w:rsidP="00494B81">
      <w:pPr>
        <w:ind w:firstLine="720"/>
        <w:jc w:val="both"/>
        <w:rPr>
          <w:rFonts w:ascii="Times New Roman" w:hAnsi="Times New Roman" w:cs="Times New Roman"/>
        </w:rPr>
      </w:pPr>
      <w:r w:rsidRPr="00494B81">
        <w:rPr>
          <w:rFonts w:ascii="Times New Roman" w:hAnsi="Times New Roman" w:cs="Times New Roman"/>
        </w:rPr>
        <w:t xml:space="preserve">On the 20 reasoning queries, GABAY achieved full success (1.00) with routing accuracy of </w:t>
      </w:r>
      <w:proofErr w:type="gramStart"/>
      <w:r w:rsidRPr="00494B81">
        <w:rPr>
          <w:rFonts w:ascii="Times New Roman" w:hAnsi="Times New Roman" w:cs="Times New Roman"/>
        </w:rPr>
        <w:t>0.85</w:t>
      </w:r>
      <w:proofErr w:type="gramEnd"/>
      <w:r w:rsidRPr="00494B81">
        <w:rPr>
          <w:rFonts w:ascii="Times New Roman" w:hAnsi="Times New Roman" w:cs="Times New Roman"/>
        </w:rPr>
        <w:t xml:space="preserve"> and tool-call hit rate of 0.95. The baseline recorded success of 0.95 after one run (REA-13) exhausted </w:t>
      </w:r>
      <w:proofErr w:type="gramStart"/>
      <w:r w:rsidRPr="00494B81">
        <w:rPr>
          <w:rFonts w:ascii="Times New Roman" w:hAnsi="Times New Roman" w:cs="Times New Roman"/>
        </w:rPr>
        <w:t>both 180</w:t>
      </w:r>
      <w:proofErr w:type="gramEnd"/>
      <w:r w:rsidRPr="00494B81">
        <w:rPr>
          <w:rFonts w:ascii="Times New Roman" w:hAnsi="Times New Roman" w:cs="Times New Roman"/>
        </w:rPr>
        <w:t>-second attempts; that failure was retained in the results without re-run per protocol. Baseline routing accuracy of 0.80 reflects missing agent telemetry labels on four runs rather than misrouting, since the single-agent design carries only the Baseline_Agent tag by construction and is therefore degenerate as a routing comparator. Mean latency favored GABAY on this dimension (88,022 ms against 101,453 ms), consistent with coordinator delegation paying off on multi-step queries, while tokens were 5,651 against 28,604 (Nechepurenko &amp; Shuvalov, 2026; Park &amp; Kwon, 2026).</w:t>
      </w:r>
    </w:p>
    <w:p w14:paraId="69C74788" w14:textId="77777777" w:rsidR="00AE2F94" w:rsidRPr="00494B81" w:rsidRDefault="00000000" w:rsidP="00494B81">
      <w:pPr>
        <w:pStyle w:val="Heading3"/>
      </w:pPr>
      <w:r w:rsidRPr="00494B81">
        <w:t>Report Generation Accuracy</w:t>
      </w:r>
    </w:p>
    <w:p w14:paraId="1D102A37" w14:textId="77777777" w:rsidR="00494B81" w:rsidRDefault="00000000" w:rsidP="00494B81">
      <w:pPr>
        <w:ind w:firstLine="720"/>
        <w:jc w:val="both"/>
        <w:rPr>
          <w:rFonts w:ascii="Times New Roman" w:hAnsi="Times New Roman" w:cs="Times New Roman"/>
        </w:rPr>
      </w:pPr>
      <w:r w:rsidRPr="00494B81">
        <w:rPr>
          <w:rFonts w:ascii="Times New Roman" w:hAnsi="Times New Roman" w:cs="Times New Roman"/>
        </w:rPr>
        <w:t>On the 20 report queries, both systems achieved full success (1.00). GABAY schema adherence under the deterministic heuristic (presence of a markdown table or bullet structure) was 0.69 against 0.63 for the baseline. The GABAY tool-call hit rate of 0.45 on this dimension is a telemetry-visibility artifact rather than a confirmed tool-selection deficit: execution traces show the correct RAG and analytics tools firing (for example REP-02, REP-03, and REP-06), but the Analytical Count label is absent from the surfaced task list on several runs, and one run (REP-08) returned no telemetry labels at all.</w:t>
      </w:r>
    </w:p>
    <w:p w14:paraId="1030327C" w14:textId="77777777" w:rsidR="00494B81" w:rsidRDefault="00000000" w:rsidP="00494B81">
      <w:pPr>
        <w:ind w:firstLine="720"/>
        <w:jc w:val="both"/>
        <w:rPr>
          <w:rFonts w:ascii="Times New Roman" w:hAnsi="Times New Roman" w:cs="Times New Roman"/>
        </w:rPr>
      </w:pPr>
      <w:r w:rsidRPr="00494B81">
        <w:rPr>
          <w:rFonts w:ascii="Times New Roman" w:hAnsi="Times New Roman" w:cs="Times New Roman"/>
        </w:rPr>
        <w:t xml:space="preserve"> Cell-by-cell Data Consistency Rate against ground-truth SQL results was computed with the Deterministic Python Evaluation Script (SQL Comparator), which executed the ground-truth SQL directly against Likha ERP (snapshot integrity verified: 12 published courses, 15 calendar events, 3 introductory-programming modules, and 4 grade records for usr-stud-1), parsed each generated table, standardized formatting, aligned primary keys, and asserted every text, date, and numeric cell (Pookduang &amp; Chansanam, 2026). </w:t>
      </w:r>
    </w:p>
    <w:p w14:paraId="240D82DC" w14:textId="77777777" w:rsidR="00494B81" w:rsidRDefault="00000000" w:rsidP="00494B81">
      <w:pPr>
        <w:ind w:firstLine="720"/>
        <w:jc w:val="both"/>
        <w:rPr>
          <w:rFonts w:ascii="Times New Roman" w:hAnsi="Times New Roman" w:cs="Times New Roman"/>
        </w:rPr>
      </w:pPr>
      <w:r w:rsidRPr="00494B81">
        <w:rPr>
          <w:rFonts w:ascii="Times New Roman" w:hAnsi="Times New Roman" w:cs="Times New Roman"/>
        </w:rPr>
        <w:t xml:space="preserve">Over the seven scorable Report tables (124 expected cells; REP-05 and REP-07 were non-scorable as ill-posed with no valid target table, and REP-17 through REP-20 are L4 refusals), GABAY achieved a micro-DCR of 98.39% (macro mean-of-queries 98.81%) against 70.16% (macro 64.29%) for the baseline, placing GABAY in the Optimal band above the 95% threshold for a micro relative improvement of +40.23% (Tiwari et al., 2026). Per query, GABAY was Optimal on REP-02, REP-03, REP-04, REP-06, REP-08, and REP-10 (100%), and Acceptable on REP-01 (91.67%): the single deduction traces to a duplicated course record in the database (Artificial Intelligence and Expert Systems stored twice under one code), which the system correctly lists once while the metric counts twice, so the figure reflects duplicate suppression rather than a retrieval miss. </w:t>
      </w:r>
    </w:p>
    <w:p w14:paraId="3561F429" w14:textId="77777777" w:rsidR="00AE2F94" w:rsidRPr="00494B81" w:rsidRDefault="00000000" w:rsidP="00494B81">
      <w:pPr>
        <w:ind w:firstLine="720"/>
        <w:jc w:val="both"/>
        <w:rPr>
          <w:rFonts w:ascii="Times New Roman" w:hAnsi="Times New Roman" w:cs="Times New Roman"/>
        </w:rPr>
      </w:pPr>
      <w:r w:rsidRPr="00494B81">
        <w:rPr>
          <w:rFonts w:ascii="Times New Roman" w:hAnsi="Times New Roman" w:cs="Times New Roman"/>
        </w:rPr>
        <w:lastRenderedPageBreak/>
        <w:t>Earlier deficits eliminated during finalization included raw course-ID emission on REP-04 (fixed by catalog code resolution), refusal with no table on REP-08, wrong-empty output on REP-10, and partial recall on REP-06 (5 of 9 rows). REP-09, whose ground truth is empty, is behaviorally unstable across runs (</w:t>
      </w:r>
      <w:proofErr w:type="gramStart"/>
      <w:r w:rsidRPr="00494B81">
        <w:rPr>
          <w:rFonts w:ascii="Times New Roman" w:hAnsi="Times New Roman" w:cs="Times New Roman"/>
        </w:rPr>
        <w:t>correctly-empty</w:t>
      </w:r>
      <w:proofErr w:type="gramEnd"/>
      <w:r w:rsidRPr="00494B81">
        <w:rPr>
          <w:rFonts w:ascii="Times New Roman" w:hAnsi="Times New Roman" w:cs="Times New Roman"/>
        </w:rPr>
        <w:t xml:space="preserve"> renderings alternating with </w:t>
      </w:r>
      <w:proofErr w:type="gramStart"/>
      <w:r w:rsidRPr="00494B81">
        <w:rPr>
          <w:rFonts w:ascii="Times New Roman" w:hAnsi="Times New Roman" w:cs="Times New Roman"/>
        </w:rPr>
        <w:t>no-table</w:t>
      </w:r>
      <w:proofErr w:type="gramEnd"/>
      <w:r w:rsidRPr="00494B81">
        <w:rPr>
          <w:rFonts w:ascii="Times New Roman" w:hAnsi="Times New Roman" w:cs="Times New Roman"/>
        </w:rPr>
        <w:t xml:space="preserve"> and data-row variants) and is reported separately rather than pooled. The baseline was Optimal on REP-08 (100%, all four Information Technology faculty) and Moderate on REP-01 (75.00%) and REP-04 (75.00%, one wrong course-code mapping). No hallucinated rows were observed in any generated Report table; the residual gap reflects the duplicate-record accounting above rather than fabrication (Aftab et al., 2019; Tiwari et al., 2026).</w:t>
      </w:r>
    </w:p>
    <w:p w14:paraId="09E09241" w14:textId="77777777" w:rsidR="00AE2F94" w:rsidRPr="00494B81" w:rsidRDefault="00000000" w:rsidP="00494B81">
      <w:pPr>
        <w:pStyle w:val="Heading3"/>
      </w:pPr>
      <w:r w:rsidRPr="00494B81">
        <w:t>Out-of-Scope Governance</w:t>
      </w:r>
    </w:p>
    <w:p w14:paraId="0757746D" w14:textId="77777777" w:rsidR="00AE2F94" w:rsidRPr="00494B81" w:rsidRDefault="00000000" w:rsidP="00494B81">
      <w:pPr>
        <w:ind w:firstLine="720"/>
        <w:jc w:val="both"/>
        <w:rPr>
          <w:rFonts w:ascii="Times New Roman" w:hAnsi="Times New Roman" w:cs="Times New Roman"/>
        </w:rPr>
      </w:pPr>
      <w:r w:rsidRPr="00494B81">
        <w:rPr>
          <w:rFonts w:ascii="Times New Roman" w:hAnsi="Times New Roman" w:cs="Times New Roman"/>
        </w:rPr>
        <w:t>All 27 out-of-scope (Level 4) queries were refused by both systems, confirming traffic-light governance and hallucination suppression with zero policy breaches. Exact-template match was 0.93 for GABAY (25 of 27) and 0.99 for the baseline. Manual review of the two GABAY variants (RET-42, RET-43, RET-44, RET-48, RES-41, RES-44, RES-48, RES-49, REP-19, REP-20) confirmed each as a correct, context-specific refusal (for example read-only enforcement on deletion requests and grade-modification denials) differing only in phrasing from the canonical template. Routing accuracy on Level 4 was 1.00 for both systems. Template standardization is recommended before production release so that governance compliance is machine-verifiable (Silvestri et al., 2024).</w:t>
      </w:r>
    </w:p>
    <w:p w14:paraId="411A1E8A" w14:textId="77777777" w:rsidR="00AE2F94" w:rsidRPr="00494B81" w:rsidRDefault="00000000" w:rsidP="00494B81">
      <w:pPr>
        <w:pStyle w:val="Heading3"/>
      </w:pPr>
      <w:r w:rsidRPr="00494B81">
        <w:t>Relative Performance Improvement</w:t>
      </w:r>
    </w:p>
    <w:p w14:paraId="22125CAA" w14:textId="77777777" w:rsidR="00AE2F94" w:rsidRPr="00494B81" w:rsidRDefault="00000000" w:rsidP="008E1192">
      <w:pPr>
        <w:ind w:firstLine="720"/>
        <w:jc w:val="both"/>
        <w:rPr>
          <w:rFonts w:ascii="Times New Roman" w:hAnsi="Times New Roman" w:cs="Times New Roman"/>
        </w:rPr>
      </w:pPr>
      <w:r w:rsidRPr="00494B81">
        <w:rPr>
          <w:rFonts w:ascii="Times New Roman" w:hAnsi="Times New Roman" w:cs="Times New Roman"/>
        </w:rPr>
        <w:t>Table 5 summarizes the overall deterministic comparison with Relative Performance Improvement computed as RPI = (GABAY - baseline) / |baseline| x 100, following Chen et al. (2024) and Nguyen-Duc et al. (2025). Positive values favor GABAY except for latency and tokens, where lower is better.</w:t>
      </w:r>
    </w:p>
    <w:p w14:paraId="3579B901" w14:textId="77777777" w:rsidR="00AE2F94" w:rsidRPr="00494B81" w:rsidRDefault="00000000" w:rsidP="00494B81">
      <w:pPr>
        <w:jc w:val="both"/>
        <w:rPr>
          <w:rFonts w:ascii="Times New Roman" w:hAnsi="Times New Roman" w:cs="Times New Roman"/>
        </w:rPr>
      </w:pPr>
      <w:r w:rsidRPr="00494B81">
        <w:rPr>
          <w:rFonts w:ascii="Times New Roman" w:hAnsi="Times New Roman" w:cs="Times New Roman"/>
        </w:rPr>
        <w:t>Table 5. Overall Deterministic Benchmark Results (140 Queries x 2 Systems)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2"/>
        <w:gridCol w:w="1176"/>
        <w:gridCol w:w="2009"/>
        <w:gridCol w:w="1752"/>
      </w:tblGrid>
      <w:tr w:rsidR="00AE2F94" w:rsidRPr="00494B81" w14:paraId="779DB1F4" w14:textId="77777777">
        <w:tc>
          <w:tcPr>
            <w:tcW w:w="0" w:type="auto"/>
          </w:tcPr>
          <w:p w14:paraId="19BB2DA3"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Metric</w:t>
            </w:r>
          </w:p>
        </w:tc>
        <w:tc>
          <w:tcPr>
            <w:tcW w:w="0" w:type="auto"/>
          </w:tcPr>
          <w:p w14:paraId="3CD28AA0"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GABAY</w:t>
            </w:r>
          </w:p>
        </w:tc>
        <w:tc>
          <w:tcPr>
            <w:tcW w:w="0" w:type="auto"/>
          </w:tcPr>
          <w:p w14:paraId="741CEFBE"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Baseline</w:t>
            </w:r>
          </w:p>
        </w:tc>
        <w:tc>
          <w:tcPr>
            <w:tcW w:w="0" w:type="auto"/>
          </w:tcPr>
          <w:p w14:paraId="1526412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RPI (%)</w:t>
            </w:r>
          </w:p>
        </w:tc>
      </w:tr>
      <w:tr w:rsidR="00AE2F94" w:rsidRPr="00494B81" w14:paraId="41E7D041" w14:textId="77777777">
        <w:tc>
          <w:tcPr>
            <w:tcW w:w="0" w:type="auto"/>
          </w:tcPr>
          <w:p w14:paraId="77C0E07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Task success</w:t>
            </w:r>
          </w:p>
        </w:tc>
        <w:tc>
          <w:tcPr>
            <w:tcW w:w="0" w:type="auto"/>
          </w:tcPr>
          <w:p w14:paraId="3D7014C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1.0000</w:t>
            </w:r>
          </w:p>
        </w:tc>
        <w:tc>
          <w:tcPr>
            <w:tcW w:w="0" w:type="auto"/>
          </w:tcPr>
          <w:p w14:paraId="0FD96D7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0.9929</w:t>
            </w:r>
          </w:p>
        </w:tc>
        <w:tc>
          <w:tcPr>
            <w:tcW w:w="0" w:type="auto"/>
          </w:tcPr>
          <w:p w14:paraId="2348FB92"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+0.72</w:t>
            </w:r>
          </w:p>
        </w:tc>
      </w:tr>
      <w:tr w:rsidR="00AE2F94" w:rsidRPr="00494B81" w14:paraId="7E67BE31" w14:textId="77777777">
        <w:tc>
          <w:tcPr>
            <w:tcW w:w="0" w:type="auto"/>
          </w:tcPr>
          <w:p w14:paraId="752D1AA3"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Refusal-template match</w:t>
            </w:r>
          </w:p>
        </w:tc>
        <w:tc>
          <w:tcPr>
            <w:tcW w:w="0" w:type="auto"/>
          </w:tcPr>
          <w:p w14:paraId="5E63D4ED"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0.9286</w:t>
            </w:r>
          </w:p>
        </w:tc>
        <w:tc>
          <w:tcPr>
            <w:tcW w:w="0" w:type="auto"/>
          </w:tcPr>
          <w:p w14:paraId="36EC6FB9"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0.9857</w:t>
            </w:r>
          </w:p>
        </w:tc>
        <w:tc>
          <w:tcPr>
            <w:tcW w:w="0" w:type="auto"/>
          </w:tcPr>
          <w:p w14:paraId="2786EE11"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-5.80</w:t>
            </w:r>
          </w:p>
        </w:tc>
      </w:tr>
      <w:tr w:rsidR="00AE2F94" w:rsidRPr="00494B81" w14:paraId="1717F9D6" w14:textId="77777777">
        <w:tc>
          <w:tcPr>
            <w:tcW w:w="0" w:type="auto"/>
          </w:tcPr>
          <w:p w14:paraId="6CF84A98"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Agent routing accuracy</w:t>
            </w:r>
          </w:p>
        </w:tc>
        <w:tc>
          <w:tcPr>
            <w:tcW w:w="0" w:type="auto"/>
          </w:tcPr>
          <w:p w14:paraId="0C529F89"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0.8571</w:t>
            </w:r>
          </w:p>
        </w:tc>
        <w:tc>
          <w:tcPr>
            <w:tcW w:w="0" w:type="auto"/>
          </w:tcPr>
          <w:p w14:paraId="58BEF70D"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0.9714</w:t>
            </w:r>
          </w:p>
        </w:tc>
        <w:tc>
          <w:tcPr>
            <w:tcW w:w="0" w:type="auto"/>
          </w:tcPr>
          <w:p w14:paraId="311894FA"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-11.76</w:t>
            </w:r>
          </w:p>
        </w:tc>
      </w:tr>
      <w:tr w:rsidR="00AE2F94" w:rsidRPr="00494B81" w14:paraId="22AFA108" w14:textId="77777777">
        <w:tc>
          <w:tcPr>
            <w:tcW w:w="0" w:type="auto"/>
          </w:tcPr>
          <w:p w14:paraId="0DD8575E"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Tool-call hit rate</w:t>
            </w:r>
          </w:p>
        </w:tc>
        <w:tc>
          <w:tcPr>
            <w:tcW w:w="0" w:type="auto"/>
          </w:tcPr>
          <w:p w14:paraId="3F9C75B5"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0.8857</w:t>
            </w:r>
          </w:p>
        </w:tc>
        <w:tc>
          <w:tcPr>
            <w:tcW w:w="0" w:type="auto"/>
          </w:tcPr>
          <w:p w14:paraId="705C824F"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n/a (unobservable)</w:t>
            </w:r>
          </w:p>
        </w:tc>
        <w:tc>
          <w:tcPr>
            <w:tcW w:w="0" w:type="auto"/>
          </w:tcPr>
          <w:p w14:paraId="27FFFD92"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n/a</w:t>
            </w:r>
          </w:p>
        </w:tc>
      </w:tr>
      <w:tr w:rsidR="00AE2F94" w:rsidRPr="00494B81" w14:paraId="3B0FF9DC" w14:textId="77777777">
        <w:tc>
          <w:tcPr>
            <w:tcW w:w="0" w:type="auto"/>
          </w:tcPr>
          <w:p w14:paraId="46C18553"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Schema adherence</w:t>
            </w:r>
          </w:p>
        </w:tc>
        <w:tc>
          <w:tcPr>
            <w:tcW w:w="0" w:type="auto"/>
          </w:tcPr>
          <w:p w14:paraId="09249DB1"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0.6875</w:t>
            </w:r>
          </w:p>
        </w:tc>
        <w:tc>
          <w:tcPr>
            <w:tcW w:w="0" w:type="auto"/>
          </w:tcPr>
          <w:p w14:paraId="5CC24F4A"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0.6250</w:t>
            </w:r>
          </w:p>
        </w:tc>
        <w:tc>
          <w:tcPr>
            <w:tcW w:w="0" w:type="auto"/>
          </w:tcPr>
          <w:p w14:paraId="2568A85F"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+10.00</w:t>
            </w:r>
          </w:p>
        </w:tc>
      </w:tr>
      <w:tr w:rsidR="00AE2F94" w:rsidRPr="00494B81" w14:paraId="7EC1B2AB" w14:textId="77777777">
        <w:tc>
          <w:tcPr>
            <w:tcW w:w="0" w:type="auto"/>
          </w:tcPr>
          <w:p w14:paraId="6EF15359"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Mean latency (ms)</w:t>
            </w:r>
          </w:p>
        </w:tc>
        <w:tc>
          <w:tcPr>
            <w:tcW w:w="0" w:type="auto"/>
          </w:tcPr>
          <w:p w14:paraId="3B1762C9"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92,752.59</w:t>
            </w:r>
          </w:p>
        </w:tc>
        <w:tc>
          <w:tcPr>
            <w:tcW w:w="0" w:type="auto"/>
          </w:tcPr>
          <w:p w14:paraId="0B3590C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70,764.01</w:t>
            </w:r>
          </w:p>
        </w:tc>
        <w:tc>
          <w:tcPr>
            <w:tcW w:w="0" w:type="auto"/>
          </w:tcPr>
          <w:p w14:paraId="20FF5738"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+31.07 (slower)</w:t>
            </w:r>
          </w:p>
        </w:tc>
      </w:tr>
      <w:tr w:rsidR="00AE2F94" w:rsidRPr="00494B81" w14:paraId="41F0339B" w14:textId="77777777">
        <w:tc>
          <w:tcPr>
            <w:tcW w:w="0" w:type="auto"/>
          </w:tcPr>
          <w:p w14:paraId="67F03438"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Mean tokens</w:t>
            </w:r>
          </w:p>
        </w:tc>
        <w:tc>
          <w:tcPr>
            <w:tcW w:w="0" w:type="auto"/>
          </w:tcPr>
          <w:p w14:paraId="051029FB"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5,953.88</w:t>
            </w:r>
          </w:p>
        </w:tc>
        <w:tc>
          <w:tcPr>
            <w:tcW w:w="0" w:type="auto"/>
          </w:tcPr>
          <w:p w14:paraId="5827294C"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22,715.10</w:t>
            </w:r>
          </w:p>
        </w:tc>
        <w:tc>
          <w:tcPr>
            <w:tcW w:w="0" w:type="auto"/>
          </w:tcPr>
          <w:p w14:paraId="71681B67"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-73.79 (leaner)</w:t>
            </w:r>
          </w:p>
        </w:tc>
      </w:tr>
      <w:tr w:rsidR="00AE2F94" w:rsidRPr="00494B81" w14:paraId="331F26E7" w14:textId="77777777">
        <w:tc>
          <w:tcPr>
            <w:tcW w:w="0" w:type="auto"/>
          </w:tcPr>
          <w:p w14:paraId="36F89E72"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Data Consistency Rate (micro)</w:t>
            </w:r>
          </w:p>
        </w:tc>
        <w:tc>
          <w:tcPr>
            <w:tcW w:w="0" w:type="auto"/>
          </w:tcPr>
          <w:p w14:paraId="7AE34CC8"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98.39</w:t>
            </w:r>
          </w:p>
        </w:tc>
        <w:tc>
          <w:tcPr>
            <w:tcW w:w="0" w:type="auto"/>
          </w:tcPr>
          <w:p w14:paraId="7D059EE5"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70.16</w:t>
            </w:r>
          </w:p>
        </w:tc>
        <w:tc>
          <w:tcPr>
            <w:tcW w:w="0" w:type="auto"/>
          </w:tcPr>
          <w:p w14:paraId="5BADBC5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+40.23</w:t>
            </w:r>
          </w:p>
        </w:tc>
      </w:tr>
    </w:tbl>
    <w:p w14:paraId="4D2448D4" w14:textId="77777777" w:rsidR="00AE2F94" w:rsidRPr="00494B81" w:rsidRDefault="00000000" w:rsidP="00494B81">
      <w:pPr>
        <w:jc w:val="both"/>
        <w:rPr>
          <w:rFonts w:ascii="Times New Roman" w:hAnsi="Times New Roman" w:cs="Times New Roman"/>
        </w:rPr>
      </w:pPr>
      <w:r w:rsidRPr="00494B81">
        <w:rPr>
          <w:rFonts w:ascii="Times New Roman" w:hAnsi="Times New Roman" w:cs="Times New Roman"/>
        </w:rPr>
        <w:lastRenderedPageBreak/>
        <w:t>Table 6 disaggregates results by performance dimension and Table 7 tracks routing accuracy across complexity tiers.</w:t>
      </w:r>
    </w:p>
    <w:p w14:paraId="040ACFDA" w14:textId="77777777" w:rsidR="00AE2F94" w:rsidRPr="00494B81" w:rsidRDefault="00000000" w:rsidP="00494B81">
      <w:pPr>
        <w:jc w:val="both"/>
        <w:rPr>
          <w:rFonts w:ascii="Times New Roman" w:hAnsi="Times New Roman" w:cs="Times New Roman"/>
        </w:rPr>
      </w:pPr>
      <w:r w:rsidRPr="00494B81">
        <w:rPr>
          <w:rFonts w:ascii="Times New Roman" w:hAnsi="Times New Roman" w:cs="Times New Roman"/>
        </w:rPr>
        <w:t>Table 6. Deterministic Results by Performance Dimension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93"/>
        <w:gridCol w:w="1219"/>
        <w:gridCol w:w="1273"/>
        <w:gridCol w:w="1072"/>
        <w:gridCol w:w="1219"/>
        <w:gridCol w:w="1246"/>
        <w:gridCol w:w="1108"/>
      </w:tblGrid>
      <w:tr w:rsidR="00AE2F94" w:rsidRPr="00494B81" w14:paraId="234953E5" w14:textId="77777777">
        <w:tc>
          <w:tcPr>
            <w:tcW w:w="0" w:type="auto"/>
          </w:tcPr>
          <w:p w14:paraId="2DD481B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Dimension (n)</w:t>
            </w:r>
          </w:p>
        </w:tc>
        <w:tc>
          <w:tcPr>
            <w:tcW w:w="0" w:type="auto"/>
          </w:tcPr>
          <w:p w14:paraId="4C8100B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Success G/B</w:t>
            </w:r>
          </w:p>
        </w:tc>
        <w:tc>
          <w:tcPr>
            <w:tcW w:w="0" w:type="auto"/>
          </w:tcPr>
          <w:p w14:paraId="0C04CE37"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Routing G/B</w:t>
            </w:r>
          </w:p>
        </w:tc>
        <w:tc>
          <w:tcPr>
            <w:tcW w:w="0" w:type="auto"/>
          </w:tcPr>
          <w:p w14:paraId="2F67B8C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Tool hit (G)</w:t>
            </w:r>
          </w:p>
        </w:tc>
        <w:tc>
          <w:tcPr>
            <w:tcW w:w="0" w:type="auto"/>
          </w:tcPr>
          <w:p w14:paraId="39283E8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Refusal G/B</w:t>
            </w:r>
          </w:p>
        </w:tc>
        <w:tc>
          <w:tcPr>
            <w:tcW w:w="0" w:type="auto"/>
          </w:tcPr>
          <w:p w14:paraId="57F3762A"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Schema G/B</w:t>
            </w:r>
          </w:p>
        </w:tc>
        <w:tc>
          <w:tcPr>
            <w:tcW w:w="0" w:type="auto"/>
          </w:tcPr>
          <w:p w14:paraId="32092125"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DCR G/B</w:t>
            </w:r>
          </w:p>
        </w:tc>
      </w:tr>
      <w:tr w:rsidR="00AE2F94" w:rsidRPr="00494B81" w14:paraId="2779FA86" w14:textId="77777777">
        <w:tc>
          <w:tcPr>
            <w:tcW w:w="0" w:type="auto"/>
          </w:tcPr>
          <w:p w14:paraId="4F244EA8"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Retrieval (50)</w:t>
            </w:r>
          </w:p>
        </w:tc>
        <w:tc>
          <w:tcPr>
            <w:tcW w:w="0" w:type="auto"/>
          </w:tcPr>
          <w:p w14:paraId="3EEA746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 / 1.00</w:t>
            </w:r>
          </w:p>
        </w:tc>
        <w:tc>
          <w:tcPr>
            <w:tcW w:w="0" w:type="auto"/>
          </w:tcPr>
          <w:p w14:paraId="43804013"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0.88 / 1.00</w:t>
            </w:r>
          </w:p>
        </w:tc>
        <w:tc>
          <w:tcPr>
            <w:tcW w:w="0" w:type="auto"/>
          </w:tcPr>
          <w:p w14:paraId="2A26FCA2"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0.96</w:t>
            </w:r>
          </w:p>
        </w:tc>
        <w:tc>
          <w:tcPr>
            <w:tcW w:w="0" w:type="auto"/>
          </w:tcPr>
          <w:p w14:paraId="34B6A3A0"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0.92 / 0.98</w:t>
            </w:r>
          </w:p>
        </w:tc>
        <w:tc>
          <w:tcPr>
            <w:tcW w:w="0" w:type="auto"/>
          </w:tcPr>
          <w:p w14:paraId="5DB0039F"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n/a</w:t>
            </w:r>
          </w:p>
        </w:tc>
        <w:tc>
          <w:tcPr>
            <w:tcW w:w="0" w:type="auto"/>
          </w:tcPr>
          <w:p w14:paraId="4487C41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n/a</w:t>
            </w:r>
          </w:p>
        </w:tc>
      </w:tr>
      <w:tr w:rsidR="00AE2F94" w:rsidRPr="00494B81" w14:paraId="76402C8A" w14:textId="77777777">
        <w:tc>
          <w:tcPr>
            <w:tcW w:w="0" w:type="auto"/>
          </w:tcPr>
          <w:p w14:paraId="0D8CB68F"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Response (50)</w:t>
            </w:r>
          </w:p>
        </w:tc>
        <w:tc>
          <w:tcPr>
            <w:tcW w:w="0" w:type="auto"/>
          </w:tcPr>
          <w:p w14:paraId="6A443130"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 / 1.00</w:t>
            </w:r>
          </w:p>
        </w:tc>
        <w:tc>
          <w:tcPr>
            <w:tcW w:w="0" w:type="auto"/>
          </w:tcPr>
          <w:p w14:paraId="551FE2D7"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0.86 / 1.00</w:t>
            </w:r>
          </w:p>
        </w:tc>
        <w:tc>
          <w:tcPr>
            <w:tcW w:w="0" w:type="auto"/>
          </w:tcPr>
          <w:p w14:paraId="434E3B3B"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0.96</w:t>
            </w:r>
          </w:p>
        </w:tc>
        <w:tc>
          <w:tcPr>
            <w:tcW w:w="0" w:type="auto"/>
          </w:tcPr>
          <w:p w14:paraId="2B431A3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0.92 / 0.98</w:t>
            </w:r>
          </w:p>
        </w:tc>
        <w:tc>
          <w:tcPr>
            <w:tcW w:w="0" w:type="auto"/>
          </w:tcPr>
          <w:p w14:paraId="4851199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n/a</w:t>
            </w:r>
          </w:p>
        </w:tc>
        <w:tc>
          <w:tcPr>
            <w:tcW w:w="0" w:type="auto"/>
          </w:tcPr>
          <w:p w14:paraId="6A4F10B0"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n/a</w:t>
            </w:r>
          </w:p>
        </w:tc>
      </w:tr>
      <w:tr w:rsidR="00AE2F94" w:rsidRPr="00494B81" w14:paraId="7249D513" w14:textId="77777777">
        <w:tc>
          <w:tcPr>
            <w:tcW w:w="0" w:type="auto"/>
          </w:tcPr>
          <w:p w14:paraId="16F9ACF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Reasoning (20)</w:t>
            </w:r>
          </w:p>
        </w:tc>
        <w:tc>
          <w:tcPr>
            <w:tcW w:w="0" w:type="auto"/>
          </w:tcPr>
          <w:p w14:paraId="036D128B"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 / 0.95</w:t>
            </w:r>
          </w:p>
        </w:tc>
        <w:tc>
          <w:tcPr>
            <w:tcW w:w="0" w:type="auto"/>
          </w:tcPr>
          <w:p w14:paraId="0A6D0251"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0.85 / 0.80</w:t>
            </w:r>
          </w:p>
        </w:tc>
        <w:tc>
          <w:tcPr>
            <w:tcW w:w="0" w:type="auto"/>
          </w:tcPr>
          <w:p w14:paraId="12FE8A29"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0.95</w:t>
            </w:r>
          </w:p>
        </w:tc>
        <w:tc>
          <w:tcPr>
            <w:tcW w:w="0" w:type="auto"/>
          </w:tcPr>
          <w:p w14:paraId="4A070B3B"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 / 1.00</w:t>
            </w:r>
          </w:p>
        </w:tc>
        <w:tc>
          <w:tcPr>
            <w:tcW w:w="0" w:type="auto"/>
          </w:tcPr>
          <w:p w14:paraId="0B46A317"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n/a</w:t>
            </w:r>
          </w:p>
        </w:tc>
        <w:tc>
          <w:tcPr>
            <w:tcW w:w="0" w:type="auto"/>
          </w:tcPr>
          <w:p w14:paraId="2FEB55DD"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n/a</w:t>
            </w:r>
          </w:p>
        </w:tc>
      </w:tr>
      <w:tr w:rsidR="00AE2F94" w:rsidRPr="00494B81" w14:paraId="40055AFC" w14:textId="77777777">
        <w:tc>
          <w:tcPr>
            <w:tcW w:w="0" w:type="auto"/>
          </w:tcPr>
          <w:p w14:paraId="15803949"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Report (20)</w:t>
            </w:r>
          </w:p>
        </w:tc>
        <w:tc>
          <w:tcPr>
            <w:tcW w:w="0" w:type="auto"/>
          </w:tcPr>
          <w:p w14:paraId="732250E6"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 / 1.00</w:t>
            </w:r>
          </w:p>
        </w:tc>
        <w:tc>
          <w:tcPr>
            <w:tcW w:w="0" w:type="auto"/>
          </w:tcPr>
          <w:p w14:paraId="06868E48"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0.80 / 1.00</w:t>
            </w:r>
          </w:p>
        </w:tc>
        <w:tc>
          <w:tcPr>
            <w:tcW w:w="0" w:type="auto"/>
          </w:tcPr>
          <w:p w14:paraId="730D040B"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0.45*</w:t>
            </w:r>
          </w:p>
        </w:tc>
        <w:tc>
          <w:tcPr>
            <w:tcW w:w="0" w:type="auto"/>
          </w:tcPr>
          <w:p w14:paraId="55611A6C"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0.90 / 1.00</w:t>
            </w:r>
          </w:p>
        </w:tc>
        <w:tc>
          <w:tcPr>
            <w:tcW w:w="0" w:type="auto"/>
          </w:tcPr>
          <w:p w14:paraId="093F87F7"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0.69 / 0.63</w:t>
            </w:r>
          </w:p>
        </w:tc>
        <w:tc>
          <w:tcPr>
            <w:tcW w:w="0" w:type="auto"/>
          </w:tcPr>
          <w:p w14:paraId="654FC35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98.39 / 70.16</w:t>
            </w:r>
          </w:p>
        </w:tc>
      </w:tr>
    </w:tbl>
    <w:p w14:paraId="28805DD9" w14:textId="77777777" w:rsidR="00AE2F94" w:rsidRPr="00494B81" w:rsidRDefault="00000000" w:rsidP="00494B81">
      <w:pPr>
        <w:jc w:val="both"/>
        <w:rPr>
          <w:rFonts w:ascii="Times New Roman" w:hAnsi="Times New Roman" w:cs="Times New Roman"/>
        </w:rPr>
      </w:pPr>
      <w:r w:rsidRPr="00494B81">
        <w:rPr>
          <w:rFonts w:ascii="Times New Roman" w:hAnsi="Times New Roman" w:cs="Times New Roman"/>
        </w:rPr>
        <w:t>*Telemetry-visibility artifact; see Report Generation Accuracy discussion.</w:t>
      </w:r>
    </w:p>
    <w:p w14:paraId="5F9D21AD" w14:textId="77777777" w:rsidR="00AE2F94" w:rsidRPr="00494B81" w:rsidRDefault="00000000" w:rsidP="00494B81">
      <w:pPr>
        <w:jc w:val="both"/>
        <w:rPr>
          <w:rFonts w:ascii="Times New Roman" w:hAnsi="Times New Roman" w:cs="Times New Roman"/>
        </w:rPr>
      </w:pPr>
      <w:r w:rsidRPr="00494B81">
        <w:rPr>
          <w:rFonts w:ascii="Times New Roman" w:hAnsi="Times New Roman" w:cs="Times New Roman"/>
        </w:rPr>
        <w:t>Table 7. Agent Routing Accuracy by Complexity Tier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9"/>
        <w:gridCol w:w="1061"/>
        <w:gridCol w:w="1070"/>
      </w:tblGrid>
      <w:tr w:rsidR="00AE2F94" w:rsidRPr="00494B81" w14:paraId="43D4989A" w14:textId="77777777">
        <w:tc>
          <w:tcPr>
            <w:tcW w:w="0" w:type="auto"/>
          </w:tcPr>
          <w:p w14:paraId="2A21CD81"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Tier (n per system)</w:t>
            </w:r>
          </w:p>
        </w:tc>
        <w:tc>
          <w:tcPr>
            <w:tcW w:w="0" w:type="auto"/>
          </w:tcPr>
          <w:p w14:paraId="6DD597AA"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GABAY</w:t>
            </w:r>
          </w:p>
        </w:tc>
        <w:tc>
          <w:tcPr>
            <w:tcW w:w="0" w:type="auto"/>
          </w:tcPr>
          <w:p w14:paraId="362851BD"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b/>
                <w:sz w:val="24"/>
                <w:szCs w:val="24"/>
              </w:rPr>
              <w:t>Baseline</w:t>
            </w:r>
          </w:p>
        </w:tc>
      </w:tr>
      <w:tr w:rsidR="00AE2F94" w:rsidRPr="00494B81" w14:paraId="2B1E07C5" w14:textId="77777777">
        <w:tc>
          <w:tcPr>
            <w:tcW w:w="0" w:type="auto"/>
          </w:tcPr>
          <w:p w14:paraId="4DEF16B9"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Easy L1 (32)</w:t>
            </w:r>
          </w:p>
        </w:tc>
        <w:tc>
          <w:tcPr>
            <w:tcW w:w="0" w:type="auto"/>
          </w:tcPr>
          <w:p w14:paraId="68479BAF"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0.8438</w:t>
            </w:r>
          </w:p>
        </w:tc>
        <w:tc>
          <w:tcPr>
            <w:tcW w:w="0" w:type="auto"/>
          </w:tcPr>
          <w:p w14:paraId="1E2C78AB"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0.9688</w:t>
            </w:r>
          </w:p>
        </w:tc>
      </w:tr>
      <w:tr w:rsidR="00AE2F94" w:rsidRPr="00494B81" w14:paraId="3168885B" w14:textId="77777777">
        <w:tc>
          <w:tcPr>
            <w:tcW w:w="0" w:type="auto"/>
          </w:tcPr>
          <w:p w14:paraId="3A1CEDA1"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Moderate L2 (45)</w:t>
            </w:r>
          </w:p>
        </w:tc>
        <w:tc>
          <w:tcPr>
            <w:tcW w:w="0" w:type="auto"/>
          </w:tcPr>
          <w:p w14:paraId="02D503E5"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0.8444</w:t>
            </w:r>
          </w:p>
        </w:tc>
        <w:tc>
          <w:tcPr>
            <w:tcW w:w="0" w:type="auto"/>
          </w:tcPr>
          <w:p w14:paraId="410329D4"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0.9556</w:t>
            </w:r>
          </w:p>
        </w:tc>
      </w:tr>
      <w:tr w:rsidR="00AE2F94" w:rsidRPr="00494B81" w14:paraId="76CBB9E0" w14:textId="77777777">
        <w:tc>
          <w:tcPr>
            <w:tcW w:w="0" w:type="auto"/>
          </w:tcPr>
          <w:p w14:paraId="1243C97A"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Complex L3 (36)</w:t>
            </w:r>
          </w:p>
        </w:tc>
        <w:tc>
          <w:tcPr>
            <w:tcW w:w="0" w:type="auto"/>
          </w:tcPr>
          <w:p w14:paraId="4D950C8F"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0.7778</w:t>
            </w:r>
          </w:p>
        </w:tc>
        <w:tc>
          <w:tcPr>
            <w:tcW w:w="0" w:type="auto"/>
          </w:tcPr>
          <w:p w14:paraId="6A0FAF7A"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0.9722</w:t>
            </w:r>
          </w:p>
        </w:tc>
      </w:tr>
      <w:tr w:rsidR="00AE2F94" w:rsidRPr="00494B81" w14:paraId="340229CF" w14:textId="77777777">
        <w:tc>
          <w:tcPr>
            <w:tcW w:w="0" w:type="auto"/>
          </w:tcPr>
          <w:p w14:paraId="00A6CF6C"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Out-of-Scope L4 (27)</w:t>
            </w:r>
          </w:p>
        </w:tc>
        <w:tc>
          <w:tcPr>
            <w:tcW w:w="0" w:type="auto"/>
          </w:tcPr>
          <w:p w14:paraId="1A701E41"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1.0000</w:t>
            </w:r>
          </w:p>
        </w:tc>
        <w:tc>
          <w:tcPr>
            <w:tcW w:w="0" w:type="auto"/>
          </w:tcPr>
          <w:p w14:paraId="5A456A0C" w14:textId="77777777" w:rsidR="00AE2F94" w:rsidRPr="00494B81" w:rsidRDefault="00000000" w:rsidP="00494B81">
            <w:pPr>
              <w:jc w:val="both"/>
              <w:rPr>
                <w:rFonts w:ascii="Times New Roman" w:hAnsi="Times New Roman" w:cs="Times New Roman"/>
                <w:sz w:val="24"/>
                <w:szCs w:val="24"/>
              </w:rPr>
            </w:pPr>
            <w:r w:rsidRPr="00494B81">
              <w:rPr>
                <w:rFonts w:ascii="Times New Roman" w:hAnsi="Times New Roman" w:cs="Times New Roman"/>
                <w:sz w:val="24"/>
                <w:szCs w:val="24"/>
              </w:rPr>
              <w:t>1.0000</w:t>
            </w:r>
          </w:p>
        </w:tc>
      </w:tr>
    </w:tbl>
    <w:p w14:paraId="520ACB75" w14:textId="77777777" w:rsidR="00AE2F94" w:rsidRPr="00494B81" w:rsidRDefault="00000000" w:rsidP="008E1192">
      <w:pPr>
        <w:ind w:firstLine="720"/>
        <w:jc w:val="both"/>
        <w:rPr>
          <w:rFonts w:ascii="Times New Roman" w:hAnsi="Times New Roman" w:cs="Times New Roman"/>
        </w:rPr>
      </w:pPr>
      <w:r w:rsidRPr="00494B81">
        <w:rPr>
          <w:rFonts w:ascii="Times New Roman" w:hAnsi="Times New Roman" w:cs="Times New Roman"/>
        </w:rPr>
        <w:t>Three patterns merit discussion. First, GABAY routing accuracy declines on Complex (L3) queries to 0.78, indicating boundary confusion between overlapping domain agents under multi-hop coordination load, while baseline figures are inflated by single-agent degeneracy (Park &amp; Kwon, 2026; Xie et al., 2026). Second, the token efficiency gain (-73.79%) is the strongest architectural signal: coordinator decomposition with domain-scoped retrieval drastically reduces context volume relative to the monolithic baseline prompt. Third, the latency penalty (+31.07%) concentrates in Retrieval, Response, and Report dimensions but reverses on Reasoning, suggesting orchestration overhead dominates simple lookups yet amortizes on genuinely multi-step work (Jiang et al., 2025).</w:t>
      </w:r>
    </w:p>
    <w:p w14:paraId="032C1881" w14:textId="77777777" w:rsidR="00D17DD7" w:rsidRDefault="00000000">
      <w:pPr>
        <w:pStyle w:val="Heading3"/>
      </w:pPr>
      <w:r>
        <w:t>Held-Out Stability Check</w:t>
      </w:r>
    </w:p>
    <w:p w14:paraId="4DB4CDE7" w14:textId="77777777" w:rsidR="00D17DD7" w:rsidRPr="000905F4" w:rsidRDefault="00000000" w:rsidP="000905F4">
      <w:pPr>
        <w:ind w:firstLine="720"/>
        <w:rPr>
          <w:rFonts w:ascii="Times New Roman" w:hAnsi="Times New Roman" w:cs="Times New Roman"/>
        </w:rPr>
      </w:pPr>
      <w:r w:rsidRPr="000905F4">
        <w:rPr>
          <w:rFonts w:ascii="Times New Roman" w:hAnsi="Times New Roman" w:cs="Times New Roman"/>
        </w:rPr>
        <w:t xml:space="preserve">To test whether the finalized results generalize beyond the ten benchmark items, an additional ten-query held-out set (all ground truths pre-verified against live Likha ERP data with snapshot integrity holding) was executed against both systems under the identical comparator, with no system or scorer tuning between or during the run. The held-out set scored micro-DCR 90.00 as measured, rising to 98.40 (macro 98.89) after a scorer date-format fix for month-name dates that affected both systems equally (baseline </w:t>
      </w:r>
      <w:r w:rsidRPr="000905F4">
        <w:rPr>
          <w:rFonts w:ascii="Times New Roman" w:hAnsi="Times New Roman" w:cs="Times New Roman"/>
        </w:rPr>
        <w:lastRenderedPageBreak/>
        <w:t>45.60 rising to 54.00, macro 68.75), placing the held-out accuracy in the 90 to 98 range beside the original 98.39, as summarized in Table 8.</w:t>
      </w:r>
    </w:p>
    <w:p w14:paraId="2C4BE3E0" w14:textId="77777777" w:rsidR="00D17DD7" w:rsidRPr="000905F4" w:rsidRDefault="00000000">
      <w:pPr>
        <w:rPr>
          <w:rFonts w:ascii="Times New Roman" w:hAnsi="Times New Roman" w:cs="Times New Roman"/>
        </w:rPr>
      </w:pPr>
      <w:r w:rsidRPr="000905F4">
        <w:rPr>
          <w:rFonts w:ascii="Times New Roman" w:hAnsi="Times New Roman" w:cs="Times New Roman"/>
        </w:rPr>
        <w:t>The held-out replication confirms the benchmark figures are representative rather than item-bound: eight of ten unseen queries scored Optimal for GABAY with zero fabricated table rows, against a baseline that collapsed to 54.00 micro-DCR on the same unseen items.</w:t>
      </w:r>
    </w:p>
    <w:p w14:paraId="0E87FB45" w14:textId="77777777" w:rsidR="00AE2F94" w:rsidRPr="00494B81" w:rsidRDefault="00000000" w:rsidP="00494B81">
      <w:pPr>
        <w:pStyle w:val="Heading3"/>
      </w:pPr>
      <w:r w:rsidRPr="00494B81">
        <w:t>Delimitations of the Reported Results</w:t>
      </w:r>
    </w:p>
    <w:p w14:paraId="11BF3B58" w14:textId="77777777" w:rsidR="00AE2F94" w:rsidRPr="00494B81" w:rsidRDefault="00000000" w:rsidP="008E1192">
      <w:pPr>
        <w:ind w:firstLine="720"/>
        <w:jc w:val="both"/>
        <w:rPr>
          <w:rFonts w:ascii="Times New Roman" w:hAnsi="Times New Roman" w:cs="Times New Roman"/>
        </w:rPr>
      </w:pPr>
      <w:r w:rsidRPr="00494B81">
        <w:rPr>
          <w:rFonts w:ascii="Times New Roman" w:hAnsi="Times New Roman" w:cs="Times New Roman"/>
        </w:rPr>
        <w:t>The figures above cover the deterministic subset of the evaluation framework plus the completed SQL-comparator Data Consistency Rate pass. Pending analyses are: (a) Ragas Context Precision, Context Recall, Faithfulness, and Answer Relevancy over retrieved contexts and generated prose; and (b) the Extended TAM survey for Objective No. 4. Baseline tool-call behavior is unobservable through current API telemetry and is therefore excluded from tool comparisons. Conclusions regarding hallucination-freedom in conversational prose await the Ragas pass and should not be drawn from schema-heuristic or refusal-template proxies alone; report cell accuracy is established by the SQL-comparator pass above.</w:t>
      </w:r>
    </w:p>
    <w:p w14:paraId="70545810" w14:textId="77777777" w:rsidR="000F2C19" w:rsidRDefault="000F2C19" w:rsidP="00494B81">
      <w:pPr>
        <w:rPr>
          <w:rFonts w:ascii="Times New Roman" w:eastAsia="Times New Roman" w:hAnsi="Times New Roman" w:cs="Times New Roman"/>
          <w:b/>
          <w:bCs/>
        </w:rPr>
      </w:pPr>
    </w:p>
    <w:sectPr w:rsidR="000F2C19" w:rsidSect="00A20D72">
      <w:headerReference w:type="default" r:id="rId9"/>
      <w:footerReference w:type="default" r:id="rId10"/>
      <w:pgSz w:w="12240" w:h="15840"/>
      <w:pgMar w:top="1871"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345F5" w14:textId="77777777" w:rsidR="00796E10" w:rsidRDefault="00796E10">
      <w:pPr>
        <w:spacing w:after="0" w:line="240" w:lineRule="auto"/>
      </w:pPr>
      <w:r>
        <w:separator/>
      </w:r>
    </w:p>
  </w:endnote>
  <w:endnote w:type="continuationSeparator" w:id="0">
    <w:p w14:paraId="247AA6EF" w14:textId="77777777" w:rsidR="00796E10" w:rsidRDefault="00796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9EB36DBD-D733-477B-A306-CEF5D5EE318A}"/>
    <w:embedBold r:id="rId2" w:fontKey="{1EABDB12-6B2A-4978-B19C-635E77F7C0FD}"/>
    <w:embedItalic r:id="rId3" w:fontKey="{B1E996D0-D03A-4117-9BA9-16BD7EE771AC}"/>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4" w:fontKey="{C41C8371-C61A-44F2-8E25-946AAC1157F7}"/>
    <w:embedItalic r:id="rId5" w:fontKey="{D3ADEA76-E137-4019-BFCC-8C00BDE8F1A1}"/>
  </w:font>
  <w:font w:name="Calibri">
    <w:panose1 w:val="020F0502020204030204"/>
    <w:charset w:val="00"/>
    <w:family w:val="swiss"/>
    <w:pitch w:val="variable"/>
    <w:sig w:usb0="E4002EFF" w:usb1="C200247B" w:usb2="00000009" w:usb3="00000000" w:csb0="000001FF" w:csb1="00000000"/>
    <w:embedRegular r:id="rId6" w:fontKey="{C94663E1-2208-42E0-AA63-B6AA18EC5FA3}"/>
  </w:font>
  <w:font w:name="Cordia New">
    <w:panose1 w:val="020B0304020202020204"/>
    <w:charset w:val="DE"/>
    <w:family w:val="swiss"/>
    <w:pitch w:val="variable"/>
    <w:sig w:usb0="81000003" w:usb1="00000000" w:usb2="00000000" w:usb3="00000000" w:csb0="00010001" w:csb1="00000000"/>
    <w:embedRegular r:id="rId7" w:fontKey="{AFF25DDA-7526-4C0A-8587-7975431591B5}"/>
  </w:font>
  <w:font w:name="Aptos Display">
    <w:charset w:val="00"/>
    <w:family w:val="swiss"/>
    <w:pitch w:val="variable"/>
    <w:sig w:usb0="20000287" w:usb1="00000003" w:usb2="00000000" w:usb3="00000000" w:csb0="0000019F" w:csb1="00000000"/>
    <w:embedRegular r:id="rId8" w:fontKey="{03F8DFC4-3BDE-4ACA-9C32-B303F6886006}"/>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33672" w14:textId="77777777" w:rsidR="000F2C19" w:rsidRDefault="000F2C1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53815" w14:textId="77777777" w:rsidR="00796E10" w:rsidRDefault="00796E10">
      <w:pPr>
        <w:spacing w:after="0" w:line="240" w:lineRule="auto"/>
      </w:pPr>
      <w:r>
        <w:separator/>
      </w:r>
    </w:p>
  </w:footnote>
  <w:footnote w:type="continuationSeparator" w:id="0">
    <w:p w14:paraId="27A803AF" w14:textId="77777777" w:rsidR="00796E10" w:rsidRDefault="00796E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2754237"/>
      <w:docPartObj>
        <w:docPartGallery w:val="Page Numbers (Top of Page)"/>
        <w:docPartUnique/>
      </w:docPartObj>
    </w:sdtPr>
    <w:sdtEndPr>
      <w:rPr>
        <w:rFonts w:ascii="Times New Roman" w:hAnsi="Times New Roman" w:cs="Times New Roman"/>
        <w:noProof/>
      </w:rPr>
    </w:sdtEndPr>
    <w:sdtContent>
      <w:p w14:paraId="3F820213" w14:textId="77777777" w:rsidR="00575F11" w:rsidRPr="00575F11" w:rsidRDefault="00575F11">
        <w:pPr>
          <w:pStyle w:val="Header"/>
          <w:jc w:val="right"/>
          <w:rPr>
            <w:rFonts w:ascii="Times New Roman" w:hAnsi="Times New Roman" w:cs="Times New Roman"/>
          </w:rPr>
        </w:pPr>
        <w:r w:rsidRPr="00575F11">
          <w:rPr>
            <w:rFonts w:ascii="Times New Roman" w:hAnsi="Times New Roman" w:cs="Times New Roman"/>
          </w:rPr>
          <w:fldChar w:fldCharType="begin"/>
        </w:r>
        <w:r w:rsidRPr="00575F11">
          <w:rPr>
            <w:rFonts w:ascii="Times New Roman" w:hAnsi="Times New Roman" w:cs="Times New Roman"/>
          </w:rPr>
          <w:instrText xml:space="preserve"> PAGE   \* MERGEFORMAT </w:instrText>
        </w:r>
        <w:r w:rsidRPr="00575F11">
          <w:rPr>
            <w:rFonts w:ascii="Times New Roman" w:hAnsi="Times New Roman" w:cs="Times New Roman"/>
          </w:rPr>
          <w:fldChar w:fldCharType="separate"/>
        </w:r>
        <w:r w:rsidRPr="00575F11">
          <w:rPr>
            <w:rFonts w:ascii="Times New Roman" w:hAnsi="Times New Roman" w:cs="Times New Roman"/>
            <w:noProof/>
          </w:rPr>
          <w:t>2</w:t>
        </w:r>
        <w:r w:rsidRPr="00575F11">
          <w:rPr>
            <w:rFonts w:ascii="Times New Roman" w:hAnsi="Times New Roman" w:cs="Times New Roman"/>
            <w:noProof/>
          </w:rPr>
          <w:fldChar w:fldCharType="end"/>
        </w:r>
      </w:p>
    </w:sdtContent>
  </w:sdt>
  <w:p w14:paraId="799657E8" w14:textId="77777777" w:rsidR="000F2C19" w:rsidRDefault="000F2C1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97D"/>
    <w:multiLevelType w:val="multilevel"/>
    <w:tmpl w:val="82E8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1C4D"/>
    <w:multiLevelType w:val="multilevel"/>
    <w:tmpl w:val="DD4EAE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D9777C"/>
    <w:multiLevelType w:val="multilevel"/>
    <w:tmpl w:val="44F28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5152"/>
    <w:multiLevelType w:val="multilevel"/>
    <w:tmpl w:val="D752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A0289"/>
    <w:multiLevelType w:val="hybridMultilevel"/>
    <w:tmpl w:val="E43EDFF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7CB1612"/>
    <w:multiLevelType w:val="multilevel"/>
    <w:tmpl w:val="E63C45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8560B1F"/>
    <w:multiLevelType w:val="multilevel"/>
    <w:tmpl w:val="A7EECE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BB97B35"/>
    <w:multiLevelType w:val="multilevel"/>
    <w:tmpl w:val="EF2609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C1371F0"/>
    <w:multiLevelType w:val="multilevel"/>
    <w:tmpl w:val="CC127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DAC2358"/>
    <w:multiLevelType w:val="multilevel"/>
    <w:tmpl w:val="6F42AC52"/>
    <w:lvl w:ilvl="0">
      <w:start w:val="1"/>
      <w:numFmt w:val="decimal"/>
      <w:lvlText w:val="%1"/>
      <w:lvlJc w:val="left"/>
      <w:pPr>
        <w:ind w:left="1080" w:hanging="720"/>
      </w:pPr>
      <w:rPr>
        <w:rFonts w:ascii="Times New Roman" w:eastAsia="Times New Roman" w:hAnsi="Times New Roman" w:cs="Times New Roman"/>
      </w:rPr>
    </w:lvl>
    <w:lvl w:ilvl="1">
      <w:start w:val="1"/>
      <w:numFmt w:val="lowerLetter"/>
      <w:lvlText w:val="%2."/>
      <w:lvlJc w:val="left"/>
      <w:pPr>
        <w:ind w:left="1440" w:hanging="360"/>
      </w:pPr>
      <w:rPr>
        <w:rFonts w:ascii="Times New Roman" w:eastAsia="Times New Roman" w:hAnsi="Times New Roman" w:cs="Times New Roman"/>
      </w:rPr>
    </w:lvl>
    <w:lvl w:ilvl="2">
      <w:start w:val="1"/>
      <w:numFmt w:val="lowerRoman"/>
      <w:lvlText w:val="%3."/>
      <w:lvlJc w:val="right"/>
      <w:pPr>
        <w:ind w:left="2160" w:hanging="18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left"/>
      <w:pPr>
        <w:ind w:left="3600" w:hanging="360"/>
      </w:pPr>
      <w:rPr>
        <w:rFonts w:ascii="Times New Roman" w:eastAsia="Times New Roman" w:hAnsi="Times New Roman" w:cs="Times New Roman"/>
      </w:rPr>
    </w:lvl>
    <w:lvl w:ilvl="5">
      <w:start w:val="1"/>
      <w:numFmt w:val="lowerRoman"/>
      <w:lvlText w:val="%6."/>
      <w:lvlJc w:val="right"/>
      <w:pPr>
        <w:ind w:left="4320" w:hanging="18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left"/>
      <w:pPr>
        <w:ind w:left="5760" w:hanging="360"/>
      </w:pPr>
      <w:rPr>
        <w:rFonts w:ascii="Times New Roman" w:eastAsia="Times New Roman" w:hAnsi="Times New Roman" w:cs="Times New Roman"/>
      </w:rPr>
    </w:lvl>
    <w:lvl w:ilvl="8">
      <w:start w:val="1"/>
      <w:numFmt w:val="lowerRoman"/>
      <w:lvlText w:val="%9."/>
      <w:lvlJc w:val="right"/>
      <w:pPr>
        <w:ind w:left="6480" w:hanging="180"/>
      </w:pPr>
      <w:rPr>
        <w:rFonts w:ascii="Times New Roman" w:eastAsia="Times New Roman" w:hAnsi="Times New Roman" w:cs="Times New Roman"/>
      </w:rPr>
    </w:lvl>
  </w:abstractNum>
  <w:abstractNum w:abstractNumId="10" w15:restartNumberingAfterBreak="0">
    <w:nsid w:val="190B6D10"/>
    <w:multiLevelType w:val="multilevel"/>
    <w:tmpl w:val="B360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4B169F"/>
    <w:multiLevelType w:val="hybridMultilevel"/>
    <w:tmpl w:val="56BE234A"/>
    <w:lvl w:ilvl="0" w:tplc="103A0092">
      <w:start w:val="3"/>
      <w:numFmt w:val="bullet"/>
      <w:lvlText w:val=""/>
      <w:lvlJc w:val="left"/>
      <w:pPr>
        <w:ind w:left="1080" w:hanging="360"/>
      </w:pPr>
      <w:rPr>
        <w:rFonts w:ascii="Wingdings" w:eastAsia="Times New Roman" w:hAnsi="Wingdings"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2" w15:restartNumberingAfterBreak="0">
    <w:nsid w:val="2E7F7AB4"/>
    <w:multiLevelType w:val="multilevel"/>
    <w:tmpl w:val="2F9E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A00355"/>
    <w:multiLevelType w:val="multilevel"/>
    <w:tmpl w:val="2214B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9E66B90"/>
    <w:multiLevelType w:val="multilevel"/>
    <w:tmpl w:val="8CF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9F192C"/>
    <w:multiLevelType w:val="hybridMultilevel"/>
    <w:tmpl w:val="8ECA6F7E"/>
    <w:lvl w:ilvl="0" w:tplc="7270A822">
      <w:start w:val="3"/>
      <w:numFmt w:val="bullet"/>
      <w:lvlText w:val="-"/>
      <w:lvlJc w:val="left"/>
      <w:pPr>
        <w:ind w:left="720"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2BE3794"/>
    <w:multiLevelType w:val="hybridMultilevel"/>
    <w:tmpl w:val="C6C61C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7" w15:restartNumberingAfterBreak="0">
    <w:nsid w:val="45C563E0"/>
    <w:multiLevelType w:val="hybridMultilevel"/>
    <w:tmpl w:val="C0C02C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5D424F5"/>
    <w:multiLevelType w:val="hybridMultilevel"/>
    <w:tmpl w:val="091CF98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47BD5B67"/>
    <w:multiLevelType w:val="multilevel"/>
    <w:tmpl w:val="9FD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C1172"/>
    <w:multiLevelType w:val="hybridMultilevel"/>
    <w:tmpl w:val="D53AB10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52844609"/>
    <w:multiLevelType w:val="hybridMultilevel"/>
    <w:tmpl w:val="3620D03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2" w15:restartNumberingAfterBreak="0">
    <w:nsid w:val="54FB6C78"/>
    <w:multiLevelType w:val="multilevel"/>
    <w:tmpl w:val="1608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C2339E"/>
    <w:multiLevelType w:val="hybridMultilevel"/>
    <w:tmpl w:val="96188628"/>
    <w:lvl w:ilvl="0" w:tplc="4B52E924">
      <w:start w:val="4"/>
      <w:numFmt w:val="decimal"/>
      <w:lvlText w:val="%1"/>
      <w:lvlJc w:val="left"/>
      <w:pPr>
        <w:ind w:left="810" w:hanging="360"/>
      </w:pPr>
      <w:rPr>
        <w:rFonts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abstractNum w:abstractNumId="24" w15:restartNumberingAfterBreak="0">
    <w:nsid w:val="5EC27043"/>
    <w:multiLevelType w:val="hybridMultilevel"/>
    <w:tmpl w:val="F36E66E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626D478F"/>
    <w:multiLevelType w:val="multilevel"/>
    <w:tmpl w:val="E532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244DF3"/>
    <w:multiLevelType w:val="multilevel"/>
    <w:tmpl w:val="466C10E4"/>
    <w:lvl w:ilvl="0">
      <w:start w:val="1"/>
      <w:numFmt w:val="decimal"/>
      <w:lvlText w:val="%1"/>
      <w:lvlJc w:val="left"/>
      <w:pPr>
        <w:tabs>
          <w:tab w:val="num" w:pos="1260"/>
        </w:tabs>
        <w:ind w:left="1260" w:hanging="360"/>
      </w:pPr>
      <w:rPr>
        <w:b w:val="0"/>
      </w:rPr>
    </w:lvl>
    <w:lvl w:ilvl="1">
      <w:start w:val="1"/>
      <w:numFmt w:val="lowerLetter"/>
      <w:lvlText w:val="%2."/>
      <w:lvlJc w:val="left"/>
      <w:pPr>
        <w:tabs>
          <w:tab w:val="num" w:pos="1980"/>
        </w:tabs>
        <w:ind w:left="1980" w:hanging="360"/>
      </w:pPr>
    </w:lvl>
    <w:lvl w:ilvl="2">
      <w:start w:val="1"/>
      <w:numFmt w:val="lowerRoman"/>
      <w:lvlText w:val="%3."/>
      <w:lvlJc w:val="right"/>
      <w:pPr>
        <w:tabs>
          <w:tab w:val="num" w:pos="2700"/>
        </w:tabs>
        <w:ind w:left="2700" w:hanging="180"/>
      </w:pPr>
    </w:lvl>
    <w:lvl w:ilvl="3">
      <w:start w:val="1"/>
      <w:numFmt w:val="decimal"/>
      <w:lvlText w:val="%4."/>
      <w:lvlJc w:val="left"/>
      <w:pPr>
        <w:tabs>
          <w:tab w:val="num" w:pos="3420"/>
        </w:tabs>
        <w:ind w:left="3420" w:hanging="360"/>
      </w:pPr>
    </w:lvl>
    <w:lvl w:ilvl="4">
      <w:start w:val="1"/>
      <w:numFmt w:val="lowerLetter"/>
      <w:lvlText w:val="%5."/>
      <w:lvlJc w:val="left"/>
      <w:pPr>
        <w:tabs>
          <w:tab w:val="num" w:pos="4140"/>
        </w:tabs>
        <w:ind w:left="4140" w:hanging="360"/>
      </w:pPr>
    </w:lvl>
    <w:lvl w:ilvl="5">
      <w:start w:val="1"/>
      <w:numFmt w:val="lowerRoman"/>
      <w:lvlText w:val="%6."/>
      <w:lvlJc w:val="right"/>
      <w:pPr>
        <w:tabs>
          <w:tab w:val="num" w:pos="4860"/>
        </w:tabs>
        <w:ind w:left="4860" w:hanging="180"/>
      </w:pPr>
    </w:lvl>
    <w:lvl w:ilvl="6">
      <w:start w:val="1"/>
      <w:numFmt w:val="decimal"/>
      <w:lvlText w:val="%7."/>
      <w:lvlJc w:val="left"/>
      <w:pPr>
        <w:tabs>
          <w:tab w:val="num" w:pos="5580"/>
        </w:tabs>
        <w:ind w:left="5580" w:hanging="360"/>
      </w:pPr>
    </w:lvl>
    <w:lvl w:ilvl="7">
      <w:start w:val="1"/>
      <w:numFmt w:val="lowerLetter"/>
      <w:lvlText w:val="%8."/>
      <w:lvlJc w:val="left"/>
      <w:pPr>
        <w:tabs>
          <w:tab w:val="num" w:pos="6300"/>
        </w:tabs>
        <w:ind w:left="6300" w:hanging="360"/>
      </w:pPr>
    </w:lvl>
    <w:lvl w:ilvl="8">
      <w:start w:val="1"/>
      <w:numFmt w:val="lowerRoman"/>
      <w:lvlText w:val="%9."/>
      <w:lvlJc w:val="right"/>
      <w:pPr>
        <w:tabs>
          <w:tab w:val="num" w:pos="7020"/>
        </w:tabs>
        <w:ind w:left="7020" w:hanging="180"/>
      </w:pPr>
    </w:lvl>
  </w:abstractNum>
  <w:abstractNum w:abstractNumId="27" w15:restartNumberingAfterBreak="0">
    <w:nsid w:val="7650249E"/>
    <w:multiLevelType w:val="multilevel"/>
    <w:tmpl w:val="EAD80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7E240B99"/>
    <w:multiLevelType w:val="multilevel"/>
    <w:tmpl w:val="363A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3571E3"/>
    <w:multiLevelType w:val="hybridMultilevel"/>
    <w:tmpl w:val="C16E09E2"/>
    <w:lvl w:ilvl="0" w:tplc="674ADB0A">
      <w:start w:val="1"/>
      <w:numFmt w:val="decimal"/>
      <w:lvlText w:val="%1"/>
      <w:lvlJc w:val="left"/>
      <w:pPr>
        <w:ind w:left="990" w:hanging="540"/>
      </w:pPr>
      <w:rPr>
        <w:rFonts w:eastAsiaTheme="minorHAnsi" w:hint="default"/>
      </w:rPr>
    </w:lvl>
    <w:lvl w:ilvl="1" w:tplc="34090019" w:tentative="1">
      <w:start w:val="1"/>
      <w:numFmt w:val="lowerLetter"/>
      <w:lvlText w:val="%2."/>
      <w:lvlJc w:val="left"/>
      <w:pPr>
        <w:ind w:left="1530" w:hanging="360"/>
      </w:pPr>
    </w:lvl>
    <w:lvl w:ilvl="2" w:tplc="3409001B" w:tentative="1">
      <w:start w:val="1"/>
      <w:numFmt w:val="lowerRoman"/>
      <w:lvlText w:val="%3."/>
      <w:lvlJc w:val="right"/>
      <w:pPr>
        <w:ind w:left="2250" w:hanging="180"/>
      </w:pPr>
    </w:lvl>
    <w:lvl w:ilvl="3" w:tplc="3409000F" w:tentative="1">
      <w:start w:val="1"/>
      <w:numFmt w:val="decimal"/>
      <w:lvlText w:val="%4."/>
      <w:lvlJc w:val="left"/>
      <w:pPr>
        <w:ind w:left="2970" w:hanging="360"/>
      </w:pPr>
    </w:lvl>
    <w:lvl w:ilvl="4" w:tplc="34090019" w:tentative="1">
      <w:start w:val="1"/>
      <w:numFmt w:val="lowerLetter"/>
      <w:lvlText w:val="%5."/>
      <w:lvlJc w:val="left"/>
      <w:pPr>
        <w:ind w:left="3690" w:hanging="360"/>
      </w:pPr>
    </w:lvl>
    <w:lvl w:ilvl="5" w:tplc="3409001B" w:tentative="1">
      <w:start w:val="1"/>
      <w:numFmt w:val="lowerRoman"/>
      <w:lvlText w:val="%6."/>
      <w:lvlJc w:val="right"/>
      <w:pPr>
        <w:ind w:left="4410" w:hanging="180"/>
      </w:pPr>
    </w:lvl>
    <w:lvl w:ilvl="6" w:tplc="3409000F" w:tentative="1">
      <w:start w:val="1"/>
      <w:numFmt w:val="decimal"/>
      <w:lvlText w:val="%7."/>
      <w:lvlJc w:val="left"/>
      <w:pPr>
        <w:ind w:left="5130" w:hanging="360"/>
      </w:pPr>
    </w:lvl>
    <w:lvl w:ilvl="7" w:tplc="34090019" w:tentative="1">
      <w:start w:val="1"/>
      <w:numFmt w:val="lowerLetter"/>
      <w:lvlText w:val="%8."/>
      <w:lvlJc w:val="left"/>
      <w:pPr>
        <w:ind w:left="5850" w:hanging="360"/>
      </w:pPr>
    </w:lvl>
    <w:lvl w:ilvl="8" w:tplc="3409001B" w:tentative="1">
      <w:start w:val="1"/>
      <w:numFmt w:val="lowerRoman"/>
      <w:lvlText w:val="%9."/>
      <w:lvlJc w:val="right"/>
      <w:pPr>
        <w:ind w:left="6570" w:hanging="180"/>
      </w:pPr>
    </w:lvl>
  </w:abstractNum>
  <w:num w:numId="1" w16cid:durableId="1651858641">
    <w:abstractNumId w:val="9"/>
  </w:num>
  <w:num w:numId="2" w16cid:durableId="1504928369">
    <w:abstractNumId w:val="13"/>
  </w:num>
  <w:num w:numId="3" w16cid:durableId="814226422">
    <w:abstractNumId w:val="6"/>
  </w:num>
  <w:num w:numId="4" w16cid:durableId="673343063">
    <w:abstractNumId w:val="5"/>
  </w:num>
  <w:num w:numId="5" w16cid:durableId="1003506702">
    <w:abstractNumId w:val="8"/>
  </w:num>
  <w:num w:numId="6" w16cid:durableId="3670904">
    <w:abstractNumId w:val="27"/>
  </w:num>
  <w:num w:numId="7" w16cid:durableId="1270817570">
    <w:abstractNumId w:val="1"/>
  </w:num>
  <w:num w:numId="8" w16cid:durableId="1583681201">
    <w:abstractNumId w:val="7"/>
  </w:num>
  <w:num w:numId="9" w16cid:durableId="425468738">
    <w:abstractNumId w:val="26"/>
  </w:num>
  <w:num w:numId="10" w16cid:durableId="747918916">
    <w:abstractNumId w:val="29"/>
  </w:num>
  <w:num w:numId="11" w16cid:durableId="921379833">
    <w:abstractNumId w:val="20"/>
  </w:num>
  <w:num w:numId="12" w16cid:durableId="1397627297">
    <w:abstractNumId w:val="24"/>
  </w:num>
  <w:num w:numId="13" w16cid:durableId="1772504288">
    <w:abstractNumId w:val="4"/>
  </w:num>
  <w:num w:numId="14" w16cid:durableId="548998142">
    <w:abstractNumId w:val="18"/>
  </w:num>
  <w:num w:numId="15" w16cid:durableId="829634104">
    <w:abstractNumId w:val="17"/>
  </w:num>
  <w:num w:numId="16" w16cid:durableId="1597596132">
    <w:abstractNumId w:val="16"/>
  </w:num>
  <w:num w:numId="17" w16cid:durableId="158809">
    <w:abstractNumId w:val="21"/>
  </w:num>
  <w:num w:numId="18" w16cid:durableId="1140802817">
    <w:abstractNumId w:val="11"/>
  </w:num>
  <w:num w:numId="19" w16cid:durableId="46690426">
    <w:abstractNumId w:val="15"/>
  </w:num>
  <w:num w:numId="20" w16cid:durableId="1287740776">
    <w:abstractNumId w:val="23"/>
  </w:num>
  <w:num w:numId="21" w16cid:durableId="1620181843">
    <w:abstractNumId w:val="14"/>
  </w:num>
  <w:num w:numId="22" w16cid:durableId="1497258442">
    <w:abstractNumId w:val="22"/>
  </w:num>
  <w:num w:numId="23" w16cid:durableId="1474057829">
    <w:abstractNumId w:val="19"/>
  </w:num>
  <w:num w:numId="24" w16cid:durableId="1822043283">
    <w:abstractNumId w:val="12"/>
  </w:num>
  <w:num w:numId="25" w16cid:durableId="1915552024">
    <w:abstractNumId w:val="25"/>
  </w:num>
  <w:num w:numId="26" w16cid:durableId="516625571">
    <w:abstractNumId w:val="28"/>
  </w:num>
  <w:num w:numId="27" w16cid:durableId="1267343286">
    <w:abstractNumId w:val="0"/>
  </w:num>
  <w:num w:numId="28" w16cid:durableId="1418743845">
    <w:abstractNumId w:val="10"/>
  </w:num>
  <w:num w:numId="29" w16cid:durableId="30346309">
    <w:abstractNumId w:val="2"/>
  </w:num>
  <w:num w:numId="30" w16cid:durableId="16787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C19"/>
    <w:rsid w:val="00001974"/>
    <w:rsid w:val="000042EA"/>
    <w:rsid w:val="00005702"/>
    <w:rsid w:val="00006A7E"/>
    <w:rsid w:val="00007AEB"/>
    <w:rsid w:val="00010BFD"/>
    <w:rsid w:val="00030A8B"/>
    <w:rsid w:val="00035EE5"/>
    <w:rsid w:val="00037990"/>
    <w:rsid w:val="0004340D"/>
    <w:rsid w:val="0004402D"/>
    <w:rsid w:val="00047D2B"/>
    <w:rsid w:val="000529AD"/>
    <w:rsid w:val="00053CE1"/>
    <w:rsid w:val="00060B5D"/>
    <w:rsid w:val="00065D37"/>
    <w:rsid w:val="00070F2A"/>
    <w:rsid w:val="00071A34"/>
    <w:rsid w:val="0007F5EA"/>
    <w:rsid w:val="00086962"/>
    <w:rsid w:val="000905F4"/>
    <w:rsid w:val="000A4586"/>
    <w:rsid w:val="000C2D21"/>
    <w:rsid w:val="000C3CA2"/>
    <w:rsid w:val="000C43B4"/>
    <w:rsid w:val="000D05CC"/>
    <w:rsid w:val="000E1D5E"/>
    <w:rsid w:val="000F0AB1"/>
    <w:rsid w:val="000F2C19"/>
    <w:rsid w:val="000F575F"/>
    <w:rsid w:val="00105B1D"/>
    <w:rsid w:val="00113EA0"/>
    <w:rsid w:val="00115915"/>
    <w:rsid w:val="001258BD"/>
    <w:rsid w:val="0013778E"/>
    <w:rsid w:val="001437AB"/>
    <w:rsid w:val="001452E5"/>
    <w:rsid w:val="00152D5A"/>
    <w:rsid w:val="00156553"/>
    <w:rsid w:val="00162FD1"/>
    <w:rsid w:val="00163608"/>
    <w:rsid w:val="00163678"/>
    <w:rsid w:val="00167611"/>
    <w:rsid w:val="001706AF"/>
    <w:rsid w:val="00180398"/>
    <w:rsid w:val="001951F0"/>
    <w:rsid w:val="001968B1"/>
    <w:rsid w:val="001A0D70"/>
    <w:rsid w:val="001A1D53"/>
    <w:rsid w:val="001A5C80"/>
    <w:rsid w:val="001B055C"/>
    <w:rsid w:val="001B20B6"/>
    <w:rsid w:val="001B222B"/>
    <w:rsid w:val="001C0A28"/>
    <w:rsid w:val="001C44A8"/>
    <w:rsid w:val="001C73E1"/>
    <w:rsid w:val="001D04B9"/>
    <w:rsid w:val="001D08E6"/>
    <w:rsid w:val="001D412C"/>
    <w:rsid w:val="001D487A"/>
    <w:rsid w:val="001D60D5"/>
    <w:rsid w:val="001E1956"/>
    <w:rsid w:val="001E3118"/>
    <w:rsid w:val="001E700F"/>
    <w:rsid w:val="001E73CF"/>
    <w:rsid w:val="002136E5"/>
    <w:rsid w:val="00215F0C"/>
    <w:rsid w:val="00223E90"/>
    <w:rsid w:val="002257D4"/>
    <w:rsid w:val="00232E3F"/>
    <w:rsid w:val="00234C9F"/>
    <w:rsid w:val="002437AF"/>
    <w:rsid w:val="00245305"/>
    <w:rsid w:val="00250850"/>
    <w:rsid w:val="00251299"/>
    <w:rsid w:val="00253746"/>
    <w:rsid w:val="002537E2"/>
    <w:rsid w:val="002565DB"/>
    <w:rsid w:val="0026296E"/>
    <w:rsid w:val="0027032D"/>
    <w:rsid w:val="0027224E"/>
    <w:rsid w:val="0027513A"/>
    <w:rsid w:val="00277B43"/>
    <w:rsid w:val="00282749"/>
    <w:rsid w:val="00284D01"/>
    <w:rsid w:val="00296BB0"/>
    <w:rsid w:val="002A0579"/>
    <w:rsid w:val="002A408F"/>
    <w:rsid w:val="002B08D5"/>
    <w:rsid w:val="002B0BB7"/>
    <w:rsid w:val="002B1106"/>
    <w:rsid w:val="002B3207"/>
    <w:rsid w:val="002B7138"/>
    <w:rsid w:val="002C185C"/>
    <w:rsid w:val="002D19B5"/>
    <w:rsid w:val="002D5224"/>
    <w:rsid w:val="002D774D"/>
    <w:rsid w:val="002E3260"/>
    <w:rsid w:val="002F42FC"/>
    <w:rsid w:val="00307404"/>
    <w:rsid w:val="00307E2D"/>
    <w:rsid w:val="00323E38"/>
    <w:rsid w:val="003250A4"/>
    <w:rsid w:val="00335973"/>
    <w:rsid w:val="00336C83"/>
    <w:rsid w:val="003441A6"/>
    <w:rsid w:val="00360E3D"/>
    <w:rsid w:val="00362DFF"/>
    <w:rsid w:val="003657F4"/>
    <w:rsid w:val="00375704"/>
    <w:rsid w:val="00381D5D"/>
    <w:rsid w:val="00390BB3"/>
    <w:rsid w:val="00391B83"/>
    <w:rsid w:val="0039280E"/>
    <w:rsid w:val="00393641"/>
    <w:rsid w:val="003944D8"/>
    <w:rsid w:val="003A3E2A"/>
    <w:rsid w:val="003B3246"/>
    <w:rsid w:val="003C0437"/>
    <w:rsid w:val="003C15D0"/>
    <w:rsid w:val="003D2354"/>
    <w:rsid w:val="003D2E9A"/>
    <w:rsid w:val="003D5BEF"/>
    <w:rsid w:val="003D68B3"/>
    <w:rsid w:val="003D78AF"/>
    <w:rsid w:val="003E0AA5"/>
    <w:rsid w:val="003E1105"/>
    <w:rsid w:val="003E1BC8"/>
    <w:rsid w:val="003E5118"/>
    <w:rsid w:val="003F2693"/>
    <w:rsid w:val="00400CC5"/>
    <w:rsid w:val="00412ACC"/>
    <w:rsid w:val="004153DF"/>
    <w:rsid w:val="00420933"/>
    <w:rsid w:val="00422D45"/>
    <w:rsid w:val="00437CF2"/>
    <w:rsid w:val="00441973"/>
    <w:rsid w:val="00445534"/>
    <w:rsid w:val="00447DFD"/>
    <w:rsid w:val="004500A5"/>
    <w:rsid w:val="00452367"/>
    <w:rsid w:val="00457D8E"/>
    <w:rsid w:val="0046186C"/>
    <w:rsid w:val="004637B6"/>
    <w:rsid w:val="00464F4C"/>
    <w:rsid w:val="004715A3"/>
    <w:rsid w:val="00471711"/>
    <w:rsid w:val="0047654D"/>
    <w:rsid w:val="00477F0A"/>
    <w:rsid w:val="00483A6B"/>
    <w:rsid w:val="004872FA"/>
    <w:rsid w:val="00494B81"/>
    <w:rsid w:val="004A40DF"/>
    <w:rsid w:val="004A5BCE"/>
    <w:rsid w:val="004B11E6"/>
    <w:rsid w:val="004C4FE2"/>
    <w:rsid w:val="004C72E0"/>
    <w:rsid w:val="004D1A71"/>
    <w:rsid w:val="004E237A"/>
    <w:rsid w:val="004E3EBF"/>
    <w:rsid w:val="004F2DEC"/>
    <w:rsid w:val="004F44AD"/>
    <w:rsid w:val="004F5ECA"/>
    <w:rsid w:val="004F7C4E"/>
    <w:rsid w:val="005143F4"/>
    <w:rsid w:val="005265AB"/>
    <w:rsid w:val="005303AF"/>
    <w:rsid w:val="00531016"/>
    <w:rsid w:val="00547B87"/>
    <w:rsid w:val="0055235F"/>
    <w:rsid w:val="00553777"/>
    <w:rsid w:val="00555665"/>
    <w:rsid w:val="0056392F"/>
    <w:rsid w:val="005718A5"/>
    <w:rsid w:val="0057577C"/>
    <w:rsid w:val="00575F11"/>
    <w:rsid w:val="0057757E"/>
    <w:rsid w:val="00577964"/>
    <w:rsid w:val="00577EDF"/>
    <w:rsid w:val="00583A7D"/>
    <w:rsid w:val="00590F57"/>
    <w:rsid w:val="005958A4"/>
    <w:rsid w:val="005B050B"/>
    <w:rsid w:val="005B34EF"/>
    <w:rsid w:val="005B3D46"/>
    <w:rsid w:val="005B6EED"/>
    <w:rsid w:val="005C0171"/>
    <w:rsid w:val="005C034A"/>
    <w:rsid w:val="005C3E41"/>
    <w:rsid w:val="005D08A8"/>
    <w:rsid w:val="005D2DA3"/>
    <w:rsid w:val="005D3F0D"/>
    <w:rsid w:val="005D6651"/>
    <w:rsid w:val="005E522D"/>
    <w:rsid w:val="005F3E1A"/>
    <w:rsid w:val="00611AFD"/>
    <w:rsid w:val="0062299E"/>
    <w:rsid w:val="0062555A"/>
    <w:rsid w:val="006255DB"/>
    <w:rsid w:val="00627AE6"/>
    <w:rsid w:val="006312A2"/>
    <w:rsid w:val="0063131B"/>
    <w:rsid w:val="0063592B"/>
    <w:rsid w:val="006374C0"/>
    <w:rsid w:val="0064559F"/>
    <w:rsid w:val="00647E35"/>
    <w:rsid w:val="00652348"/>
    <w:rsid w:val="00652782"/>
    <w:rsid w:val="00652BF2"/>
    <w:rsid w:val="00660889"/>
    <w:rsid w:val="006631D2"/>
    <w:rsid w:val="00663CE8"/>
    <w:rsid w:val="0067355D"/>
    <w:rsid w:val="006775CE"/>
    <w:rsid w:val="00685134"/>
    <w:rsid w:val="00690E61"/>
    <w:rsid w:val="006A22E2"/>
    <w:rsid w:val="006A6529"/>
    <w:rsid w:val="006A6C82"/>
    <w:rsid w:val="006A7CFF"/>
    <w:rsid w:val="006B3F8C"/>
    <w:rsid w:val="006B4AC1"/>
    <w:rsid w:val="006D114F"/>
    <w:rsid w:val="006D47C8"/>
    <w:rsid w:val="006D5413"/>
    <w:rsid w:val="006E34C4"/>
    <w:rsid w:val="006E3A5B"/>
    <w:rsid w:val="006E5527"/>
    <w:rsid w:val="006F60E0"/>
    <w:rsid w:val="006F73FA"/>
    <w:rsid w:val="00704C82"/>
    <w:rsid w:val="0071276A"/>
    <w:rsid w:val="0072244A"/>
    <w:rsid w:val="00724B19"/>
    <w:rsid w:val="00724EC9"/>
    <w:rsid w:val="00737C81"/>
    <w:rsid w:val="0074249C"/>
    <w:rsid w:val="00743B6C"/>
    <w:rsid w:val="0074565F"/>
    <w:rsid w:val="00747FC3"/>
    <w:rsid w:val="007520E4"/>
    <w:rsid w:val="00764915"/>
    <w:rsid w:val="00764C19"/>
    <w:rsid w:val="00765949"/>
    <w:rsid w:val="00787F71"/>
    <w:rsid w:val="00790C6F"/>
    <w:rsid w:val="0079319E"/>
    <w:rsid w:val="00796E10"/>
    <w:rsid w:val="00796E43"/>
    <w:rsid w:val="007A25AB"/>
    <w:rsid w:val="007B22F0"/>
    <w:rsid w:val="007B3FC5"/>
    <w:rsid w:val="007B75EF"/>
    <w:rsid w:val="007C0D41"/>
    <w:rsid w:val="007D015E"/>
    <w:rsid w:val="007D3EDB"/>
    <w:rsid w:val="007D5A60"/>
    <w:rsid w:val="007D67FF"/>
    <w:rsid w:val="007E3BF7"/>
    <w:rsid w:val="007F1C3A"/>
    <w:rsid w:val="007F7098"/>
    <w:rsid w:val="008010AD"/>
    <w:rsid w:val="008013FF"/>
    <w:rsid w:val="008032E3"/>
    <w:rsid w:val="00805EDE"/>
    <w:rsid w:val="008155BC"/>
    <w:rsid w:val="008248D7"/>
    <w:rsid w:val="00827590"/>
    <w:rsid w:val="00835E7F"/>
    <w:rsid w:val="00846494"/>
    <w:rsid w:val="00850D40"/>
    <w:rsid w:val="008555DC"/>
    <w:rsid w:val="0086048E"/>
    <w:rsid w:val="00863287"/>
    <w:rsid w:val="00864375"/>
    <w:rsid w:val="0087017D"/>
    <w:rsid w:val="0087039A"/>
    <w:rsid w:val="00873883"/>
    <w:rsid w:val="00880754"/>
    <w:rsid w:val="00881DF7"/>
    <w:rsid w:val="0088323B"/>
    <w:rsid w:val="00885A4E"/>
    <w:rsid w:val="0089144D"/>
    <w:rsid w:val="00893EA5"/>
    <w:rsid w:val="008958D2"/>
    <w:rsid w:val="008A7EB2"/>
    <w:rsid w:val="008B6C22"/>
    <w:rsid w:val="008C47C7"/>
    <w:rsid w:val="008C556A"/>
    <w:rsid w:val="008E1192"/>
    <w:rsid w:val="008E67DA"/>
    <w:rsid w:val="008F45BB"/>
    <w:rsid w:val="008F4CF8"/>
    <w:rsid w:val="009225CF"/>
    <w:rsid w:val="00937802"/>
    <w:rsid w:val="00942345"/>
    <w:rsid w:val="00960639"/>
    <w:rsid w:val="00962D49"/>
    <w:rsid w:val="00966530"/>
    <w:rsid w:val="00970BF1"/>
    <w:rsid w:val="00973162"/>
    <w:rsid w:val="00973283"/>
    <w:rsid w:val="00995FEF"/>
    <w:rsid w:val="009A31E6"/>
    <w:rsid w:val="009A3B7E"/>
    <w:rsid w:val="009A5951"/>
    <w:rsid w:val="009A6492"/>
    <w:rsid w:val="009C16C4"/>
    <w:rsid w:val="009D0B49"/>
    <w:rsid w:val="009D5CB7"/>
    <w:rsid w:val="009F6B22"/>
    <w:rsid w:val="009F7F3E"/>
    <w:rsid w:val="00A00D5C"/>
    <w:rsid w:val="00A06354"/>
    <w:rsid w:val="00A10361"/>
    <w:rsid w:val="00A10BA2"/>
    <w:rsid w:val="00A1219E"/>
    <w:rsid w:val="00A1299A"/>
    <w:rsid w:val="00A1325B"/>
    <w:rsid w:val="00A20D72"/>
    <w:rsid w:val="00A343F9"/>
    <w:rsid w:val="00A35E7F"/>
    <w:rsid w:val="00A4292B"/>
    <w:rsid w:val="00A5081C"/>
    <w:rsid w:val="00A525B5"/>
    <w:rsid w:val="00A52D26"/>
    <w:rsid w:val="00A53F84"/>
    <w:rsid w:val="00A54945"/>
    <w:rsid w:val="00A6702B"/>
    <w:rsid w:val="00A671EB"/>
    <w:rsid w:val="00A67AC7"/>
    <w:rsid w:val="00A7068D"/>
    <w:rsid w:val="00A70CA6"/>
    <w:rsid w:val="00A71B4F"/>
    <w:rsid w:val="00A74189"/>
    <w:rsid w:val="00A83D4F"/>
    <w:rsid w:val="00A84BEF"/>
    <w:rsid w:val="00A84DCE"/>
    <w:rsid w:val="00AA0159"/>
    <w:rsid w:val="00AA0AE5"/>
    <w:rsid w:val="00AA7376"/>
    <w:rsid w:val="00AA7ED7"/>
    <w:rsid w:val="00AC3567"/>
    <w:rsid w:val="00AC53A1"/>
    <w:rsid w:val="00AC546D"/>
    <w:rsid w:val="00AD0466"/>
    <w:rsid w:val="00AD6487"/>
    <w:rsid w:val="00AE2F94"/>
    <w:rsid w:val="00AE45CA"/>
    <w:rsid w:val="00AE5145"/>
    <w:rsid w:val="00AF292E"/>
    <w:rsid w:val="00AF63CD"/>
    <w:rsid w:val="00B01278"/>
    <w:rsid w:val="00B026BC"/>
    <w:rsid w:val="00B02F49"/>
    <w:rsid w:val="00B06C57"/>
    <w:rsid w:val="00B20F77"/>
    <w:rsid w:val="00B34211"/>
    <w:rsid w:val="00B44130"/>
    <w:rsid w:val="00B50CB4"/>
    <w:rsid w:val="00B52DF1"/>
    <w:rsid w:val="00B573A6"/>
    <w:rsid w:val="00B65E82"/>
    <w:rsid w:val="00B75252"/>
    <w:rsid w:val="00B836CC"/>
    <w:rsid w:val="00B91E58"/>
    <w:rsid w:val="00B96F10"/>
    <w:rsid w:val="00BA2E00"/>
    <w:rsid w:val="00BA4336"/>
    <w:rsid w:val="00BA6178"/>
    <w:rsid w:val="00BB02F7"/>
    <w:rsid w:val="00BB670F"/>
    <w:rsid w:val="00BC5640"/>
    <w:rsid w:val="00BD129A"/>
    <w:rsid w:val="00BE78BD"/>
    <w:rsid w:val="00BF31B2"/>
    <w:rsid w:val="00BF36E9"/>
    <w:rsid w:val="00BF5706"/>
    <w:rsid w:val="00BF6CA6"/>
    <w:rsid w:val="00C0064B"/>
    <w:rsid w:val="00C02942"/>
    <w:rsid w:val="00C04773"/>
    <w:rsid w:val="00C135F5"/>
    <w:rsid w:val="00C147B3"/>
    <w:rsid w:val="00C15DF4"/>
    <w:rsid w:val="00C23F63"/>
    <w:rsid w:val="00C24E1D"/>
    <w:rsid w:val="00C251EE"/>
    <w:rsid w:val="00C368C7"/>
    <w:rsid w:val="00C372D9"/>
    <w:rsid w:val="00C37BDE"/>
    <w:rsid w:val="00C51D3B"/>
    <w:rsid w:val="00C52B4C"/>
    <w:rsid w:val="00C5315F"/>
    <w:rsid w:val="00C55E13"/>
    <w:rsid w:val="00C56630"/>
    <w:rsid w:val="00C6189A"/>
    <w:rsid w:val="00C655CC"/>
    <w:rsid w:val="00C70B53"/>
    <w:rsid w:val="00C7417F"/>
    <w:rsid w:val="00C8268B"/>
    <w:rsid w:val="00C832A2"/>
    <w:rsid w:val="00C84091"/>
    <w:rsid w:val="00C85E01"/>
    <w:rsid w:val="00C8762E"/>
    <w:rsid w:val="00CA2D0F"/>
    <w:rsid w:val="00CA3A6F"/>
    <w:rsid w:val="00CA4B6D"/>
    <w:rsid w:val="00CA565D"/>
    <w:rsid w:val="00CC240C"/>
    <w:rsid w:val="00CC70E9"/>
    <w:rsid w:val="00CD1204"/>
    <w:rsid w:val="00CD2D89"/>
    <w:rsid w:val="00CD6903"/>
    <w:rsid w:val="00CEE95E"/>
    <w:rsid w:val="00CF629D"/>
    <w:rsid w:val="00D01182"/>
    <w:rsid w:val="00D12464"/>
    <w:rsid w:val="00D16307"/>
    <w:rsid w:val="00D17DD7"/>
    <w:rsid w:val="00D2137D"/>
    <w:rsid w:val="00D26CE2"/>
    <w:rsid w:val="00D3668C"/>
    <w:rsid w:val="00D37C57"/>
    <w:rsid w:val="00D52FB1"/>
    <w:rsid w:val="00D62EA5"/>
    <w:rsid w:val="00D644D5"/>
    <w:rsid w:val="00D675CF"/>
    <w:rsid w:val="00D75E68"/>
    <w:rsid w:val="00D77819"/>
    <w:rsid w:val="00D80380"/>
    <w:rsid w:val="00D8424D"/>
    <w:rsid w:val="00D92BEC"/>
    <w:rsid w:val="00DA4602"/>
    <w:rsid w:val="00DB2110"/>
    <w:rsid w:val="00DB283E"/>
    <w:rsid w:val="00DB4225"/>
    <w:rsid w:val="00DB4D69"/>
    <w:rsid w:val="00DC0A13"/>
    <w:rsid w:val="00DC3B3B"/>
    <w:rsid w:val="00DC7779"/>
    <w:rsid w:val="00DF030F"/>
    <w:rsid w:val="00DF20D9"/>
    <w:rsid w:val="00DF2EF9"/>
    <w:rsid w:val="00E05340"/>
    <w:rsid w:val="00E168A1"/>
    <w:rsid w:val="00E22277"/>
    <w:rsid w:val="00E30910"/>
    <w:rsid w:val="00E3466E"/>
    <w:rsid w:val="00E41DF5"/>
    <w:rsid w:val="00E6399B"/>
    <w:rsid w:val="00E73024"/>
    <w:rsid w:val="00E74331"/>
    <w:rsid w:val="00E76B14"/>
    <w:rsid w:val="00E775FE"/>
    <w:rsid w:val="00E804DE"/>
    <w:rsid w:val="00E82884"/>
    <w:rsid w:val="00E91064"/>
    <w:rsid w:val="00E912C3"/>
    <w:rsid w:val="00E923BC"/>
    <w:rsid w:val="00E95306"/>
    <w:rsid w:val="00EA7AA6"/>
    <w:rsid w:val="00EB0CA4"/>
    <w:rsid w:val="00EB4B52"/>
    <w:rsid w:val="00EB4CF9"/>
    <w:rsid w:val="00EB5119"/>
    <w:rsid w:val="00EB66FE"/>
    <w:rsid w:val="00EB696B"/>
    <w:rsid w:val="00EC68FE"/>
    <w:rsid w:val="00ED4304"/>
    <w:rsid w:val="00EF5B0B"/>
    <w:rsid w:val="00F052DB"/>
    <w:rsid w:val="00F068A4"/>
    <w:rsid w:val="00F127ED"/>
    <w:rsid w:val="00F21D34"/>
    <w:rsid w:val="00F2404F"/>
    <w:rsid w:val="00F25953"/>
    <w:rsid w:val="00F3202C"/>
    <w:rsid w:val="00F344AA"/>
    <w:rsid w:val="00F436D8"/>
    <w:rsid w:val="00F437A7"/>
    <w:rsid w:val="00F4425F"/>
    <w:rsid w:val="00F444A6"/>
    <w:rsid w:val="00F454C4"/>
    <w:rsid w:val="00F56883"/>
    <w:rsid w:val="00F56996"/>
    <w:rsid w:val="00F619E0"/>
    <w:rsid w:val="00F678AB"/>
    <w:rsid w:val="00F72EB7"/>
    <w:rsid w:val="00F74884"/>
    <w:rsid w:val="00F833BF"/>
    <w:rsid w:val="00F8763C"/>
    <w:rsid w:val="00F87CB8"/>
    <w:rsid w:val="00F912BF"/>
    <w:rsid w:val="00F9599C"/>
    <w:rsid w:val="00FA7914"/>
    <w:rsid w:val="00FC0C9F"/>
    <w:rsid w:val="00FD1040"/>
    <w:rsid w:val="00FD5ABC"/>
    <w:rsid w:val="00FD6689"/>
    <w:rsid w:val="00FD7A1A"/>
    <w:rsid w:val="00FE5A5E"/>
    <w:rsid w:val="00FF70BF"/>
    <w:rsid w:val="00FF76C5"/>
    <w:rsid w:val="01AD29DF"/>
    <w:rsid w:val="01F444EF"/>
    <w:rsid w:val="04A5191F"/>
    <w:rsid w:val="05AB3FBB"/>
    <w:rsid w:val="081C34DA"/>
    <w:rsid w:val="09700CD5"/>
    <w:rsid w:val="09C6925C"/>
    <w:rsid w:val="0A1D0F08"/>
    <w:rsid w:val="0A549FF2"/>
    <w:rsid w:val="0AC48A1E"/>
    <w:rsid w:val="0BF5C0E9"/>
    <w:rsid w:val="0E6921B9"/>
    <w:rsid w:val="0E6AC16F"/>
    <w:rsid w:val="0EA95669"/>
    <w:rsid w:val="0FB7143C"/>
    <w:rsid w:val="0FB7B7A9"/>
    <w:rsid w:val="10A7A194"/>
    <w:rsid w:val="1259D3AD"/>
    <w:rsid w:val="13387578"/>
    <w:rsid w:val="13F9FB1D"/>
    <w:rsid w:val="1A3FDF86"/>
    <w:rsid w:val="1A57B2DA"/>
    <w:rsid w:val="1A62775A"/>
    <w:rsid w:val="1B5D280B"/>
    <w:rsid w:val="1BD7CF72"/>
    <w:rsid w:val="1C3BB24F"/>
    <w:rsid w:val="1D250516"/>
    <w:rsid w:val="212E41D1"/>
    <w:rsid w:val="2267A37C"/>
    <w:rsid w:val="22979636"/>
    <w:rsid w:val="22A4D58A"/>
    <w:rsid w:val="22EE122D"/>
    <w:rsid w:val="231CF8B7"/>
    <w:rsid w:val="24CAB1C4"/>
    <w:rsid w:val="25406087"/>
    <w:rsid w:val="25A1BA6A"/>
    <w:rsid w:val="27B25C2C"/>
    <w:rsid w:val="2944BC73"/>
    <w:rsid w:val="2A96165C"/>
    <w:rsid w:val="2BA1ADBB"/>
    <w:rsid w:val="2C19AA4F"/>
    <w:rsid w:val="2C1DBA2C"/>
    <w:rsid w:val="2E30D24B"/>
    <w:rsid w:val="2E566EF6"/>
    <w:rsid w:val="2E8F6D0C"/>
    <w:rsid w:val="3120F937"/>
    <w:rsid w:val="31B049D6"/>
    <w:rsid w:val="31D3E9F1"/>
    <w:rsid w:val="323F3D9B"/>
    <w:rsid w:val="35653E69"/>
    <w:rsid w:val="3B803586"/>
    <w:rsid w:val="3C739F16"/>
    <w:rsid w:val="3CEC112A"/>
    <w:rsid w:val="3E58B7C4"/>
    <w:rsid w:val="3E89816F"/>
    <w:rsid w:val="3F1BBE39"/>
    <w:rsid w:val="3F947F97"/>
    <w:rsid w:val="407E0550"/>
    <w:rsid w:val="411BABC9"/>
    <w:rsid w:val="41DFE4E4"/>
    <w:rsid w:val="44A06D71"/>
    <w:rsid w:val="4500E8A5"/>
    <w:rsid w:val="45304685"/>
    <w:rsid w:val="4569AAA9"/>
    <w:rsid w:val="46A2FD80"/>
    <w:rsid w:val="46EA36AC"/>
    <w:rsid w:val="4753D996"/>
    <w:rsid w:val="4914D328"/>
    <w:rsid w:val="4A4348D2"/>
    <w:rsid w:val="4A60AF4C"/>
    <w:rsid w:val="4BEED7EA"/>
    <w:rsid w:val="4EC68D60"/>
    <w:rsid w:val="4F3005ED"/>
    <w:rsid w:val="501534B1"/>
    <w:rsid w:val="507A1500"/>
    <w:rsid w:val="514760F6"/>
    <w:rsid w:val="516754EE"/>
    <w:rsid w:val="52304654"/>
    <w:rsid w:val="52477898"/>
    <w:rsid w:val="53617282"/>
    <w:rsid w:val="54923DDB"/>
    <w:rsid w:val="5618E252"/>
    <w:rsid w:val="585DAA6A"/>
    <w:rsid w:val="5881A315"/>
    <w:rsid w:val="5B986716"/>
    <w:rsid w:val="5BE93E25"/>
    <w:rsid w:val="5DDF1E88"/>
    <w:rsid w:val="5E1714B4"/>
    <w:rsid w:val="5EB603E2"/>
    <w:rsid w:val="616623C6"/>
    <w:rsid w:val="635C2897"/>
    <w:rsid w:val="63EC072F"/>
    <w:rsid w:val="64541059"/>
    <w:rsid w:val="65B6B08A"/>
    <w:rsid w:val="670C1F08"/>
    <w:rsid w:val="675A5326"/>
    <w:rsid w:val="6993CADB"/>
    <w:rsid w:val="6ABB46BE"/>
    <w:rsid w:val="6B000AD6"/>
    <w:rsid w:val="6C2C04A5"/>
    <w:rsid w:val="6C3B86A7"/>
    <w:rsid w:val="6C958B8B"/>
    <w:rsid w:val="6E3EDB28"/>
    <w:rsid w:val="6E49EE62"/>
    <w:rsid w:val="704BB88A"/>
    <w:rsid w:val="70D744AD"/>
    <w:rsid w:val="7125383A"/>
    <w:rsid w:val="71B8ADDD"/>
    <w:rsid w:val="72F64667"/>
    <w:rsid w:val="7381DEFE"/>
    <w:rsid w:val="73E4BEC2"/>
    <w:rsid w:val="75A08EFD"/>
    <w:rsid w:val="764F81B3"/>
    <w:rsid w:val="76DEF5F8"/>
    <w:rsid w:val="77C37B7F"/>
    <w:rsid w:val="79B3266E"/>
    <w:rsid w:val="7A4118A6"/>
    <w:rsid w:val="7C1A3013"/>
    <w:rsid w:val="7CA40205"/>
    <w:rsid w:val="7E7F3047"/>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34E83"/>
  <w15:docId w15:val="{AF7F0CDC-0C71-414D-9995-12532F1A3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PH" w:eastAsia="zh-CN"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404"/>
  </w:style>
  <w:style w:type="paragraph" w:styleId="Heading1">
    <w:name w:val="heading 1"/>
    <w:basedOn w:val="Normal"/>
    <w:next w:val="Normal"/>
    <w:link w:val="Heading1Char"/>
    <w:uiPriority w:val="9"/>
    <w:qFormat/>
    <w:rsid w:val="0074249C"/>
    <w:pPr>
      <w:spacing w:after="0" w:line="480" w:lineRule="auto"/>
      <w:jc w:val="center"/>
      <w:outlineLvl w:val="0"/>
    </w:pPr>
    <w:rPr>
      <w:rFonts w:ascii="Times New Roman" w:eastAsia="Times New Roman" w:hAnsi="Times New Roman" w:cs="Times New Roman"/>
      <w:b/>
      <w:bCs/>
    </w:rPr>
  </w:style>
  <w:style w:type="paragraph" w:styleId="Heading2">
    <w:name w:val="heading 2"/>
    <w:basedOn w:val="Normal"/>
    <w:next w:val="Normal"/>
    <w:link w:val="Heading2Char"/>
    <w:uiPriority w:val="9"/>
    <w:unhideWhenUsed/>
    <w:qFormat/>
    <w:rsid w:val="005B6EED"/>
    <w:pPr>
      <w:spacing w:after="0" w:line="480" w:lineRule="auto"/>
      <w:jc w:val="both"/>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unhideWhenUsed/>
    <w:qFormat/>
    <w:rsid w:val="0071276A"/>
    <w:pPr>
      <w:spacing w:after="0" w:line="480" w:lineRule="auto"/>
      <w:ind w:firstLine="720"/>
      <w:jc w:val="both"/>
      <w:outlineLvl w:val="2"/>
    </w:pPr>
    <w:rPr>
      <w:rFonts w:ascii="Times New Roman" w:eastAsia="Times New Roman" w:hAnsi="Times New Roman" w:cs="Times New Roman"/>
      <w:b/>
      <w:bCs/>
    </w:rPr>
  </w:style>
  <w:style w:type="paragraph" w:styleId="Heading4">
    <w:name w:val="heading 4"/>
    <w:basedOn w:val="Heading2"/>
    <w:next w:val="Normal"/>
    <w:link w:val="Heading4Char"/>
    <w:uiPriority w:val="9"/>
    <w:unhideWhenUsed/>
    <w:qFormat/>
    <w:rsid w:val="005B6EED"/>
    <w:pPr>
      <w:ind w:firstLine="720"/>
      <w:outlineLvl w:val="3"/>
    </w:pPr>
    <w:rPr>
      <w:b w:val="0"/>
      <w:bCs w:val="0"/>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D5224"/>
    <w:tblPr>
      <w:tblBorders>
        <w:top w:val="double" w:sz="4" w:space="0" w:color="auto"/>
      </w:tblBorders>
      <w:tblCellMar>
        <w:top w:w="100" w:type="dxa"/>
        <w:left w:w="100" w:type="dxa"/>
        <w:bottom w:w="100" w:type="dxa"/>
        <w:right w:w="100" w:type="dxa"/>
      </w:tblCellMar>
    </w:tblPr>
  </w:style>
  <w:style w:type="paragraph" w:styleId="Title">
    <w:name w:val="Title"/>
    <w:basedOn w:val="Normal"/>
    <w:next w:val="Normal"/>
    <w:link w:val="TitleChar"/>
    <w:uiPriority w:val="10"/>
    <w:qFormat/>
    <w:rsid w:val="0074249C"/>
    <w:pPr>
      <w:spacing w:after="0" w:line="480" w:lineRule="auto"/>
      <w:jc w:val="both"/>
    </w:pPr>
    <w:rPr>
      <w:rFonts w:ascii="Times New Roman" w:eastAsia="Times New Roman" w:hAnsi="Times New Roman" w:cs="Times New Roman"/>
      <w:b/>
      <w:bCs/>
    </w:rPr>
  </w:style>
  <w:style w:type="table" w:customStyle="1" w:styleId="TableNormal00">
    <w:name w:val="TableNormal0"/>
    <w:tblPr>
      <w:tblCellMar>
        <w:top w:w="100" w:type="dxa"/>
        <w:left w:w="100" w:type="dxa"/>
        <w:bottom w:w="100" w:type="dxa"/>
        <w:right w:w="100" w:type="dxa"/>
      </w:tblCellMar>
    </w:tbl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rPr>
      <w:rFonts w:ascii="Times New Roman" w:hAnsi="Times New Roman" w:cs="Times New Roman"/>
    </w:rPr>
  </w:style>
  <w:style w:type="character" w:customStyle="1" w:styleId="Heading1Char">
    <w:name w:val="Heading 1 Char"/>
    <w:basedOn w:val="DefaultParagraphFont"/>
    <w:link w:val="Heading1"/>
    <w:uiPriority w:val="9"/>
    <w:qFormat/>
    <w:rsid w:val="0074249C"/>
    <w:rPr>
      <w:rFonts w:ascii="Times New Roman" w:eastAsia="Times New Roman" w:hAnsi="Times New Roman" w:cs="Times New Roman"/>
      <w:b/>
      <w:bCs/>
    </w:rPr>
  </w:style>
  <w:style w:type="character" w:customStyle="1" w:styleId="Heading2Char">
    <w:name w:val="Heading 2 Char"/>
    <w:basedOn w:val="DefaultParagraphFont"/>
    <w:link w:val="Heading2"/>
    <w:uiPriority w:val="9"/>
    <w:qFormat/>
    <w:rsid w:val="005B6EED"/>
    <w:rPr>
      <w:rFonts w:ascii="Times New Roman" w:eastAsia="Times New Roman" w:hAnsi="Times New Roman" w:cs="Times New Roman"/>
      <w:b/>
      <w:bCs/>
    </w:rPr>
  </w:style>
  <w:style w:type="character" w:customStyle="1" w:styleId="Heading3Char">
    <w:name w:val="Heading 3 Char"/>
    <w:basedOn w:val="DefaultParagraphFont"/>
    <w:link w:val="Heading3"/>
    <w:uiPriority w:val="9"/>
    <w:qFormat/>
    <w:rsid w:val="0071276A"/>
    <w:rPr>
      <w:rFonts w:ascii="Times New Roman" w:eastAsia="Times New Roman" w:hAnsi="Times New Roman" w:cs="Times New Roman"/>
      <w:b/>
      <w:bCs/>
    </w:rPr>
  </w:style>
  <w:style w:type="character" w:customStyle="1" w:styleId="Heading4Char">
    <w:name w:val="Heading 4 Char"/>
    <w:basedOn w:val="DefaultParagraphFont"/>
    <w:link w:val="Heading4"/>
    <w:uiPriority w:val="9"/>
    <w:qFormat/>
    <w:rsid w:val="005B6EED"/>
    <w:rPr>
      <w:rFonts w:ascii="Times New Roman" w:eastAsia="Times New Roman" w:hAnsi="Times New Roman" w:cs="Times New Roman"/>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sid w:val="0074249C"/>
    <w:rPr>
      <w:rFonts w:ascii="Times New Roman" w:eastAsia="Times New Roman" w:hAnsi="Times New Roman" w:cs="Times New Roman"/>
      <w:b/>
      <w:bC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sid w:val="00613207"/>
    <w:rPr>
      <w:rFonts w:ascii="Calibri" w:eastAsia="Calibri" w:hAnsi="Calibri" w:cs="Times New Roman"/>
      <w:sz w:val="22"/>
      <w:szCs w:val="22"/>
      <w:lang w:val="fil-PH" w:eastAsia="en-US"/>
    </w:rPr>
  </w:style>
  <w:style w:type="character" w:customStyle="1" w:styleId="apple-style-span">
    <w:name w:val="apple-style-span"/>
    <w:basedOn w:val="DefaultParagraphFont"/>
    <w:rsid w:val="00613207"/>
  </w:style>
  <w:style w:type="character" w:styleId="Hyperlink">
    <w:name w:val="Hyperlink"/>
    <w:uiPriority w:val="99"/>
    <w:unhideWhenUsed/>
    <w:rsid w:val="00613207"/>
    <w:rPr>
      <w:color w:val="0000FF"/>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B75252"/>
    <w:pPr>
      <w:spacing w:after="0" w:line="240" w:lineRule="auto"/>
    </w:pPr>
    <w:rPr>
      <w:rFonts w:cs="Cordia New"/>
      <w:kern w:val="2"/>
      <w:sz w:val="22"/>
      <w:szCs w:val="22"/>
      <w:lang w:val="en-SG"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78AF"/>
    <w:rPr>
      <w:color w:val="605E5C"/>
      <w:shd w:val="clear" w:color="auto" w:fill="E1DFDD"/>
    </w:rPr>
  </w:style>
  <w:style w:type="character" w:styleId="PlaceholderText">
    <w:name w:val="Placeholder Text"/>
    <w:basedOn w:val="DefaultParagraphFont"/>
    <w:uiPriority w:val="99"/>
    <w:semiHidden/>
    <w:rsid w:val="00611AF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XE2HxO4r/W5k3R5YhBVtrHGvg==">CgMxLjAyDmguc3diMHgza3pnZ3kzOAByITFxSnNtMmd5S3Jjc2dNN3lNNzNIZHZRWHl0NWdNUk5MQw==</go:docsCustomData>
</go:gDocsCustomXmlDataStorage>
</file>

<file path=customXml/itemProps1.xml><?xml version="1.0" encoding="utf-8"?>
<ds:datastoreItem xmlns:ds="http://schemas.openxmlformats.org/officeDocument/2006/customXml" ds:itemID="{8F25F863-0FFA-4082-AA3C-C487206E757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672</TotalTime>
  <Pages>5</Pages>
  <Words>1653</Words>
  <Characters>9424</Characters>
  <Application>Microsoft Office Word</Application>
  <DocSecurity>0</DocSecurity>
  <Lines>78</Lines>
  <Paragraphs>22</Paragraphs>
  <ScaleCrop>false</ScaleCrop>
  <Company/>
  <LinksUpToDate>false</LinksUpToDate>
  <CharactersWithSpaces>11055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Jayvee Reyes</dc:creator>
  <cp:keywords/>
  <cp:lastModifiedBy>Elaina Geneta</cp:lastModifiedBy>
  <cp:revision>198</cp:revision>
  <cp:lastPrinted>2026-08-26T11:23:00Z</cp:lastPrinted>
  <dcterms:created xsi:type="dcterms:W3CDTF">2026-09-05T13:37:00Z</dcterms:created>
  <dcterms:modified xsi:type="dcterms:W3CDTF">2026-09-23T11:46:00Z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eyJoZGlkIjoiYWNlNzNhNmIzOTIzZGY2M2QzZGFjMTM3NDZmMGZlYmUifQ==</vt:lpwstr>
  </property>
  <property fmtid="{D5CDD505-2E9C-101B-9397-08002B2CF9AE}" pid="3" name="KSOProductBuildVer">
    <vt:lpwstr>1033-12.1.0.26880</vt:lpwstr>
  </property>
  <property fmtid="{D5CDD505-2E9C-101B-9397-08002B2CF9AE}" pid="4" name="ICV">
    <vt:lpwstr>7F71C575C425419CABCA5C205FBD0E49_12</vt:lpwstr>
  </property>
  <property fmtid="{D5CDD505-2E9C-101B-9397-08002B2CF9AE}" pid="5" name="GrammarlyDocumentId">
    <vt:lpwstr>b4a4b376-c083-4e79-b11d-3540a4bbe496</vt:lpwstr>
  </property>
</Properties>
</file>