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480" w:lineRule="auto"/>
        <w:jc w:val="left"/>
      </w:pPr>
      <w:r>
        <w:rPr>
          <w:rFonts w:ascii="Times New Roman" w:hAnsi="Times New Roman"/>
          <w:b/>
          <w:i w:val="0"/>
          <w:sz w:val="24"/>
        </w:rPr>
        <w:t>Project Inventory</w:t>
      </w:r>
    </w:p>
    <w:p>
      <w:pPr>
        <w:spacing w:after="0" w:line="480" w:lineRule="auto"/>
        <w:ind w:firstLine="720"/>
        <w:jc w:val="both"/>
      </w:pPr>
      <w:r>
        <w:rPr>
          <w:rFonts w:ascii="Times New Roman" w:hAnsi="Times New Roman"/>
          <w:b w:val="0"/>
          <w:i w:val="0"/>
          <w:sz w:val="24"/>
        </w:rPr>
        <w:t>This document consolidates all data needed to develop the intended system, now officially named Health Alert (formerly HealthIntelAI, Team Health-Nology). All folders, files, and presentations under D:\SILLAG-Project-1 were scanned and analyzed, with full attention to docs\HealthIntelAI_Scope.pdf (Document Ref: HEALTH-INTEL-PSD-2026, July 20, 2026) and D:/SILLAG-Project-1/docs/HealthIntelAI_Framework.pdf. Studies and literature on utilizing the ten automated surveillance feeds to predict the sixteen target diseases are included with formulas and implementation solutions so the feeds can be used for high-accuracy forecasting.</w:t>
      </w:r>
    </w:p>
    <w:p>
      <w:pPr>
        <w:spacing w:after="0" w:line="480" w:lineRule="auto"/>
        <w:ind w:firstLine="720"/>
        <w:jc w:val="both"/>
      </w:pPr>
      <w:r>
        <w:rPr>
          <w:rFonts w:ascii="Times New Roman" w:hAnsi="Times New Roman"/>
          <w:b w:val="0"/>
          <w:i w:val="0"/>
          <w:sz w:val="24"/>
        </w:rPr>
        <w:t>The workspace root contains twenty-eight objects. The docs folder holds HealthIntelAI_Scope.pdf, HealthIntelAI_Framework.pdf, HealthIntelAI_DataSources_Recommendation.docx, HealthIntelAI_EDCS-IS_Comparison.docx, HealthIntelAI_Pitch_Speaker_Notes.docx, and scope.html. The root holds the Health-Nology Concept Note (PSCXI .docx and .pdf with a template backup), the PSC11 presentation deck (.pptx and .pdf, twelve slides), the HealthAlert presentation (.pptx and .pdf), the expanded abstract, three Enactus Philippines 2026 registration documents, three Python build scripts (build_abstract.py, build_presentation.py, fill_concept_note.py), one PowerShell converter (convert_to_pdf.ps1), and an images folder with six visuals (cover_bg, ai_dashboard, edge_hardware, rural_clinic, global_health, team_health).</w:t>
      </w:r>
    </w:p>
    <w:p>
      <w:pPr>
        <w:spacing w:after="120" w:line="480" w:lineRule="auto"/>
        <w:jc w:val="left"/>
      </w:pPr>
      <w:r>
        <w:rPr>
          <w:rFonts w:ascii="Times New Roman" w:hAnsi="Times New Roman"/>
          <w:b/>
          <w:i w:val="0"/>
          <w:sz w:val="24"/>
        </w:rPr>
        <w:t>System Overview</w:t>
      </w:r>
    </w:p>
    <w:p>
      <w:pPr>
        <w:spacing w:after="0" w:line="480" w:lineRule="auto"/>
        <w:ind w:firstLine="720"/>
        <w:jc w:val="both"/>
      </w:pPr>
      <w:r>
        <w:rPr>
          <w:rFonts w:ascii="Times New Roman" w:hAnsi="Times New Roman"/>
          <w:b w:val="0"/>
          <w:i w:val="0"/>
          <w:sz w:val="24"/>
        </w:rPr>
        <w:t>Health Alert is an edge-native, offline-first public health intelligence and decision support platform for Philippine local government units (LGUs), Rural Health Units (RHUs), and Local Disaster Risk Reduction and Management Councils (LDRRMCs). It is positioned as a non-disruptive predictive overlay on the statutory EDCS-IS reporting system mandated under Republic Act No. 11332, not as its replacement (EDCS-IS Comparison, 2026). The platform combines predictive analytics, a retrieval-augmented generation (RAG) clinical knowledge engine, decision support with automated playbooks, a public health command dashboard, and a citizen health assistant. It operates on ten automated data pipelines with no manual encoding and no personally identifiable information, in compliance with the Data Privacy Act (Republic Act No. 10173).</w:t>
      </w:r>
    </w:p>
    <w:p>
      <w:pPr>
        <w:spacing w:after="0" w:line="480" w:lineRule="auto"/>
        <w:ind w:firstLine="720"/>
        <w:jc w:val="both"/>
      </w:pPr>
      <w:r>
        <w:rPr>
          <w:rFonts w:ascii="Times New Roman" w:hAnsi="Times New Roman"/>
          <w:b w:val="0"/>
          <w:i w:val="0"/>
          <w:sz w:val="24"/>
        </w:rPr>
        <w:t>Under the Plan phase, the proponents defined measurable targets that govern all downstream design. The system delivers two to four weeks of advance warning for acute respiratory and waterborne diseases and up to eight weeks for climate-correlated vector-borne infections such as dengue and leptospirosis, at an Area Under the ROC Curve (AUC-ROC) between 0.88 and 0.94 with minimum 90% sensitivity across seasonal surges. Edge operation is guaranteed at 100% uptime on commodity 8 GB fanless microservers with sub-420 to 500 millisecond retrieval latency and sub-60-second bidirectional delta-sync upon reconnection. Each pilot LGU saves fifteen to twenty administrative staff-hours per week while avoiding up to ₱2.5 million per municipal outbreak in emergency response cost.</w:t>
      </w:r>
    </w:p>
    <w:p>
      <w:pPr>
        <w:spacing w:after="120" w:line="480" w:lineRule="auto"/>
        <w:jc w:val="left"/>
      </w:pPr>
      <w:r>
        <w:rPr>
          <w:rFonts w:ascii="Times New Roman" w:hAnsi="Times New Roman"/>
          <w:b/>
          <w:i w:val="0"/>
          <w:sz w:val="24"/>
        </w:rPr>
        <w:t>Ten Automated Surveillance Feeds</w:t>
      </w:r>
    </w:p>
    <w:p>
      <w:pPr>
        <w:spacing w:after="0" w:line="480" w:lineRule="auto"/>
        <w:ind w:firstLine="720"/>
        <w:jc w:val="both"/>
      </w:pPr>
      <w:r>
        <w:rPr>
          <w:rFonts w:ascii="Times New Roman" w:hAnsi="Times New Roman"/>
          <w:b w:val="0"/>
          <w:i w:val="0"/>
          <w:sz w:val="24"/>
        </w:rPr>
        <w:t>To govern data ingestion, the researchers implement ten continuous automated feeds organized as a layered surveillance architecture. Ground truth case data train and validate the models, leading indicators provide early warning before clinical confirmation, environmental context drives vector-borne, respiratory, and environmental prediction, and lagging confirmation supplies situational awareness. Table 1 summarizes the final configuration adopted in the Scope and Framework documents.</w:t>
      </w:r>
    </w:p>
    <w:p>
      <w:pPr>
        <w:spacing w:after="240" w:line="480" w:lineRule="auto"/>
        <w:jc w:val="center"/>
      </w:pPr>
      <w:r>
        <w:rPr>
          <w:rFonts w:ascii="Times New Roman" w:hAnsi="Times New Roman"/>
          <w:b w:val="0"/>
          <w:i w:val="0"/>
          <w:sz w:val="24"/>
        </w:rPr>
        <w:t>Table 1. The Ten Automated Surveillance Feeds of Health Alert.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i w:val="0"/>
                <w:sz w:val="24"/>
              </w:rPr>
              <w:t>#</w:t>
            </w:r>
          </w:p>
        </w:tc>
        <w:tc>
          <w:tcPr>
            <w:tcW w:type="dxa" w:w="2340"/>
          </w:tcPr>
          <w:p>
            <w:pPr>
              <w:jc w:val="center"/>
            </w:pPr>
            <w:r/>
            <w:r>
              <w:rPr>
                <w:rFonts w:ascii="Times New Roman" w:hAnsi="Times New Roman"/>
                <w:b/>
                <w:i w:val="0"/>
                <w:sz w:val="24"/>
              </w:rPr>
              <w:t>Feed</w:t>
            </w:r>
          </w:p>
        </w:tc>
        <w:tc>
          <w:tcPr>
            <w:tcW w:type="dxa" w:w="2340"/>
          </w:tcPr>
          <w:p>
            <w:pPr>
              <w:jc w:val="center"/>
            </w:pPr>
            <w:r/>
            <w:r>
              <w:rPr>
                <w:rFonts w:ascii="Times New Roman" w:hAnsi="Times New Roman"/>
                <w:b/>
                <w:i w:val="0"/>
                <w:sz w:val="24"/>
              </w:rPr>
              <w:t>API / Provider</w:t>
            </w:r>
          </w:p>
        </w:tc>
        <w:tc>
          <w:tcPr>
            <w:tcW w:type="dxa" w:w="2340"/>
          </w:tcPr>
          <w:p>
            <w:pPr>
              <w:jc w:val="center"/>
            </w:pPr>
            <w:r/>
            <w:r>
              <w:rPr>
                <w:rFonts w:ascii="Times New Roman" w:hAnsi="Times New Roman"/>
                <w:b/>
                <w:i w:val="0"/>
                <w:sz w:val="24"/>
              </w:rPr>
              <w:t>Function</w:t>
            </w:r>
          </w:p>
        </w:tc>
      </w:tr>
      <w:tr>
        <w:tc>
          <w:tcPr>
            <w:tcW w:type="dxa" w:w="2340"/>
          </w:tcPr>
          <w:p>
            <w:pPr>
              <w:spacing w:after="0" w:line="240" w:lineRule="auto"/>
              <w:jc w:val="center"/>
            </w:pPr>
            <w:r/>
            <w:r>
              <w:rPr>
                <w:rFonts w:ascii="Times New Roman" w:hAnsi="Times New Roman"/>
                <w:b w:val="0"/>
                <w:i w:val="0"/>
                <w:sz w:val="24"/>
              </w:rPr>
              <w:t>1</w:t>
            </w:r>
          </w:p>
        </w:tc>
        <w:tc>
          <w:tcPr>
            <w:tcW w:type="dxa" w:w="2340"/>
          </w:tcPr>
          <w:p>
            <w:pPr>
              <w:spacing w:after="0" w:line="240" w:lineRule="auto"/>
              <w:jc w:val="center"/>
            </w:pPr>
            <w:r/>
            <w:r>
              <w:rPr>
                <w:rFonts w:ascii="Times New Roman" w:hAnsi="Times New Roman"/>
                <w:b w:val="0"/>
                <w:i w:val="0"/>
                <w:sz w:val="24"/>
              </w:rPr>
              <w:t>Weather and Climate</w:t>
            </w:r>
          </w:p>
        </w:tc>
        <w:tc>
          <w:tcPr>
            <w:tcW w:type="dxa" w:w="2340"/>
          </w:tcPr>
          <w:p>
            <w:pPr>
              <w:spacing w:after="0" w:line="240" w:lineRule="auto"/>
              <w:jc w:val="center"/>
            </w:pPr>
            <w:r/>
            <w:r>
              <w:rPr>
                <w:rFonts w:ascii="Times New Roman" w:hAnsi="Times New Roman"/>
                <w:b w:val="0"/>
                <w:i w:val="0"/>
                <w:sz w:val="24"/>
              </w:rPr>
              <w:t>OpenWeatherMap, PAGASA</w:t>
            </w:r>
          </w:p>
        </w:tc>
        <w:tc>
          <w:tcPr>
            <w:tcW w:type="dxa" w:w="2340"/>
          </w:tcPr>
          <w:p>
            <w:pPr>
              <w:spacing w:after="0" w:line="240" w:lineRule="auto"/>
              <w:jc w:val="center"/>
            </w:pPr>
            <w:r/>
            <w:r>
              <w:rPr>
                <w:rFonts w:ascii="Times New Roman" w:hAnsi="Times New Roman"/>
                <w:b w:val="0"/>
                <w:i w:val="0"/>
                <w:sz w:val="24"/>
              </w:rPr>
              <w:t>Temperature, rainfall, humidity; vector breeding conditions</w:t>
            </w:r>
          </w:p>
        </w:tc>
      </w:tr>
      <w:tr>
        <w:tc>
          <w:tcPr>
            <w:tcW w:type="dxa" w:w="2340"/>
          </w:tcPr>
          <w:p>
            <w:pPr>
              <w:spacing w:after="0" w:line="240" w:lineRule="auto"/>
              <w:jc w:val="center"/>
            </w:pPr>
            <w:r/>
            <w:r>
              <w:rPr>
                <w:rFonts w:ascii="Times New Roman" w:hAnsi="Times New Roman"/>
                <w:b w:val="0"/>
                <w:i w:val="0"/>
                <w:sz w:val="24"/>
              </w:rPr>
              <w:t>2</w:t>
            </w:r>
          </w:p>
        </w:tc>
        <w:tc>
          <w:tcPr>
            <w:tcW w:type="dxa" w:w="2340"/>
          </w:tcPr>
          <w:p>
            <w:pPr>
              <w:spacing w:after="0" w:line="240" w:lineRule="auto"/>
              <w:jc w:val="center"/>
            </w:pPr>
            <w:r/>
            <w:r>
              <w:rPr>
                <w:rFonts w:ascii="Times New Roman" w:hAnsi="Times New Roman"/>
                <w:b w:val="0"/>
                <w:i w:val="0"/>
                <w:sz w:val="24"/>
              </w:rPr>
              <w:t>Social Signals</w:t>
            </w:r>
          </w:p>
        </w:tc>
        <w:tc>
          <w:tcPr>
            <w:tcW w:type="dxa" w:w="2340"/>
          </w:tcPr>
          <w:p>
            <w:pPr>
              <w:spacing w:after="0" w:line="240" w:lineRule="auto"/>
              <w:jc w:val="center"/>
            </w:pPr>
            <w:r/>
            <w:r>
              <w:rPr>
                <w:rFonts w:ascii="Times New Roman" w:hAnsi="Times New Roman"/>
                <w:b w:val="0"/>
                <w:i w:val="0"/>
                <w:sz w:val="24"/>
              </w:rPr>
              <w:t>Twitter/X API, Taglish filter</w:t>
            </w:r>
          </w:p>
        </w:tc>
        <w:tc>
          <w:tcPr>
            <w:tcW w:type="dxa" w:w="2340"/>
          </w:tcPr>
          <w:p>
            <w:pPr>
              <w:spacing w:after="0" w:line="240" w:lineRule="auto"/>
              <w:jc w:val="center"/>
            </w:pPr>
            <w:r/>
            <w:r>
              <w:rPr>
                <w:rFonts w:ascii="Times New Roman" w:hAnsi="Times New Roman"/>
                <w:b w:val="0"/>
                <w:i w:val="0"/>
                <w:sz w:val="24"/>
              </w:rPr>
              <w:t>Early symptom trend detection before clinical visits</w:t>
            </w:r>
          </w:p>
        </w:tc>
      </w:tr>
      <w:tr>
        <w:tc>
          <w:tcPr>
            <w:tcW w:type="dxa" w:w="2340"/>
          </w:tcPr>
          <w:p>
            <w:pPr>
              <w:spacing w:after="0" w:line="240" w:lineRule="auto"/>
              <w:jc w:val="center"/>
            </w:pPr>
            <w:r/>
            <w:r>
              <w:rPr>
                <w:rFonts w:ascii="Times New Roman" w:hAnsi="Times New Roman"/>
                <w:b w:val="0"/>
                <w:i w:val="0"/>
                <w:sz w:val="24"/>
              </w:rPr>
              <w:t>3</w:t>
            </w:r>
          </w:p>
        </w:tc>
        <w:tc>
          <w:tcPr>
            <w:tcW w:type="dxa" w:w="2340"/>
          </w:tcPr>
          <w:p>
            <w:pPr>
              <w:spacing w:after="0" w:line="240" w:lineRule="auto"/>
              <w:jc w:val="center"/>
            </w:pPr>
            <w:r/>
            <w:r>
              <w:rPr>
                <w:rFonts w:ascii="Times New Roman" w:hAnsi="Times New Roman"/>
                <w:b w:val="0"/>
                <w:i w:val="0"/>
                <w:sz w:val="24"/>
              </w:rPr>
              <w:t>Digital News Feeds</w:t>
            </w:r>
          </w:p>
        </w:tc>
        <w:tc>
          <w:tcPr>
            <w:tcW w:type="dxa" w:w="2340"/>
          </w:tcPr>
          <w:p>
            <w:pPr>
              <w:spacing w:after="0" w:line="240" w:lineRule="auto"/>
              <w:jc w:val="center"/>
            </w:pPr>
            <w:r/>
            <w:r>
              <w:rPr>
                <w:rFonts w:ascii="Times New Roman" w:hAnsi="Times New Roman"/>
                <w:b w:val="0"/>
                <w:i w:val="0"/>
                <w:sz w:val="24"/>
              </w:rPr>
              <w:t>GDELT Project, local RSS</w:t>
            </w:r>
          </w:p>
        </w:tc>
        <w:tc>
          <w:tcPr>
            <w:tcW w:type="dxa" w:w="2340"/>
          </w:tcPr>
          <w:p>
            <w:pPr>
              <w:spacing w:after="0" w:line="240" w:lineRule="auto"/>
              <w:jc w:val="center"/>
            </w:pPr>
            <w:r/>
            <w:r>
              <w:rPr>
                <w:rFonts w:ascii="Times New Roman" w:hAnsi="Times New Roman"/>
                <w:b w:val="0"/>
                <w:i w:val="0"/>
                <w:sz w:val="24"/>
              </w:rPr>
              <w:t>Outbreak confirmation and situational awareness</w:t>
            </w:r>
          </w:p>
        </w:tc>
      </w:tr>
      <w:tr>
        <w:tc>
          <w:tcPr>
            <w:tcW w:type="dxa" w:w="2340"/>
          </w:tcPr>
          <w:p>
            <w:pPr>
              <w:spacing w:after="0" w:line="240" w:lineRule="auto"/>
              <w:jc w:val="center"/>
            </w:pPr>
            <w:r/>
            <w:r>
              <w:rPr>
                <w:rFonts w:ascii="Times New Roman" w:hAnsi="Times New Roman"/>
                <w:b w:val="0"/>
                <w:i w:val="0"/>
                <w:sz w:val="24"/>
              </w:rPr>
              <w:t>4</w:t>
            </w:r>
          </w:p>
        </w:tc>
        <w:tc>
          <w:tcPr>
            <w:tcW w:type="dxa" w:w="2340"/>
          </w:tcPr>
          <w:p>
            <w:pPr>
              <w:spacing w:after="0" w:line="240" w:lineRule="auto"/>
              <w:jc w:val="center"/>
            </w:pPr>
            <w:r/>
            <w:r>
              <w:rPr>
                <w:rFonts w:ascii="Times New Roman" w:hAnsi="Times New Roman"/>
                <w:b w:val="0"/>
                <w:i w:val="0"/>
                <w:sz w:val="24"/>
              </w:rPr>
              <w:t>DOH PIDSR</w:t>
            </w:r>
          </w:p>
        </w:tc>
        <w:tc>
          <w:tcPr>
            <w:tcW w:type="dxa" w:w="2340"/>
          </w:tcPr>
          <w:p>
            <w:pPr>
              <w:spacing w:after="0" w:line="240" w:lineRule="auto"/>
              <w:jc w:val="center"/>
            </w:pPr>
            <w:r/>
            <w:r>
              <w:rPr>
                <w:rFonts w:ascii="Times New Roman" w:hAnsi="Times New Roman"/>
                <w:b w:val="0"/>
                <w:i w:val="0"/>
                <w:sz w:val="24"/>
              </w:rPr>
              <w:t>Epidemiology Bureau weekly reports</w:t>
            </w:r>
          </w:p>
        </w:tc>
        <w:tc>
          <w:tcPr>
            <w:tcW w:type="dxa" w:w="2340"/>
          </w:tcPr>
          <w:p>
            <w:pPr>
              <w:spacing w:after="0" w:line="240" w:lineRule="auto"/>
              <w:jc w:val="center"/>
            </w:pPr>
            <w:r/>
            <w:r>
              <w:rPr>
                <w:rFonts w:ascii="Times New Roman" w:hAnsi="Times New Roman"/>
                <w:b w:val="0"/>
                <w:i w:val="0"/>
                <w:sz w:val="24"/>
              </w:rPr>
              <w:t>Ground truth for 14+ diseases by municipality/city</w:t>
            </w:r>
          </w:p>
        </w:tc>
      </w:tr>
      <w:tr>
        <w:tc>
          <w:tcPr>
            <w:tcW w:type="dxa" w:w="2340"/>
          </w:tcPr>
          <w:p>
            <w:pPr>
              <w:spacing w:after="0" w:line="240" w:lineRule="auto"/>
              <w:jc w:val="center"/>
            </w:pPr>
            <w:r/>
            <w:r>
              <w:rPr>
                <w:rFonts w:ascii="Times New Roman" w:hAnsi="Times New Roman"/>
                <w:b w:val="0"/>
                <w:i w:val="0"/>
                <w:sz w:val="24"/>
              </w:rPr>
              <w:t>5</w:t>
            </w:r>
          </w:p>
        </w:tc>
        <w:tc>
          <w:tcPr>
            <w:tcW w:type="dxa" w:w="2340"/>
          </w:tcPr>
          <w:p>
            <w:pPr>
              <w:spacing w:after="0" w:line="240" w:lineRule="auto"/>
              <w:jc w:val="center"/>
            </w:pPr>
            <w:r/>
            <w:r>
              <w:rPr>
                <w:rFonts w:ascii="Times New Roman" w:hAnsi="Times New Roman"/>
                <w:b w:val="0"/>
                <w:i w:val="0"/>
                <w:sz w:val="24"/>
              </w:rPr>
              <w:t>DOH ITIS</w:t>
            </w:r>
          </w:p>
        </w:tc>
        <w:tc>
          <w:tcPr>
            <w:tcW w:type="dxa" w:w="2340"/>
          </w:tcPr>
          <w:p>
            <w:pPr>
              <w:spacing w:after="0" w:line="240" w:lineRule="auto"/>
              <w:jc w:val="center"/>
            </w:pPr>
            <w:r/>
            <w:r>
              <w:rPr>
                <w:rFonts w:ascii="Times New Roman" w:hAnsi="Times New Roman"/>
                <w:b w:val="0"/>
                <w:i w:val="0"/>
                <w:sz w:val="24"/>
              </w:rPr>
              <w:t>ntp.doh.gov.ph quarterly</w:t>
            </w:r>
          </w:p>
        </w:tc>
        <w:tc>
          <w:tcPr>
            <w:tcW w:type="dxa" w:w="2340"/>
          </w:tcPr>
          <w:p>
            <w:pPr>
              <w:spacing w:after="0" w:line="240" w:lineRule="auto"/>
              <w:jc w:val="center"/>
            </w:pPr>
            <w:r/>
            <w:r>
              <w:rPr>
                <w:rFonts w:ascii="Times New Roman" w:hAnsi="Times New Roman"/>
                <w:b w:val="0"/>
                <w:i w:val="0"/>
                <w:sz w:val="24"/>
              </w:rPr>
              <w:t>Ground truth for tuberculosis notifications and treatment</w:t>
            </w:r>
          </w:p>
        </w:tc>
      </w:tr>
      <w:tr>
        <w:tc>
          <w:tcPr>
            <w:tcW w:type="dxa" w:w="2340"/>
          </w:tcPr>
          <w:p>
            <w:pPr>
              <w:spacing w:after="0" w:line="240" w:lineRule="auto"/>
              <w:jc w:val="center"/>
            </w:pPr>
            <w:r/>
            <w:r>
              <w:rPr>
                <w:rFonts w:ascii="Times New Roman" w:hAnsi="Times New Roman"/>
                <w:b w:val="0"/>
                <w:i w:val="0"/>
                <w:sz w:val="24"/>
              </w:rPr>
              <w:t>6</w:t>
            </w:r>
          </w:p>
        </w:tc>
        <w:tc>
          <w:tcPr>
            <w:tcW w:type="dxa" w:w="2340"/>
          </w:tcPr>
          <w:p>
            <w:pPr>
              <w:spacing w:after="0" w:line="240" w:lineRule="auto"/>
              <w:jc w:val="center"/>
            </w:pPr>
            <w:r/>
            <w:r>
              <w:rPr>
                <w:rFonts w:ascii="Times New Roman" w:hAnsi="Times New Roman"/>
                <w:b w:val="0"/>
                <w:i w:val="0"/>
                <w:sz w:val="24"/>
              </w:rPr>
              <w:t>DOH COVID-19 Bulletin</w:t>
            </w:r>
          </w:p>
        </w:tc>
        <w:tc>
          <w:tcPr>
            <w:tcW w:type="dxa" w:w="2340"/>
          </w:tcPr>
          <w:p>
            <w:pPr>
              <w:spacing w:after="0" w:line="240" w:lineRule="auto"/>
              <w:jc w:val="center"/>
            </w:pPr>
            <w:r/>
            <w:r>
              <w:rPr>
                <w:rFonts w:ascii="Times New Roman" w:hAnsi="Times New Roman"/>
                <w:b w:val="0"/>
                <w:i w:val="0"/>
                <w:sz w:val="24"/>
              </w:rPr>
              <w:t>dashboard.doh.gov.ph weekly</w:t>
            </w:r>
          </w:p>
        </w:tc>
        <w:tc>
          <w:tcPr>
            <w:tcW w:type="dxa" w:w="2340"/>
          </w:tcPr>
          <w:p>
            <w:pPr>
              <w:spacing w:after="0" w:line="240" w:lineRule="auto"/>
              <w:jc w:val="center"/>
            </w:pPr>
            <w:r/>
            <w:r>
              <w:rPr>
                <w:rFonts w:ascii="Times New Roman" w:hAnsi="Times New Roman"/>
                <w:b w:val="0"/>
                <w:i w:val="0"/>
                <w:sz w:val="24"/>
              </w:rPr>
              <w:t>Ground truth for cases, severe/critical, ICU use</w:t>
            </w:r>
          </w:p>
        </w:tc>
      </w:tr>
      <w:tr>
        <w:tc>
          <w:tcPr>
            <w:tcW w:type="dxa" w:w="2340"/>
          </w:tcPr>
          <w:p>
            <w:pPr>
              <w:spacing w:after="0" w:line="240" w:lineRule="auto"/>
              <w:jc w:val="center"/>
            </w:pPr>
            <w:r/>
            <w:r>
              <w:rPr>
                <w:rFonts w:ascii="Times New Roman" w:hAnsi="Times New Roman"/>
                <w:b w:val="0"/>
                <w:i w:val="0"/>
                <w:sz w:val="24"/>
              </w:rPr>
              <w:t>7</w:t>
            </w:r>
          </w:p>
        </w:tc>
        <w:tc>
          <w:tcPr>
            <w:tcW w:type="dxa" w:w="2340"/>
          </w:tcPr>
          <w:p>
            <w:pPr>
              <w:spacing w:after="0" w:line="240" w:lineRule="auto"/>
              <w:jc w:val="center"/>
            </w:pPr>
            <w:r/>
            <w:r>
              <w:rPr>
                <w:rFonts w:ascii="Times New Roman" w:hAnsi="Times New Roman"/>
                <w:b w:val="0"/>
                <w:i w:val="0"/>
                <w:sz w:val="24"/>
              </w:rPr>
              <w:t>Google Trends</w:t>
            </w:r>
          </w:p>
        </w:tc>
        <w:tc>
          <w:tcPr>
            <w:tcW w:type="dxa" w:w="2340"/>
          </w:tcPr>
          <w:p>
            <w:pPr>
              <w:spacing w:after="0" w:line="240" w:lineRule="auto"/>
              <w:jc w:val="center"/>
            </w:pPr>
            <w:r/>
            <w:r>
              <w:rPr>
                <w:rFonts w:ascii="Times New Roman" w:hAnsi="Times New Roman"/>
                <w:b w:val="0"/>
                <w:i w:val="0"/>
                <w:sz w:val="24"/>
              </w:rPr>
              <w:t>Free Trends API</w:t>
            </w:r>
          </w:p>
        </w:tc>
        <w:tc>
          <w:tcPr>
            <w:tcW w:type="dxa" w:w="2340"/>
          </w:tcPr>
          <w:p>
            <w:pPr>
              <w:spacing w:after="0" w:line="240" w:lineRule="auto"/>
              <w:jc w:val="center"/>
            </w:pPr>
            <w:r/>
            <w:r>
              <w:rPr>
                <w:rFonts w:ascii="Times New Roman" w:hAnsi="Times New Roman"/>
                <w:b w:val="0"/>
                <w:i w:val="0"/>
                <w:sz w:val="24"/>
              </w:rPr>
              <w:t>Leading indicator; queries spike before clinic visits</w:t>
            </w:r>
          </w:p>
        </w:tc>
      </w:tr>
      <w:tr>
        <w:tc>
          <w:tcPr>
            <w:tcW w:type="dxa" w:w="2340"/>
          </w:tcPr>
          <w:p>
            <w:pPr>
              <w:spacing w:after="0" w:line="240" w:lineRule="auto"/>
              <w:jc w:val="center"/>
            </w:pPr>
            <w:r/>
            <w:r>
              <w:rPr>
                <w:rFonts w:ascii="Times New Roman" w:hAnsi="Times New Roman"/>
                <w:b w:val="0"/>
                <w:i w:val="0"/>
                <w:sz w:val="24"/>
              </w:rPr>
              <w:t>8</w:t>
            </w:r>
          </w:p>
        </w:tc>
        <w:tc>
          <w:tcPr>
            <w:tcW w:type="dxa" w:w="2340"/>
          </w:tcPr>
          <w:p>
            <w:pPr>
              <w:spacing w:after="0" w:line="240" w:lineRule="auto"/>
              <w:jc w:val="center"/>
            </w:pPr>
            <w:r/>
            <w:r>
              <w:rPr>
                <w:rFonts w:ascii="Times New Roman" w:hAnsi="Times New Roman"/>
                <w:b w:val="0"/>
                <w:i w:val="0"/>
                <w:sz w:val="24"/>
              </w:rPr>
              <w:t>PAGASA iHeatMap</w:t>
            </w:r>
          </w:p>
        </w:tc>
        <w:tc>
          <w:tcPr>
            <w:tcW w:type="dxa" w:w="2340"/>
          </w:tcPr>
          <w:p>
            <w:pPr>
              <w:spacing w:after="0" w:line="240" w:lineRule="auto"/>
              <w:jc w:val="center"/>
            </w:pPr>
            <w:r/>
            <w:r>
              <w:rPr>
                <w:rFonts w:ascii="Times New Roman" w:hAnsi="Times New Roman"/>
                <w:b w:val="0"/>
                <w:i w:val="0"/>
                <w:sz w:val="24"/>
              </w:rPr>
              <w:t>pagasa.dost.gov.ph</w:t>
            </w:r>
          </w:p>
        </w:tc>
        <w:tc>
          <w:tcPr>
            <w:tcW w:type="dxa" w:w="2340"/>
          </w:tcPr>
          <w:p>
            <w:pPr>
              <w:spacing w:after="0" w:line="240" w:lineRule="auto"/>
              <w:jc w:val="center"/>
            </w:pPr>
            <w:r/>
            <w:r>
              <w:rPr>
                <w:rFonts w:ascii="Times New Roman" w:hAnsi="Times New Roman"/>
                <w:b w:val="0"/>
                <w:i w:val="0"/>
                <w:sz w:val="24"/>
              </w:rPr>
              <w:t>Real-time gridded heat index with hourly forecasts</w:t>
            </w:r>
          </w:p>
        </w:tc>
      </w:tr>
      <w:tr>
        <w:tc>
          <w:tcPr>
            <w:tcW w:type="dxa" w:w="2340"/>
          </w:tcPr>
          <w:p>
            <w:pPr>
              <w:spacing w:after="0" w:line="240" w:lineRule="auto"/>
              <w:jc w:val="center"/>
            </w:pPr>
            <w:r/>
            <w:r>
              <w:rPr>
                <w:rFonts w:ascii="Times New Roman" w:hAnsi="Times New Roman"/>
                <w:b w:val="0"/>
                <w:i w:val="0"/>
                <w:sz w:val="24"/>
              </w:rPr>
              <w:t>9</w:t>
            </w:r>
          </w:p>
        </w:tc>
        <w:tc>
          <w:tcPr>
            <w:tcW w:type="dxa" w:w="2340"/>
          </w:tcPr>
          <w:p>
            <w:pPr>
              <w:spacing w:after="0" w:line="240" w:lineRule="auto"/>
              <w:jc w:val="center"/>
            </w:pPr>
            <w:r/>
            <w:r>
              <w:rPr>
                <w:rFonts w:ascii="Times New Roman" w:hAnsi="Times New Roman"/>
                <w:b w:val="0"/>
                <w:i w:val="0"/>
                <w:sz w:val="24"/>
              </w:rPr>
              <w:t>DENR-EMB Air Quality</w:t>
            </w:r>
          </w:p>
        </w:tc>
        <w:tc>
          <w:tcPr>
            <w:tcW w:type="dxa" w:w="2340"/>
          </w:tcPr>
          <w:p>
            <w:pPr>
              <w:spacing w:after="0" w:line="240" w:lineRule="auto"/>
              <w:jc w:val="center"/>
            </w:pPr>
            <w:r/>
            <w:r>
              <w:rPr>
                <w:rFonts w:ascii="Times New Roman" w:hAnsi="Times New Roman"/>
                <w:b w:val="0"/>
                <w:i w:val="0"/>
                <w:sz w:val="24"/>
              </w:rPr>
              <w:t>air.emb.gov.ph, aqicn.org (41+ stations)</w:t>
            </w:r>
          </w:p>
        </w:tc>
        <w:tc>
          <w:tcPr>
            <w:tcW w:type="dxa" w:w="2340"/>
          </w:tcPr>
          <w:p>
            <w:pPr>
              <w:spacing w:after="0" w:line="240" w:lineRule="auto"/>
              <w:jc w:val="center"/>
            </w:pPr>
            <w:r/>
            <w:r>
              <w:rPr>
                <w:rFonts w:ascii="Times New Roman" w:hAnsi="Times New Roman"/>
                <w:b w:val="0"/>
                <w:i w:val="0"/>
                <w:sz w:val="24"/>
              </w:rPr>
              <w:t>PM2.5, PM10, NO2, SO2, CO, O3 for asthma/respiratory</w:t>
            </w:r>
          </w:p>
        </w:tc>
      </w:tr>
      <w:tr>
        <w:tc>
          <w:tcPr>
            <w:tcW w:type="dxa" w:w="2340"/>
          </w:tcPr>
          <w:p>
            <w:pPr>
              <w:spacing w:after="0" w:line="240" w:lineRule="auto"/>
              <w:jc w:val="center"/>
            </w:pPr>
            <w:r/>
            <w:r>
              <w:rPr>
                <w:rFonts w:ascii="Times New Roman" w:hAnsi="Times New Roman"/>
                <w:b w:val="0"/>
                <w:i w:val="0"/>
                <w:sz w:val="24"/>
              </w:rPr>
              <w:t>10</w:t>
            </w:r>
          </w:p>
        </w:tc>
        <w:tc>
          <w:tcPr>
            <w:tcW w:type="dxa" w:w="2340"/>
          </w:tcPr>
          <w:p>
            <w:pPr>
              <w:spacing w:after="0" w:line="240" w:lineRule="auto"/>
              <w:jc w:val="center"/>
            </w:pPr>
            <w:r/>
            <w:r>
              <w:rPr>
                <w:rFonts w:ascii="Times New Roman" w:hAnsi="Times New Roman"/>
                <w:b w:val="0"/>
                <w:i w:val="0"/>
                <w:sz w:val="24"/>
              </w:rPr>
              <w:t>Regional ESU Reports</w:t>
            </w:r>
          </w:p>
        </w:tc>
        <w:tc>
          <w:tcPr>
            <w:tcW w:type="dxa" w:w="2340"/>
          </w:tcPr>
          <w:p>
            <w:pPr>
              <w:spacing w:after="0" w:line="240" w:lineRule="auto"/>
              <w:jc w:val="center"/>
            </w:pPr>
            <w:r/>
            <w:r>
              <w:rPr>
                <w:rFonts w:ascii="Times New Roman" w:hAnsi="Times New Roman"/>
                <w:b w:val="0"/>
                <w:i w:val="0"/>
                <w:sz w:val="24"/>
              </w:rPr>
              <w:t>Regional DOH sites, EB weekly</w:t>
            </w:r>
          </w:p>
        </w:tc>
        <w:tc>
          <w:tcPr>
            <w:tcW w:type="dxa" w:w="2340"/>
          </w:tcPr>
          <w:p>
            <w:pPr>
              <w:spacing w:after="0" w:line="240" w:lineRule="auto"/>
              <w:jc w:val="center"/>
            </w:pPr>
            <w:r/>
            <w:r>
              <w:rPr>
                <w:rFonts w:ascii="Times New Roman" w:hAnsi="Times New Roman"/>
                <w:b w:val="0"/>
                <w:i w:val="0"/>
                <w:sz w:val="24"/>
              </w:rPr>
              <w:t>Outbreak reports outside national PIDSR (e.g. conjunctivitis)</w:t>
            </w:r>
          </w:p>
        </w:tc>
      </w:tr>
    </w:tbl>
    <w:p>
      <w:pPr>
        <w:spacing w:after="120" w:line="480" w:lineRule="auto"/>
      </w:pPr>
      <w:r>
        <w:rPr>
          <w:rFonts w:ascii="Times New Roman" w:hAnsi="Times New Roman"/>
          <w:b w:val="0"/>
          <w:i w:val="0"/>
          <w:sz w:val="24"/>
        </w:rPr>
      </w:r>
    </w:p>
    <w:p>
      <w:pPr>
        <w:spacing w:after="0" w:line="480" w:lineRule="auto"/>
        <w:ind w:firstLine="720"/>
        <w:jc w:val="both"/>
      </w:pPr>
      <w:r>
        <w:rPr>
          <w:rFonts w:ascii="Times New Roman" w:hAnsi="Times New Roman"/>
          <w:b w:val="0"/>
          <w:i w:val="0"/>
          <w:sz w:val="24"/>
        </w:rPr>
        <w:t>As shown in Table 1, feeds 4, 5, 6, and 10 supply supervised ground truth; feeds 2 and 7 supply leading warning; feeds 1, 8, and 9 supply environmental forcing; and feed 3 supplies lagging confirmation. The Data Sources Recommendation (2026) records that the original three-feed design (weather, social, news) predicted from proxy signals only, and that the seven verified additions were required because the cited forecasting studies all trained on confirmed case counts. Pharmacy sales, school absenteeism, hospital FHIR visit counts, vector-trap counts, and wastewater signals are reserved as Phase 2 expansion sources.</w:t>
      </w:r>
    </w:p>
    <w:p>
      <w:pPr>
        <w:spacing w:after="120" w:line="480" w:lineRule="auto"/>
        <w:jc w:val="left"/>
      </w:pPr>
      <w:r>
        <w:rPr>
          <w:rFonts w:ascii="Times New Roman" w:hAnsi="Times New Roman"/>
          <w:b/>
          <w:i w:val="0"/>
          <w:sz w:val="24"/>
        </w:rPr>
        <w:t>Sixteen Target Diseases</w:t>
      </w:r>
    </w:p>
    <w:p>
      <w:pPr>
        <w:spacing w:after="0" w:line="480" w:lineRule="auto"/>
        <w:ind w:firstLine="720"/>
        <w:jc w:val="both"/>
      </w:pPr>
      <w:r>
        <w:rPr>
          <w:rFonts w:ascii="Times New Roman" w:hAnsi="Times New Roman"/>
          <w:b w:val="0"/>
          <w:i w:val="0"/>
          <w:sz w:val="24"/>
        </w:rPr>
        <w:t>With the ten feeds, Health Alert forecasts sixteen diseases across four categories with no manual input, each anchored to at least one verified ground truth source. Table 2 presents the coverage matrix with supplementary signals and confidence levels as stated in the Scope document.</w:t>
      </w:r>
    </w:p>
    <w:p>
      <w:pPr>
        <w:spacing w:after="240" w:line="480" w:lineRule="auto"/>
        <w:jc w:val="center"/>
      </w:pPr>
      <w:r>
        <w:rPr>
          <w:rFonts w:ascii="Times New Roman" w:hAnsi="Times New Roman"/>
          <w:b w:val="0"/>
          <w:i w:val="0"/>
          <w:sz w:val="24"/>
        </w:rPr>
        <w:t>Table 2. Sixteen-Disease Coverage Matrix of Health Alert.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i w:val="0"/>
                <w:sz w:val="24"/>
              </w:rPr>
              <w:t>Disease</w:t>
            </w:r>
          </w:p>
        </w:tc>
        <w:tc>
          <w:tcPr>
            <w:tcW w:type="dxa" w:w="1872"/>
          </w:tcPr>
          <w:p>
            <w:pPr>
              <w:jc w:val="center"/>
            </w:pPr>
            <w:r/>
            <w:r>
              <w:rPr>
                <w:rFonts w:ascii="Times New Roman" w:hAnsi="Times New Roman"/>
                <w:b/>
                <w:i w:val="0"/>
                <w:sz w:val="24"/>
              </w:rPr>
              <w:t>Category</w:t>
            </w:r>
          </w:p>
        </w:tc>
        <w:tc>
          <w:tcPr>
            <w:tcW w:type="dxa" w:w="1872"/>
          </w:tcPr>
          <w:p>
            <w:pPr>
              <w:jc w:val="center"/>
            </w:pPr>
            <w:r/>
            <w:r>
              <w:rPr>
                <w:rFonts w:ascii="Times New Roman" w:hAnsi="Times New Roman"/>
                <w:b/>
                <w:i w:val="0"/>
                <w:sz w:val="24"/>
              </w:rPr>
              <w:t>Ground Truth</w:t>
            </w:r>
          </w:p>
        </w:tc>
        <w:tc>
          <w:tcPr>
            <w:tcW w:type="dxa" w:w="1872"/>
          </w:tcPr>
          <w:p>
            <w:pPr>
              <w:jc w:val="center"/>
            </w:pPr>
            <w:r/>
            <w:r>
              <w:rPr>
                <w:rFonts w:ascii="Times New Roman" w:hAnsi="Times New Roman"/>
                <w:b/>
                <w:i w:val="0"/>
                <w:sz w:val="24"/>
              </w:rPr>
              <w:t>Supplementary Signals</w:t>
            </w:r>
          </w:p>
        </w:tc>
        <w:tc>
          <w:tcPr>
            <w:tcW w:type="dxa" w:w="1872"/>
          </w:tcPr>
          <w:p>
            <w:pPr>
              <w:jc w:val="center"/>
            </w:pPr>
            <w:r/>
            <w:r>
              <w:rPr>
                <w:rFonts w:ascii="Times New Roman" w:hAnsi="Times New Roman"/>
                <w:b/>
                <w:i w:val="0"/>
                <w:sz w:val="24"/>
              </w:rPr>
              <w:t>Confidence</w:t>
            </w:r>
          </w:p>
        </w:tc>
      </w:tr>
      <w:tr>
        <w:tc>
          <w:tcPr>
            <w:tcW w:type="dxa" w:w="1872"/>
          </w:tcPr>
          <w:p>
            <w:pPr>
              <w:spacing w:after="0" w:line="240" w:lineRule="auto"/>
              <w:jc w:val="center"/>
            </w:pPr>
            <w:r/>
            <w:r>
              <w:rPr>
                <w:rFonts w:ascii="Times New Roman" w:hAnsi="Times New Roman"/>
                <w:b w:val="0"/>
                <w:i w:val="0"/>
                <w:sz w:val="24"/>
              </w:rPr>
              <w:t>Dengue</w:t>
            </w:r>
          </w:p>
        </w:tc>
        <w:tc>
          <w:tcPr>
            <w:tcW w:type="dxa" w:w="1872"/>
          </w:tcPr>
          <w:p>
            <w:pPr>
              <w:spacing w:after="0" w:line="240" w:lineRule="auto"/>
              <w:jc w:val="center"/>
            </w:pPr>
            <w:r/>
            <w:r>
              <w:rPr>
                <w:rFonts w:ascii="Times New Roman" w:hAnsi="Times New Roman"/>
                <w:b w:val="0"/>
                <w:i w:val="0"/>
                <w:sz w:val="24"/>
              </w:rPr>
              <w:t>Vector-borne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Weather, satellite, Trends, social</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Chikungunya</w:t>
            </w:r>
          </w:p>
        </w:tc>
        <w:tc>
          <w:tcPr>
            <w:tcW w:type="dxa" w:w="1872"/>
          </w:tcPr>
          <w:p>
            <w:pPr>
              <w:spacing w:after="0" w:line="240" w:lineRule="auto"/>
              <w:jc w:val="center"/>
            </w:pPr>
            <w:r/>
            <w:r>
              <w:rPr>
                <w:rFonts w:ascii="Times New Roman" w:hAnsi="Times New Roman"/>
                <w:b w:val="0"/>
                <w:i w:val="0"/>
                <w:sz w:val="24"/>
              </w:rPr>
              <w:t>Vector-borne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Weather, satellite, Trends</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Malaria</w:t>
            </w:r>
          </w:p>
        </w:tc>
        <w:tc>
          <w:tcPr>
            <w:tcW w:type="dxa" w:w="1872"/>
          </w:tcPr>
          <w:p>
            <w:pPr>
              <w:spacing w:after="0" w:line="240" w:lineRule="auto"/>
              <w:jc w:val="center"/>
            </w:pPr>
            <w:r/>
            <w:r>
              <w:rPr>
                <w:rFonts w:ascii="Times New Roman" w:hAnsi="Times New Roman"/>
                <w:b w:val="0"/>
                <w:i w:val="0"/>
                <w:sz w:val="24"/>
              </w:rPr>
              <w:t>Vector-borne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Weather, satellite, Trends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Zika virus</w:t>
            </w:r>
          </w:p>
        </w:tc>
        <w:tc>
          <w:tcPr>
            <w:tcW w:type="dxa" w:w="1872"/>
          </w:tcPr>
          <w:p>
            <w:pPr>
              <w:spacing w:after="0" w:line="240" w:lineRule="auto"/>
              <w:jc w:val="center"/>
            </w:pPr>
            <w:r/>
            <w:r>
              <w:rPr>
                <w:rFonts w:ascii="Times New Roman" w:hAnsi="Times New Roman"/>
                <w:b w:val="0"/>
                <w:i w:val="0"/>
                <w:sz w:val="24"/>
              </w:rPr>
              <w:t>Vector-borne</w:t>
            </w:r>
          </w:p>
        </w:tc>
        <w:tc>
          <w:tcPr>
            <w:tcW w:type="dxa" w:w="1872"/>
          </w:tcPr>
          <w:p>
            <w:pPr>
              <w:spacing w:after="0" w:line="240" w:lineRule="auto"/>
              <w:jc w:val="center"/>
            </w:pPr>
            <w:r/>
            <w:r>
              <w:rPr>
                <w:rFonts w:ascii="Times New Roman" w:hAnsi="Times New Roman"/>
                <w:b w:val="0"/>
                <w:i w:val="0"/>
                <w:sz w:val="24"/>
              </w:rPr>
              <w:t>Enhanced surveillance (61 sentinels)</w:t>
            </w:r>
          </w:p>
        </w:tc>
        <w:tc>
          <w:tcPr>
            <w:tcW w:type="dxa" w:w="1872"/>
          </w:tcPr>
          <w:p>
            <w:pPr>
              <w:spacing w:after="0" w:line="240" w:lineRule="auto"/>
              <w:jc w:val="center"/>
            </w:pPr>
            <w:r/>
            <w:r>
              <w:rPr>
                <w:rFonts w:ascii="Times New Roman" w:hAnsi="Times New Roman"/>
                <w:b w:val="0"/>
                <w:i w:val="0"/>
                <w:sz w:val="24"/>
              </w:rPr>
              <w:t>Weather, satellite, social, news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Leptospirosis</w:t>
            </w:r>
          </w:p>
        </w:tc>
        <w:tc>
          <w:tcPr>
            <w:tcW w:type="dxa" w:w="1872"/>
          </w:tcPr>
          <w:p>
            <w:pPr>
              <w:spacing w:after="0" w:line="240" w:lineRule="auto"/>
              <w:jc w:val="center"/>
            </w:pPr>
            <w:r/>
            <w:r>
              <w:rPr>
                <w:rFonts w:ascii="Times New Roman" w:hAnsi="Times New Roman"/>
                <w:b w:val="0"/>
                <w:i w:val="0"/>
                <w:sz w:val="24"/>
              </w:rPr>
              <w:t>Waterborne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Rainfall/flood, satellite, Trends, news</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Typhoid fever</w:t>
            </w:r>
          </w:p>
        </w:tc>
        <w:tc>
          <w:tcPr>
            <w:tcW w:type="dxa" w:w="1872"/>
          </w:tcPr>
          <w:p>
            <w:pPr>
              <w:spacing w:after="0" w:line="240" w:lineRule="auto"/>
              <w:jc w:val="center"/>
            </w:pPr>
            <w:r/>
            <w:r>
              <w:rPr>
                <w:rFonts w:ascii="Times New Roman" w:hAnsi="Times New Roman"/>
                <w:b w:val="0"/>
                <w:i w:val="0"/>
                <w:sz w:val="24"/>
              </w:rPr>
              <w:t>Waterborne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Rainfall, satellite, Trends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Cholera</w:t>
            </w:r>
          </w:p>
        </w:tc>
        <w:tc>
          <w:tcPr>
            <w:tcW w:type="dxa" w:w="1872"/>
          </w:tcPr>
          <w:p>
            <w:pPr>
              <w:spacing w:after="0" w:line="240" w:lineRule="auto"/>
              <w:jc w:val="center"/>
            </w:pPr>
            <w:r/>
            <w:r>
              <w:rPr>
                <w:rFonts w:ascii="Times New Roman" w:hAnsi="Times New Roman"/>
                <w:b w:val="0"/>
                <w:i w:val="0"/>
                <w:sz w:val="24"/>
              </w:rPr>
              <w:t>Waterborne</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Rainfall/flood, satellite, news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Hepatitis A</w:t>
            </w:r>
          </w:p>
        </w:tc>
        <w:tc>
          <w:tcPr>
            <w:tcW w:type="dxa" w:w="1872"/>
          </w:tcPr>
          <w:p>
            <w:pPr>
              <w:spacing w:after="0" w:line="240" w:lineRule="auto"/>
              <w:jc w:val="center"/>
            </w:pPr>
            <w:r/>
            <w:r>
              <w:rPr>
                <w:rFonts w:ascii="Times New Roman" w:hAnsi="Times New Roman"/>
                <w:b w:val="0"/>
                <w:i w:val="0"/>
                <w:sz w:val="24"/>
              </w:rPr>
              <w:t>Waterborne</w:t>
            </w:r>
          </w:p>
        </w:tc>
        <w:tc>
          <w:tcPr>
            <w:tcW w:type="dxa" w:w="1872"/>
          </w:tcPr>
          <w:p>
            <w:pPr>
              <w:spacing w:after="0" w:line="240" w:lineRule="auto"/>
              <w:jc w:val="center"/>
            </w:pPr>
            <w:r/>
            <w:r>
              <w:rPr>
                <w:rFonts w:ascii="Times New Roman" w:hAnsi="Times New Roman"/>
                <w:b w:val="0"/>
                <w:i w:val="0"/>
                <w:sz w:val="24"/>
              </w:rPr>
              <w:t>PIDSR (Acute Viral Hepatitis)</w:t>
            </w:r>
          </w:p>
        </w:tc>
        <w:tc>
          <w:tcPr>
            <w:tcW w:type="dxa" w:w="1872"/>
          </w:tcPr>
          <w:p>
            <w:pPr>
              <w:spacing w:after="0" w:line="240" w:lineRule="auto"/>
              <w:jc w:val="center"/>
            </w:pPr>
            <w:r/>
            <w:r>
              <w:rPr>
                <w:rFonts w:ascii="Times New Roman" w:hAnsi="Times New Roman"/>
                <w:b w:val="0"/>
                <w:i w:val="0"/>
                <w:sz w:val="24"/>
              </w:rPr>
              <w:t>Rainfall, Trends, news</w:t>
            </w:r>
          </w:p>
        </w:tc>
        <w:tc>
          <w:tcPr>
            <w:tcW w:type="dxa" w:w="1872"/>
          </w:tcPr>
          <w:p>
            <w:pPr>
              <w:spacing w:after="0" w:line="240" w:lineRule="auto"/>
              <w:jc w:val="center"/>
            </w:pPr>
            <w:r/>
            <w:r>
              <w:rPr>
                <w:rFonts w:ascii="Times New Roman" w:hAnsi="Times New Roman"/>
                <w:b w:val="0"/>
                <w:i w:val="0"/>
                <w:sz w:val="24"/>
              </w:rPr>
              <w:t>Moderate</w:t>
            </w:r>
          </w:p>
        </w:tc>
      </w:tr>
      <w:tr>
        <w:tc>
          <w:tcPr>
            <w:tcW w:type="dxa" w:w="1872"/>
          </w:tcPr>
          <w:p>
            <w:pPr>
              <w:spacing w:after="0" w:line="240" w:lineRule="auto"/>
              <w:jc w:val="center"/>
            </w:pPr>
            <w:r/>
            <w:r>
              <w:rPr>
                <w:rFonts w:ascii="Times New Roman" w:hAnsi="Times New Roman"/>
                <w:b w:val="0"/>
                <w:i w:val="0"/>
                <w:sz w:val="24"/>
              </w:rPr>
              <w:t>Influenza / ILI</w:t>
            </w:r>
          </w:p>
        </w:tc>
        <w:tc>
          <w:tcPr>
            <w:tcW w:type="dxa" w:w="1872"/>
          </w:tcPr>
          <w:p>
            <w:pPr>
              <w:spacing w:after="0" w:line="240" w:lineRule="auto"/>
              <w:jc w:val="center"/>
            </w:pPr>
            <w:r/>
            <w:r>
              <w:rPr>
                <w:rFonts w:ascii="Times New Roman" w:hAnsi="Times New Roman"/>
                <w:b w:val="0"/>
                <w:i w:val="0"/>
                <w:sz w:val="24"/>
              </w:rPr>
              <w:t>Respiratory</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Trends, AQI, social, weather</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Measles</w:t>
            </w:r>
          </w:p>
        </w:tc>
        <w:tc>
          <w:tcPr>
            <w:tcW w:type="dxa" w:w="1872"/>
          </w:tcPr>
          <w:p>
            <w:pPr>
              <w:spacing w:after="0" w:line="240" w:lineRule="auto"/>
              <w:jc w:val="center"/>
            </w:pPr>
            <w:r/>
            <w:r>
              <w:rPr>
                <w:rFonts w:ascii="Times New Roman" w:hAnsi="Times New Roman"/>
                <w:b w:val="0"/>
                <w:i w:val="0"/>
                <w:sz w:val="24"/>
              </w:rPr>
              <w:t>Respiratory</w:t>
            </w:r>
          </w:p>
        </w:tc>
        <w:tc>
          <w:tcPr>
            <w:tcW w:type="dxa" w:w="1872"/>
          </w:tcPr>
          <w:p>
            <w:pPr>
              <w:spacing w:after="0" w:line="240" w:lineRule="auto"/>
              <w:jc w:val="center"/>
            </w:pPr>
            <w:r/>
            <w:r>
              <w:rPr>
                <w:rFonts w:ascii="Times New Roman" w:hAnsi="Times New Roman"/>
                <w:b w:val="0"/>
                <w:i w:val="0"/>
                <w:sz w:val="24"/>
              </w:rPr>
              <w:t>PIDSR Category I (immediate)</w:t>
            </w:r>
          </w:p>
        </w:tc>
        <w:tc>
          <w:tcPr>
            <w:tcW w:type="dxa" w:w="1872"/>
          </w:tcPr>
          <w:p>
            <w:pPr>
              <w:spacing w:after="0" w:line="240" w:lineRule="auto"/>
              <w:jc w:val="center"/>
            </w:pPr>
            <w:r/>
            <w:r>
              <w:rPr>
                <w:rFonts w:ascii="Times New Roman" w:hAnsi="Times New Roman"/>
                <w:b w:val="0"/>
                <w:i w:val="0"/>
                <w:sz w:val="24"/>
              </w:rPr>
              <w:t>Trends, social, news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COVID-19</w:t>
            </w:r>
          </w:p>
        </w:tc>
        <w:tc>
          <w:tcPr>
            <w:tcW w:type="dxa" w:w="1872"/>
          </w:tcPr>
          <w:p>
            <w:pPr>
              <w:spacing w:after="0" w:line="240" w:lineRule="auto"/>
              <w:jc w:val="center"/>
            </w:pPr>
            <w:r/>
            <w:r>
              <w:rPr>
                <w:rFonts w:ascii="Times New Roman" w:hAnsi="Times New Roman"/>
                <w:b w:val="0"/>
                <w:i w:val="0"/>
                <w:sz w:val="24"/>
              </w:rPr>
              <w:t>Respiratory</w:t>
            </w:r>
          </w:p>
        </w:tc>
        <w:tc>
          <w:tcPr>
            <w:tcW w:type="dxa" w:w="1872"/>
          </w:tcPr>
          <w:p>
            <w:pPr>
              <w:spacing w:after="0" w:line="240" w:lineRule="auto"/>
              <w:jc w:val="center"/>
            </w:pPr>
            <w:r/>
            <w:r>
              <w:rPr>
                <w:rFonts w:ascii="Times New Roman" w:hAnsi="Times New Roman"/>
                <w:b w:val="0"/>
                <w:i w:val="0"/>
                <w:sz w:val="24"/>
              </w:rPr>
              <w:t>Weekly Bulletin</w:t>
            </w:r>
          </w:p>
        </w:tc>
        <w:tc>
          <w:tcPr>
            <w:tcW w:type="dxa" w:w="1872"/>
          </w:tcPr>
          <w:p>
            <w:pPr>
              <w:spacing w:after="0" w:line="240" w:lineRule="auto"/>
              <w:jc w:val="center"/>
            </w:pPr>
            <w:r/>
            <w:r>
              <w:rPr>
                <w:rFonts w:ascii="Times New Roman" w:hAnsi="Times New Roman"/>
                <w:b w:val="0"/>
                <w:i w:val="0"/>
                <w:sz w:val="24"/>
              </w:rPr>
              <w:t>Trends, social, news, AQI</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Pertussis</w:t>
            </w:r>
          </w:p>
        </w:tc>
        <w:tc>
          <w:tcPr>
            <w:tcW w:type="dxa" w:w="1872"/>
          </w:tcPr>
          <w:p>
            <w:pPr>
              <w:spacing w:after="0" w:line="240" w:lineRule="auto"/>
              <w:jc w:val="center"/>
            </w:pPr>
            <w:r/>
            <w:r>
              <w:rPr>
                <w:rFonts w:ascii="Times New Roman" w:hAnsi="Times New Roman"/>
                <w:b w:val="0"/>
                <w:i w:val="0"/>
                <w:sz w:val="24"/>
              </w:rPr>
              <w:t>Respiratory</w:t>
            </w:r>
          </w:p>
        </w:tc>
        <w:tc>
          <w:tcPr>
            <w:tcW w:type="dxa" w:w="1872"/>
          </w:tcPr>
          <w:p>
            <w:pPr>
              <w:spacing w:after="0" w:line="240" w:lineRule="auto"/>
              <w:jc w:val="center"/>
            </w:pPr>
            <w:r/>
            <w:r>
              <w:rPr>
                <w:rFonts w:ascii="Times New Roman" w:hAnsi="Times New Roman"/>
                <w:b w:val="0"/>
                <w:i w:val="0"/>
                <w:sz w:val="24"/>
              </w:rPr>
              <w:t>PIDSR weekly</w:t>
            </w:r>
          </w:p>
        </w:tc>
        <w:tc>
          <w:tcPr>
            <w:tcW w:type="dxa" w:w="1872"/>
          </w:tcPr>
          <w:p>
            <w:pPr>
              <w:spacing w:after="0" w:line="240" w:lineRule="auto"/>
              <w:jc w:val="center"/>
            </w:pPr>
            <w:r/>
            <w:r>
              <w:rPr>
                <w:rFonts w:ascii="Times New Roman" w:hAnsi="Times New Roman"/>
                <w:b w:val="0"/>
                <w:i w:val="0"/>
                <w:sz w:val="24"/>
              </w:rPr>
              <w:t>Trends, social, news</w:t>
            </w:r>
          </w:p>
        </w:tc>
        <w:tc>
          <w:tcPr>
            <w:tcW w:type="dxa" w:w="1872"/>
          </w:tcPr>
          <w:p>
            <w:pPr>
              <w:spacing w:after="0" w:line="240" w:lineRule="auto"/>
              <w:jc w:val="center"/>
            </w:pPr>
            <w:r/>
            <w:r>
              <w:rPr>
                <w:rFonts w:ascii="Times New Roman" w:hAnsi="Times New Roman"/>
                <w:b w:val="0"/>
                <w:i w:val="0"/>
                <w:sz w:val="24"/>
              </w:rPr>
              <w:t>Good</w:t>
            </w:r>
          </w:p>
        </w:tc>
      </w:tr>
      <w:tr>
        <w:tc>
          <w:tcPr>
            <w:tcW w:type="dxa" w:w="1872"/>
          </w:tcPr>
          <w:p>
            <w:pPr>
              <w:spacing w:after="0" w:line="240" w:lineRule="auto"/>
              <w:jc w:val="center"/>
            </w:pPr>
            <w:r/>
            <w:r>
              <w:rPr>
                <w:rFonts w:ascii="Times New Roman" w:hAnsi="Times New Roman"/>
                <w:b w:val="0"/>
                <w:i w:val="0"/>
                <w:sz w:val="24"/>
              </w:rPr>
              <w:t>Tuberculosis</w:t>
            </w:r>
          </w:p>
        </w:tc>
        <w:tc>
          <w:tcPr>
            <w:tcW w:type="dxa" w:w="1872"/>
          </w:tcPr>
          <w:p>
            <w:pPr>
              <w:spacing w:after="0" w:line="240" w:lineRule="auto"/>
              <w:jc w:val="center"/>
            </w:pPr>
            <w:r/>
            <w:r>
              <w:rPr>
                <w:rFonts w:ascii="Times New Roman" w:hAnsi="Times New Roman"/>
                <w:b w:val="0"/>
                <w:i w:val="0"/>
                <w:sz w:val="24"/>
              </w:rPr>
              <w:t>Respiratory</w:t>
            </w:r>
          </w:p>
        </w:tc>
        <w:tc>
          <w:tcPr>
            <w:tcW w:type="dxa" w:w="1872"/>
          </w:tcPr>
          <w:p>
            <w:pPr>
              <w:spacing w:after="0" w:line="240" w:lineRule="auto"/>
              <w:jc w:val="center"/>
            </w:pPr>
            <w:r/>
            <w:r>
              <w:rPr>
                <w:rFonts w:ascii="Times New Roman" w:hAnsi="Times New Roman"/>
                <w:b w:val="0"/>
                <w:i w:val="0"/>
                <w:sz w:val="24"/>
              </w:rPr>
              <w:t>ITIS quarterly</w:t>
            </w:r>
          </w:p>
        </w:tc>
        <w:tc>
          <w:tcPr>
            <w:tcW w:type="dxa" w:w="1872"/>
          </w:tcPr>
          <w:p>
            <w:pPr>
              <w:spacing w:after="0" w:line="240" w:lineRule="auto"/>
              <w:jc w:val="center"/>
            </w:pPr>
            <w:r/>
            <w:r>
              <w:rPr>
                <w:rFonts w:ascii="Times New Roman" w:hAnsi="Times New Roman"/>
                <w:b w:val="0"/>
                <w:i w:val="0"/>
                <w:sz w:val="24"/>
              </w:rPr>
              <w:t>Trends, AQI, social</w:t>
            </w:r>
          </w:p>
        </w:tc>
        <w:tc>
          <w:tcPr>
            <w:tcW w:type="dxa" w:w="1872"/>
          </w:tcPr>
          <w:p>
            <w:pPr>
              <w:spacing w:after="0" w:line="240" w:lineRule="auto"/>
              <w:jc w:val="center"/>
            </w:pPr>
            <w:r/>
            <w:r>
              <w:rPr>
                <w:rFonts w:ascii="Times New Roman" w:hAnsi="Times New Roman"/>
                <w:b w:val="0"/>
                <w:i w:val="0"/>
                <w:sz w:val="24"/>
              </w:rPr>
              <w:t>Moderate</w:t>
            </w:r>
          </w:p>
        </w:tc>
      </w:tr>
      <w:tr>
        <w:tc>
          <w:tcPr>
            <w:tcW w:type="dxa" w:w="1872"/>
          </w:tcPr>
          <w:p>
            <w:pPr>
              <w:spacing w:after="0" w:line="240" w:lineRule="auto"/>
              <w:jc w:val="center"/>
            </w:pPr>
            <w:r/>
            <w:r>
              <w:rPr>
                <w:rFonts w:ascii="Times New Roman" w:hAnsi="Times New Roman"/>
                <w:b w:val="0"/>
                <w:i w:val="0"/>
                <w:sz w:val="24"/>
              </w:rPr>
              <w:t>Heat-related illness</w:t>
            </w:r>
          </w:p>
        </w:tc>
        <w:tc>
          <w:tcPr>
            <w:tcW w:type="dxa" w:w="1872"/>
          </w:tcPr>
          <w:p>
            <w:pPr>
              <w:spacing w:after="0" w:line="240" w:lineRule="auto"/>
              <w:jc w:val="center"/>
            </w:pPr>
            <w:r/>
            <w:r>
              <w:rPr>
                <w:rFonts w:ascii="Times New Roman" w:hAnsi="Times New Roman"/>
                <w:b w:val="0"/>
                <w:i w:val="0"/>
                <w:sz w:val="24"/>
              </w:rPr>
              <w:t>Environmental</w:t>
            </w:r>
          </w:p>
        </w:tc>
        <w:tc>
          <w:tcPr>
            <w:tcW w:type="dxa" w:w="1872"/>
          </w:tcPr>
          <w:p>
            <w:pPr>
              <w:spacing w:after="0" w:line="240" w:lineRule="auto"/>
              <w:jc w:val="center"/>
            </w:pPr>
            <w:r/>
            <w:r>
              <w:rPr>
                <w:rFonts w:ascii="Times New Roman" w:hAnsi="Times New Roman"/>
                <w:b w:val="0"/>
                <w:i w:val="0"/>
                <w:sz w:val="24"/>
              </w:rPr>
              <w:t>iHeatMap real-time</w:t>
            </w:r>
          </w:p>
        </w:tc>
        <w:tc>
          <w:tcPr>
            <w:tcW w:type="dxa" w:w="1872"/>
          </w:tcPr>
          <w:p>
            <w:pPr>
              <w:spacing w:after="0" w:line="240" w:lineRule="auto"/>
              <w:jc w:val="center"/>
            </w:pPr>
            <w:r/>
            <w:r>
              <w:rPr>
                <w:rFonts w:ascii="Times New Roman" w:hAnsi="Times New Roman"/>
                <w:b w:val="0"/>
                <w:i w:val="0"/>
                <w:sz w:val="24"/>
              </w:rPr>
              <w:t>Weather, Trends</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Asthma exacerbation</w:t>
            </w:r>
          </w:p>
        </w:tc>
        <w:tc>
          <w:tcPr>
            <w:tcW w:type="dxa" w:w="1872"/>
          </w:tcPr>
          <w:p>
            <w:pPr>
              <w:spacing w:after="0" w:line="240" w:lineRule="auto"/>
              <w:jc w:val="center"/>
            </w:pPr>
            <w:r/>
            <w:r>
              <w:rPr>
                <w:rFonts w:ascii="Times New Roman" w:hAnsi="Times New Roman"/>
                <w:b w:val="0"/>
                <w:i w:val="0"/>
                <w:sz w:val="24"/>
              </w:rPr>
              <w:t>Environmental</w:t>
            </w:r>
          </w:p>
        </w:tc>
        <w:tc>
          <w:tcPr>
            <w:tcW w:type="dxa" w:w="1872"/>
          </w:tcPr>
          <w:p>
            <w:pPr>
              <w:spacing w:after="0" w:line="240" w:lineRule="auto"/>
              <w:jc w:val="center"/>
            </w:pPr>
            <w:r/>
            <w:r>
              <w:rPr>
                <w:rFonts w:ascii="Times New Roman" w:hAnsi="Times New Roman"/>
                <w:b w:val="0"/>
                <w:i w:val="0"/>
                <w:sz w:val="24"/>
              </w:rPr>
              <w:t>DENR-EMB AQI real-time</w:t>
            </w:r>
          </w:p>
        </w:tc>
        <w:tc>
          <w:tcPr>
            <w:tcW w:type="dxa" w:w="1872"/>
          </w:tcPr>
          <w:p>
            <w:pPr>
              <w:spacing w:after="0" w:line="240" w:lineRule="auto"/>
              <w:jc w:val="center"/>
            </w:pPr>
            <w:r/>
            <w:r>
              <w:rPr>
                <w:rFonts w:ascii="Times New Roman" w:hAnsi="Times New Roman"/>
                <w:b w:val="0"/>
                <w:i w:val="0"/>
                <w:sz w:val="24"/>
              </w:rPr>
              <w:t>Weather, Trends, social</w:t>
            </w:r>
          </w:p>
        </w:tc>
        <w:tc>
          <w:tcPr>
            <w:tcW w:type="dxa" w:w="1872"/>
          </w:tcPr>
          <w:p>
            <w:pPr>
              <w:spacing w:after="0" w:line="240" w:lineRule="auto"/>
              <w:jc w:val="center"/>
            </w:pPr>
            <w:r/>
            <w:r>
              <w:rPr>
                <w:rFonts w:ascii="Times New Roman" w:hAnsi="Times New Roman"/>
                <w:b w:val="0"/>
                <w:i w:val="0"/>
                <w:sz w:val="24"/>
              </w:rPr>
              <w:t>Excellent</w:t>
            </w:r>
          </w:p>
        </w:tc>
      </w:tr>
      <w:tr>
        <w:tc>
          <w:tcPr>
            <w:tcW w:type="dxa" w:w="1872"/>
          </w:tcPr>
          <w:p>
            <w:pPr>
              <w:spacing w:after="0" w:line="240" w:lineRule="auto"/>
              <w:jc w:val="center"/>
            </w:pPr>
            <w:r/>
            <w:r>
              <w:rPr>
                <w:rFonts w:ascii="Times New Roman" w:hAnsi="Times New Roman"/>
                <w:b w:val="0"/>
                <w:i w:val="0"/>
                <w:sz w:val="24"/>
              </w:rPr>
              <w:t>Conjunctivitis</w:t>
            </w:r>
          </w:p>
        </w:tc>
        <w:tc>
          <w:tcPr>
            <w:tcW w:type="dxa" w:w="1872"/>
          </w:tcPr>
          <w:p>
            <w:pPr>
              <w:spacing w:after="0" w:line="240" w:lineRule="auto"/>
              <w:jc w:val="center"/>
            </w:pPr>
            <w:r/>
            <w:r>
              <w:rPr>
                <w:rFonts w:ascii="Times New Roman" w:hAnsi="Times New Roman"/>
                <w:b w:val="0"/>
                <w:i w:val="0"/>
                <w:sz w:val="24"/>
              </w:rPr>
              <w:t>Environmental</w:t>
            </w:r>
          </w:p>
        </w:tc>
        <w:tc>
          <w:tcPr>
            <w:tcW w:type="dxa" w:w="1872"/>
          </w:tcPr>
          <w:p>
            <w:pPr>
              <w:spacing w:after="0" w:line="240" w:lineRule="auto"/>
              <w:jc w:val="center"/>
            </w:pPr>
            <w:r/>
            <w:r>
              <w:rPr>
                <w:rFonts w:ascii="Times New Roman" w:hAnsi="Times New Roman"/>
                <w:b w:val="0"/>
                <w:i w:val="0"/>
                <w:sz w:val="24"/>
              </w:rPr>
              <w:t>Regional ESU reports</w:t>
            </w:r>
          </w:p>
        </w:tc>
        <w:tc>
          <w:tcPr>
            <w:tcW w:type="dxa" w:w="1872"/>
          </w:tcPr>
          <w:p>
            <w:pPr>
              <w:spacing w:after="0" w:line="240" w:lineRule="auto"/>
              <w:jc w:val="center"/>
            </w:pPr>
            <w:r/>
            <w:r>
              <w:rPr>
                <w:rFonts w:ascii="Times New Roman" w:hAnsi="Times New Roman"/>
                <w:b w:val="0"/>
                <w:i w:val="0"/>
                <w:sz w:val="24"/>
              </w:rPr>
              <w:t>Humidity, Trends, social, news</w:t>
            </w:r>
          </w:p>
        </w:tc>
        <w:tc>
          <w:tcPr>
            <w:tcW w:type="dxa" w:w="1872"/>
          </w:tcPr>
          <w:p>
            <w:pPr>
              <w:spacing w:after="0" w:line="240" w:lineRule="auto"/>
              <w:jc w:val="center"/>
            </w:pPr>
            <w:r/>
            <w:r>
              <w:rPr>
                <w:rFonts w:ascii="Times New Roman" w:hAnsi="Times New Roman"/>
                <w:b w:val="0"/>
                <w:i w:val="0"/>
                <w:sz w:val="24"/>
              </w:rPr>
              <w:t>Good</w:t>
            </w:r>
          </w:p>
        </w:tc>
      </w:tr>
    </w:tbl>
    <w:p>
      <w:pPr>
        <w:spacing w:after="120" w:line="480" w:lineRule="auto"/>
      </w:pPr>
      <w:r>
        <w:rPr>
          <w:rFonts w:ascii="Times New Roman" w:hAnsi="Times New Roman"/>
          <w:b w:val="0"/>
          <w:i w:val="0"/>
          <w:sz w:val="24"/>
        </w:rPr>
      </w:r>
    </w:p>
    <w:p>
      <w:pPr>
        <w:spacing w:after="0" w:line="480" w:lineRule="auto"/>
        <w:ind w:firstLine="720"/>
        <w:jc w:val="both"/>
      </w:pPr>
      <w:r>
        <w:rPr>
          <w:rFonts w:ascii="Times New Roman" w:hAnsi="Times New Roman"/>
          <w:b w:val="0"/>
          <w:i w:val="0"/>
          <w:sz w:val="24"/>
        </w:rPr>
        <w:t>As shown in Table 2, vector-borne diseases share Aedes or Anopheles climate drivers with satellite habitat cues; waterborne diseases key on rainfall and flood extent after typhoons; respiratory diseases key on search and social leading signals with AQI susceptibility; and environmental diseases follow heat-index and AQI thresholds directly. Regional ESU data fill the conjunctivitis gap outside the national PIDSR weekly list (e.g., 600 cases in Abra and 1,150 in Cagayan in 2023).</w:t>
      </w:r>
    </w:p>
    <w:p>
      <w:pPr>
        <w:spacing w:after="120" w:line="480" w:lineRule="auto"/>
        <w:jc w:val="left"/>
      </w:pPr>
      <w:r>
        <w:rPr>
          <w:rFonts w:ascii="Times New Roman" w:hAnsi="Times New Roman"/>
          <w:b/>
          <w:i w:val="0"/>
          <w:sz w:val="24"/>
        </w:rPr>
        <w:t>Forecasting Models and Formulas</w:t>
      </w:r>
    </w:p>
    <w:p>
      <w:pPr>
        <w:spacing w:after="0" w:line="480" w:lineRule="auto"/>
        <w:ind w:firstLine="720"/>
        <w:jc w:val="both"/>
      </w:pPr>
      <w:r>
        <w:rPr>
          <w:rFonts w:ascii="Times New Roman" w:hAnsi="Times New Roman"/>
          <w:b w:val="0"/>
          <w:i w:val="0"/>
          <w:sz w:val="24"/>
        </w:rPr>
        <w:t>To construct forecasting that reaches high accuracy, the researchers follow a four-tier architecture. Tier 1 is the ingestion pipeline above. Tier 2 is the outbreak forecasting and explainable AI engine. Tier 3 is the offline-first RAG clinical engine on SQLite with BM25 sparse plus quantized dense retrieval, Taglish mapping, and multi-agent verification with exact document, chapter, and page citations. Tier 4 is the dual-interface decision ecosystem: an executive GIS command dashboard with automated playbooks (misting and larvicide schedules, doxycycline stockpiling, fever-lane staffing) and a bilingual citizen assistant for symptom triage.</w:t>
      </w:r>
    </w:p>
    <w:p>
      <w:pPr>
        <w:spacing w:after="80" w:line="480" w:lineRule="auto"/>
        <w:jc w:val="left"/>
      </w:pPr>
      <w:r>
        <w:rPr>
          <w:rFonts w:ascii="Times New Roman" w:hAnsi="Times New Roman"/>
          <w:b/>
          <w:i w:val="0"/>
          <w:sz w:val="24"/>
        </w:rPr>
        <w:t>Bi-LSTM and Attention Model</w:t>
      </w:r>
    </w:p>
    <w:p>
      <w:pPr>
        <w:spacing w:after="0" w:line="480" w:lineRule="auto"/>
        <w:ind w:firstLine="720"/>
        <w:jc w:val="both"/>
      </w:pPr>
      <w:r>
        <w:rPr>
          <w:rFonts w:ascii="Times New Roman" w:hAnsi="Times New Roman"/>
          <w:b w:val="0"/>
          <w:i w:val="0"/>
          <w:sz w:val="24"/>
        </w:rPr>
        <w:t>Bi-LSTM Model. The Bi-LSTM network is the default forecaster for dengue, chikungunya, malaria, Zika, leptospirosis, influenza-like illness, and COVID-19. The input week combines lagged ground-truth cases with temperature, rainfall, humidity, AQI fractions, heat index, Trends indices, and social counts, trained separately per province or municipality because climate response varies by locale.</w:t>
      </w:r>
    </w:p>
    <w:p>
      <w:pPr>
        <w:spacing w:after="0" w:line="480" w:lineRule="auto"/>
        <w:jc w:val="center"/>
      </w:pPr>
      <w:r>
        <w:rPr>
          <w:rFonts w:ascii="Times New Roman" w:hAnsi="Times New Roman"/>
          <w:b w:val="0"/>
          <w:i w:val="0"/>
          <w:sz w:val="24"/>
        </w:rPr>
        <w:t>ft = σ(Wf[ht-1, xt] + bf),   it = σ(Wi[ht-1, xt] + bi),   ot = σ(Wo[ht-1, xt] + bo)</w:t>
      </w:r>
    </w:p>
    <w:p>
      <w:pPr>
        <w:spacing w:after="0" w:line="480" w:lineRule="auto"/>
        <w:jc w:val="center"/>
      </w:pPr>
      <w:r>
        <w:rPr>
          <w:rFonts w:ascii="Times New Roman" w:hAnsi="Times New Roman"/>
          <w:b w:val="0"/>
          <w:i w:val="0"/>
          <w:sz w:val="24"/>
        </w:rPr>
        <w:t>ct̃ = tanh(Wc[ht-1, xt] + bc),   ct = ft ⊙ ct-1 + it ⊙ ct̃,   ht = ot ⊙ tanh(ct)</w:t>
      </w:r>
    </w:p>
    <w:p>
      <w:pPr>
        <w:spacing w:after="0" w:line="480" w:lineRule="auto"/>
        <w:jc w:val="center"/>
      </w:pPr>
      <w:r>
        <w:rPr>
          <w:rFonts w:ascii="Times New Roman" w:hAnsi="Times New Roman"/>
          <w:b w:val="0"/>
          <w:i w:val="0"/>
          <w:sz w:val="24"/>
        </w:rPr>
        <w:t>ht = [forward ht ; backward ht],   ŷt+h = Dense(Attention(H))</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xt = feature vector at week t (lagged cases plus climate, AQI, heat, Trends, and social covariates).</w:t>
      </w:r>
    </w:p>
    <w:p>
      <w:pPr>
        <w:spacing w:after="0" w:line="480" w:lineRule="auto"/>
        <w:ind w:firstLine="720"/>
        <w:jc w:val="both"/>
      </w:pPr>
      <w:r>
        <w:rPr>
          <w:rFonts w:ascii="Times New Roman" w:hAnsi="Times New Roman"/>
          <w:b w:val="0"/>
          <w:i w:val="0"/>
          <w:sz w:val="24"/>
        </w:rPr>
        <w:t>ft, it, ot = forget, input, and output gates; ct = cell state; ht = hidden state.</w:t>
      </w:r>
    </w:p>
    <w:p>
      <w:pPr>
        <w:spacing w:after="0" w:line="480" w:lineRule="auto"/>
        <w:ind w:firstLine="720"/>
        <w:jc w:val="both"/>
      </w:pPr>
      <w:r>
        <w:rPr>
          <w:rFonts w:ascii="Times New Roman" w:hAnsi="Times New Roman"/>
          <w:b w:val="0"/>
          <w:i w:val="0"/>
          <w:sz w:val="24"/>
        </w:rPr>
        <w:t>ŷt+h = predicted case count h weeks ahead; outbreak is declared when incidence exceeds the province mean plus one standard deviation.</w:t>
      </w:r>
    </w:p>
    <w:p>
      <w:pPr>
        <w:spacing w:after="0" w:line="480" w:lineRule="auto"/>
        <w:jc w:val="center"/>
      </w:pPr>
      <w:r>
        <w:rPr>
          <w:rFonts w:ascii="Times New Roman" w:hAnsi="Times New Roman"/>
          <w:b w:val="0"/>
          <w:i w:val="0"/>
          <w:sz w:val="24"/>
        </w:rPr>
        <w:t>RMSE = √(mean((y - ŷ)2)),   MAE = mean|y - ŷ|</w:t>
      </w:r>
    </w:p>
    <w:p>
      <w:pPr>
        <w:spacing w:after="0" w:line="480" w:lineRule="auto"/>
        <w:ind w:firstLine="720"/>
        <w:jc w:val="both"/>
      </w:pPr>
      <w:r>
        <w:rPr>
          <w:rFonts w:ascii="Times New Roman" w:hAnsi="Times New Roman"/>
          <w:b w:val="0"/>
          <w:i w:val="0"/>
          <w:sz w:val="24"/>
        </w:rPr>
        <w:t>Under the Code phase, the researchers implement four hidden layers with three timesteps (current plus prior two months), shared climate encoders across Aedes diseases with transfer learning for low-count Zika, and rolling-origin validation against the AUC-ROC 0.88 to 0.94 and 90% sensitivity targets. LSTM with attention ranked first across twenty Vietnamese provinces (mean RMSE rank 1.60, MAE rank 1.95) with 0.99 outbreak-month accuracy, and a Kerala LSTM reached RMSE 0.345 with R-squared 0.86, both supporting this choice (Nguyen et al., 2022; Kakarla et al., 2023).</w:t>
      </w:r>
    </w:p>
    <w:p>
      <w:pPr>
        <w:spacing w:after="80" w:line="480" w:lineRule="auto"/>
        <w:jc w:val="left"/>
      </w:pPr>
      <w:r>
        <w:rPr>
          <w:rFonts w:ascii="Times New Roman" w:hAnsi="Times New Roman"/>
          <w:b/>
          <w:i w:val="0"/>
          <w:sz w:val="24"/>
        </w:rPr>
        <w:t>Sparse ARGO and ARLR Fusion Model</w:t>
      </w:r>
    </w:p>
    <w:p>
      <w:pPr>
        <w:spacing w:after="0" w:line="480" w:lineRule="auto"/>
        <w:ind w:firstLine="720"/>
        <w:jc w:val="both"/>
      </w:pPr>
      <w:r>
        <w:rPr>
          <w:rFonts w:ascii="Times New Roman" w:hAnsi="Times New Roman"/>
          <w:b w:val="0"/>
          <w:i w:val="0"/>
          <w:sz w:val="24"/>
        </w:rPr>
        <w:t>ARGO Model. The sparse autoregressive model with Google data is the lightweight edge fallback for influenza-like illness, dengue, COVID-19, measles, and pertussis when Trends and social signals dominate. It fuses lagged cases with the top correlated Trends queries and exogenous AQI, social, or records covariates under LASSO or likelihood-ratio selection, retrained on a two-year moving window because search behavior drifts.</w:t>
      </w:r>
    </w:p>
    <w:p>
      <w:pPr>
        <w:spacing w:after="0" w:line="480" w:lineRule="auto"/>
        <w:jc w:val="center"/>
      </w:pPr>
      <w:r>
        <w:rPr>
          <w:rFonts w:ascii="Times New Roman" w:hAnsi="Times New Roman"/>
          <w:b w:val="0"/>
          <w:i w:val="0"/>
          <w:sz w:val="24"/>
        </w:rPr>
        <w:t>Yt = μ + Σ a_m Yt-m + Σ k_g Xt,g + Σ q_j Zt,j + εt,   εt ~ N(0, σ2)</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Yt = log- or logit-transformed case count at time t; Xt,g = log Trends frequency for query g.</w:t>
      </w:r>
    </w:p>
    <w:p>
      <w:pPr>
        <w:spacing w:after="0" w:line="480" w:lineRule="auto"/>
        <w:ind w:firstLine="720"/>
        <w:jc w:val="both"/>
      </w:pPr>
      <w:r>
        <w:rPr>
          <w:rFonts w:ascii="Times New Roman" w:hAnsi="Times New Roman"/>
          <w:b w:val="0"/>
          <w:i w:val="0"/>
          <w:sz w:val="24"/>
        </w:rPr>
        <w:t>Zt,j = j-th exogenous term (AQI, social counts, records); am, kg, qj = sparse coefficients.</w:t>
      </w:r>
    </w:p>
    <w:p>
      <w:pPr>
        <w:spacing w:after="0" w:line="480" w:lineRule="auto"/>
        <w:ind w:firstLine="720"/>
        <w:jc w:val="both"/>
      </w:pPr>
      <w:r>
        <w:rPr>
          <w:rFonts w:ascii="Times New Roman" w:hAnsi="Times New Roman"/>
          <w:b w:val="0"/>
          <w:i w:val="0"/>
          <w:sz w:val="24"/>
        </w:rPr>
        <w:t>The model reduces mean absolute error by 14.4% in-sample and 16.0% to 52.7% out-of-sample relative to history-only baselines, with an 18% further reduction under likelihood-ratio selection and correct peak magnitude and timing recovery (Preis et al., 2014; Rangarajan et al., 2019). Taglish queries such as lagnat, ubo, rashes, tigdas, and hirap huminga are selected by Granger causality (p &lt; 0.05) and cross-correlation magnitude.</w:t>
      </w:r>
    </w:p>
    <w:p>
      <w:pPr>
        <w:spacing w:after="80" w:line="480" w:lineRule="auto"/>
        <w:jc w:val="left"/>
      </w:pPr>
      <w:r>
        <w:rPr>
          <w:rFonts w:ascii="Times New Roman" w:hAnsi="Times New Roman"/>
          <w:b/>
          <w:i w:val="0"/>
          <w:sz w:val="24"/>
        </w:rPr>
        <w:t>Distributed-Lag Nonlinear Model</w:t>
      </w:r>
    </w:p>
    <w:p>
      <w:pPr>
        <w:spacing w:after="0" w:line="480" w:lineRule="auto"/>
        <w:ind w:firstLine="720"/>
        <w:jc w:val="both"/>
      </w:pPr>
      <w:r>
        <w:rPr>
          <w:rFonts w:ascii="Times New Roman" w:hAnsi="Times New Roman"/>
          <w:b w:val="0"/>
          <w:i w:val="0"/>
          <w:sz w:val="24"/>
        </w:rPr>
        <w:t>DLNM Model. The distributed-lag nonlinear model in a quasi-Poisson framework is the interpretable threshold layer for leptospirosis, cholera, typhoid, hepatitis A, asthma, and heat effects. It jointly estimates nonlinear exposure-response curves and their delays while controlling seasonality and long-term trend.</w:t>
      </w:r>
    </w:p>
    <w:p>
      <w:pPr>
        <w:spacing w:after="0" w:line="480" w:lineRule="auto"/>
        <w:jc w:val="center"/>
      </w:pPr>
      <w:r>
        <w:rPr>
          <w:rFonts w:ascii="Times New Roman" w:hAnsi="Times New Roman"/>
          <w:b w:val="0"/>
          <w:i w:val="0"/>
          <w:sz w:val="24"/>
        </w:rPr>
        <w:t>log E[Yt] = α + cb(Rain, lag) + cb(Temp, lag) + ns(week, 3df) + ns(year, 2df) + confounders</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Yt = weekly case count, quasi-Poisson distributed; cb = cross-basis of natural cubic splines over exposure and lag.</w:t>
      </w:r>
    </w:p>
    <w:p>
      <w:pPr>
        <w:spacing w:after="0" w:line="480" w:lineRule="auto"/>
        <w:ind w:firstLine="720"/>
        <w:jc w:val="both"/>
      </w:pPr>
      <w:r>
        <w:rPr>
          <w:rFonts w:ascii="Times New Roman" w:hAnsi="Times New Roman"/>
          <w:b w:val="0"/>
          <w:i w:val="0"/>
          <w:sz w:val="24"/>
        </w:rPr>
        <w:t>Relative risk (RR) is computed against a reference such as zero rainfall or AQI at or below 100; degrees of freedom are chosen by quasi-AIC.</w:t>
      </w:r>
    </w:p>
    <w:p>
      <w:pPr>
        <w:spacing w:after="0" w:line="480" w:lineRule="auto"/>
        <w:ind w:firstLine="720"/>
        <w:jc w:val="both"/>
      </w:pPr>
      <w:r>
        <w:rPr>
          <w:rFonts w:ascii="Times New Roman" w:hAnsi="Times New Roman"/>
          <w:b w:val="0"/>
          <w:i w:val="0"/>
          <w:sz w:val="24"/>
        </w:rPr>
        <w:t>At a two-week lag in Manila, relative risks versus zero rainfall are 1.30 (light), 1.53 (moderate), 2.45 (heavy), 4.61 (intense), and 13.77 (torrential), attenuating by 14.3%, 34.9%, and 57.3% for the top three bands after flood adjustment, confirming flood as a causal pathway (Sakamoto et al., 2018). A 10 mm lower-than-expected rainfall anomaly reduces typhoid by up to 16% at two weeks, while AQI above 100 raises asthma exacerbations by RR 1.42 overall, 1.60 for PM2.5 or SO2 alone, and 3.33 in children for SO2 (Blantyre typhoid study, 2022; Gentile et al., 2025).</w:t>
      </w:r>
    </w:p>
    <w:p>
      <w:pPr>
        <w:spacing w:after="80" w:line="480" w:lineRule="auto"/>
        <w:jc w:val="left"/>
      </w:pPr>
      <w:r>
        <w:rPr>
          <w:rFonts w:ascii="Times New Roman" w:hAnsi="Times New Roman"/>
          <w:b/>
          <w:i w:val="0"/>
          <w:sz w:val="24"/>
        </w:rPr>
        <w:t>Heat Index and Air Quality Rules</w:t>
      </w:r>
    </w:p>
    <w:p>
      <w:pPr>
        <w:spacing w:after="0" w:line="480" w:lineRule="auto"/>
        <w:ind w:firstLine="720"/>
        <w:jc w:val="both"/>
      </w:pPr>
      <w:r>
        <w:rPr>
          <w:rFonts w:ascii="Times New Roman" w:hAnsi="Times New Roman"/>
          <w:b w:val="0"/>
          <w:i w:val="0"/>
          <w:sz w:val="24"/>
        </w:rPr>
        <w:t>Heat Index Rule. Heat-related illness is predicted directly from the PAGASA iHeatMap gridded heat index with no epidemiological lag, using the Rothfusz regression on temperature and relative humidity mapped to PAGASA bands: Caution 27 to 32°C, Extreme Caution 33 to 41°C, Danger 42 to 51°C, and Extreme Danger at or above 52°C. The two-day ECMWF forecast supplies the alert horizon.</w:t>
      </w:r>
    </w:p>
    <w:p>
      <w:pPr>
        <w:spacing w:after="0" w:line="480" w:lineRule="auto"/>
        <w:jc w:val="center"/>
      </w:pPr>
      <w:r>
        <w:rPr>
          <w:rFonts w:ascii="Times New Roman" w:hAnsi="Times New Roman"/>
          <w:b w:val="0"/>
          <w:i w:val="0"/>
          <w:sz w:val="24"/>
        </w:rPr>
        <w:t>HI = -42.379 + 2.049T + 10.143R - 0.225TR - 0.0068T2 - 0.0548R2 + 0.0012T2R + 0.00085TR2 - 0.00000199T2R2</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T = air temperature in degrees Fahrenheit; R = relative humidity in percent; HI is mapped to the PAGASA color-coded response guide.</w:t>
      </w:r>
    </w:p>
    <w:p>
      <w:pPr>
        <w:spacing w:after="0" w:line="480" w:lineRule="auto"/>
        <w:ind w:firstLine="720"/>
        <w:jc w:val="both"/>
      </w:pPr>
      <w:r>
        <w:rPr>
          <w:rFonts w:ascii="Times New Roman" w:hAnsi="Times New Roman"/>
          <w:b w:val="0"/>
          <w:i w:val="0"/>
          <w:sz w:val="24"/>
        </w:rPr>
        <w:t>Asthma Rule. Asthma exacerbation follows the same-day Poisson model log E[y|X] with an AQI exceedance contrast above versus at or below 100, PM2.5 above 35.5 μg/m3 as the primary trigger, and age and insurance stratification because children and publicly insured patients carry the highest same-day risk. Lagged days one through five carry no significant effect, so the alert fires on lag zero only.</w:t>
      </w:r>
    </w:p>
    <w:p>
      <w:pPr>
        <w:spacing w:after="80" w:line="480" w:lineRule="auto"/>
        <w:jc w:val="left"/>
      </w:pPr>
      <w:r>
        <w:rPr>
          <w:rFonts w:ascii="Times New Roman" w:hAnsi="Times New Roman"/>
          <w:b/>
          <w:i w:val="0"/>
          <w:sz w:val="24"/>
        </w:rPr>
        <w:t>Social, News, and Mechanistic Models</w:t>
      </w:r>
    </w:p>
    <w:p>
      <w:pPr>
        <w:spacing w:after="0" w:line="480" w:lineRule="auto"/>
        <w:ind w:firstLine="720"/>
        <w:jc w:val="both"/>
      </w:pPr>
      <w:r>
        <w:rPr>
          <w:rFonts w:ascii="Times New Roman" w:hAnsi="Times New Roman"/>
          <w:b w:val="0"/>
          <w:i w:val="0"/>
          <w:sz w:val="24"/>
        </w:rPr>
        <w:t>EARS and LASSO Model. Social and news feeds enter through the EARS aberration detector over daily Taglish symptom counts per municipality, with matched GDELT and RSS articles filtered by a health classifier for situational awareness, and through LASSO nowcasting that combines lagged PIDSR cases with Twitter symptom regressors on an eight-week training window. Including social data improves nowcasting by 13.5% to 37% over autoregression alone and runs one to two weeks faster than case reports (Serban et al., 2019; Thapen et al., 2016). News never triggers alone because it is a lagging indicator.</w:t>
      </w:r>
    </w:p>
    <w:p>
      <w:pPr>
        <w:spacing w:after="0" w:line="480" w:lineRule="auto"/>
        <w:jc w:val="center"/>
      </w:pPr>
      <w:r>
        <w:rPr>
          <w:rFonts w:ascii="Times New Roman" w:hAnsi="Times New Roman"/>
          <w:b w:val="0"/>
          <w:i w:val="0"/>
          <w:sz w:val="24"/>
        </w:rPr>
        <w:t>MAE = (1/n)Σ|xi - yi|,   ρXY(τ) = Corr(Xt, Yt+τ)</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xi, yi = predicted and actual case levels; ρXY(τ) = cross-correlation at lag τ used with Granger tests for keyword selection.</w:t>
      </w:r>
    </w:p>
    <w:p>
      <w:pPr>
        <w:spacing w:after="0" w:line="480" w:lineRule="auto"/>
        <w:ind w:firstLine="720"/>
        <w:jc w:val="both"/>
      </w:pPr>
      <w:r>
        <w:rPr>
          <w:rFonts w:ascii="Times New Roman" w:hAnsi="Times New Roman"/>
          <w:b w:val="0"/>
          <w:i w:val="0"/>
          <w:sz w:val="24"/>
        </w:rPr>
        <w:t>SIWR Model. Cholera scenario modeling uses the rainfall-forced susceptible-infected-recovered-bacteria system, where the waterborne term is multiplied by interpolated gauge or satellite rainfall. The exposure pathway outperforms the contamination pathway and explains intra-seasonal double peaks that unforced models miss (Rinaldo et al., 2012; Eisenberg et al., 2013).</w:t>
      </w:r>
    </w:p>
    <w:p>
      <w:pPr>
        <w:spacing w:after="0" w:line="480" w:lineRule="auto"/>
        <w:jc w:val="center"/>
      </w:pPr>
      <w:r>
        <w:rPr>
          <w:rFonts w:ascii="Times New Roman" w:hAnsi="Times New Roman"/>
          <w:b w:val="0"/>
          <w:i w:val="0"/>
          <w:sz w:val="24"/>
        </w:rPr>
        <w:t>dS/dt = -βW S W fra_in(t) - βI S I,   dI/dt = βW S W fra_in(t) + βI S I - γI,   dW/dt = ξI - ωW,   y = kI</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S, I, R = susceptible, infected, recovered; W = environmental bacterial concentration; fra_in(t) = interpolated rainfall forcing; y = Poisson-observed cases.</w:t>
      </w:r>
    </w:p>
    <w:p>
      <w:pPr>
        <w:spacing w:after="120" w:line="480" w:lineRule="auto"/>
        <w:jc w:val="left"/>
      </w:pPr>
      <w:r>
        <w:rPr>
          <w:rFonts w:ascii="Times New Roman" w:hAnsi="Times New Roman"/>
          <w:b/>
          <w:i w:val="0"/>
          <w:sz w:val="24"/>
        </w:rPr>
        <w:t>Per-Disease Implementation</w:t>
      </w:r>
    </w:p>
    <w:p>
      <w:pPr>
        <w:spacing w:after="0" w:line="480" w:lineRule="auto"/>
        <w:ind w:firstLine="720"/>
        <w:jc w:val="both"/>
      </w:pPr>
      <w:r>
        <w:rPr>
          <w:rFonts w:ascii="Times New Roman" w:hAnsi="Times New Roman"/>
          <w:b w:val="0"/>
          <w:i w:val="0"/>
          <w:sz w:val="24"/>
        </w:rPr>
        <w:t>To translate formulas into deployment, each disease is assigned the feeds, lags, model hook, and accuracy lever in Table 3. All sixteen rows reuse only the ten automated feeds, satisfying the no-manual-entry constraint.</w:t>
      </w:r>
    </w:p>
    <w:p>
      <w:pPr>
        <w:spacing w:after="240" w:line="480" w:lineRule="auto"/>
        <w:jc w:val="center"/>
      </w:pPr>
      <w:r>
        <w:rPr>
          <w:rFonts w:ascii="Times New Roman" w:hAnsi="Times New Roman"/>
          <w:b w:val="0"/>
          <w:i w:val="0"/>
          <w:sz w:val="24"/>
        </w:rPr>
        <w:t>Table 3. Feed, Lag, Model, and Accuracy Lever per Disease.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i w:val="0"/>
                <w:sz w:val="24"/>
              </w:rPr>
              <w:t>Disease</w:t>
            </w:r>
          </w:p>
        </w:tc>
        <w:tc>
          <w:tcPr>
            <w:tcW w:type="dxa" w:w="2340"/>
          </w:tcPr>
          <w:p>
            <w:pPr>
              <w:jc w:val="center"/>
            </w:pPr>
            <w:r/>
            <w:r>
              <w:rPr>
                <w:rFonts w:ascii="Times New Roman" w:hAnsi="Times New Roman"/>
                <w:b/>
                <w:i w:val="0"/>
                <w:sz w:val="24"/>
              </w:rPr>
              <w:t>Feeds and Lags</w:t>
            </w:r>
          </w:p>
        </w:tc>
        <w:tc>
          <w:tcPr>
            <w:tcW w:type="dxa" w:w="2340"/>
          </w:tcPr>
          <w:p>
            <w:pPr>
              <w:jc w:val="center"/>
            </w:pPr>
            <w:r/>
            <w:r>
              <w:rPr>
                <w:rFonts w:ascii="Times New Roman" w:hAnsi="Times New Roman"/>
                <w:b/>
                <w:i w:val="0"/>
                <w:sz w:val="24"/>
              </w:rPr>
              <w:t>Model Hook</w:t>
            </w:r>
          </w:p>
        </w:tc>
        <w:tc>
          <w:tcPr>
            <w:tcW w:type="dxa" w:w="2340"/>
          </w:tcPr>
          <w:p>
            <w:pPr>
              <w:jc w:val="center"/>
            </w:pPr>
            <w:r/>
            <w:r>
              <w:rPr>
                <w:rFonts w:ascii="Times New Roman" w:hAnsi="Times New Roman"/>
                <w:b/>
                <w:i w:val="0"/>
                <w:sz w:val="24"/>
              </w:rPr>
              <w:t>Accuracy Lever</w:t>
            </w:r>
          </w:p>
        </w:tc>
      </w:tr>
      <w:tr>
        <w:tc>
          <w:tcPr>
            <w:tcW w:type="dxa" w:w="2340"/>
          </w:tcPr>
          <w:p>
            <w:pPr>
              <w:spacing w:after="0" w:line="240" w:lineRule="auto"/>
              <w:jc w:val="center"/>
            </w:pPr>
            <w:r/>
            <w:r>
              <w:rPr>
                <w:rFonts w:ascii="Times New Roman" w:hAnsi="Times New Roman"/>
                <w:b w:val="0"/>
                <w:i w:val="0"/>
                <w:sz w:val="24"/>
              </w:rPr>
              <w:t>Dengue</w:t>
            </w:r>
          </w:p>
        </w:tc>
        <w:tc>
          <w:tcPr>
            <w:tcW w:type="dxa" w:w="2340"/>
          </w:tcPr>
          <w:p>
            <w:pPr>
              <w:spacing w:after="0" w:line="240" w:lineRule="auto"/>
              <w:jc w:val="center"/>
            </w:pPr>
            <w:r/>
            <w:r>
              <w:rPr>
                <w:rFonts w:ascii="Times New Roman" w:hAnsi="Times New Roman"/>
                <w:b w:val="0"/>
                <w:i w:val="0"/>
                <w:sz w:val="24"/>
              </w:rPr>
              <w:t>PIDSR lags; T-4wk, rain-2wk, RH-1wk; NDVI; Trends</w:t>
            </w:r>
          </w:p>
        </w:tc>
        <w:tc>
          <w:tcPr>
            <w:tcW w:type="dxa" w:w="2340"/>
          </w:tcPr>
          <w:p>
            <w:pPr>
              <w:spacing w:after="0" w:line="240" w:lineRule="auto"/>
              <w:jc w:val="center"/>
            </w:pPr>
            <w:r/>
            <w:r>
              <w:rPr>
                <w:rFonts w:ascii="Times New Roman" w:hAnsi="Times New Roman"/>
                <w:b w:val="0"/>
                <w:i w:val="0"/>
                <w:sz w:val="24"/>
              </w:rPr>
              <w:t>Bi-LSTM-ATT; mean+1SD rule</w:t>
            </w:r>
          </w:p>
        </w:tc>
        <w:tc>
          <w:tcPr>
            <w:tcW w:type="dxa" w:w="2340"/>
          </w:tcPr>
          <w:p>
            <w:pPr>
              <w:spacing w:after="0" w:line="240" w:lineRule="auto"/>
              <w:jc w:val="center"/>
            </w:pPr>
            <w:r/>
            <w:r>
              <w:rPr>
                <w:rFonts w:ascii="Times New Roman" w:hAnsi="Times New Roman"/>
                <w:b w:val="0"/>
                <w:i w:val="0"/>
                <w:sz w:val="24"/>
              </w:rPr>
              <w:t>Per-province training; add larval/NDVI</w:t>
            </w:r>
          </w:p>
        </w:tc>
      </w:tr>
      <w:tr>
        <w:tc>
          <w:tcPr>
            <w:tcW w:type="dxa" w:w="2340"/>
          </w:tcPr>
          <w:p>
            <w:pPr>
              <w:spacing w:after="0" w:line="240" w:lineRule="auto"/>
              <w:jc w:val="center"/>
            </w:pPr>
            <w:r/>
            <w:r>
              <w:rPr>
                <w:rFonts w:ascii="Times New Roman" w:hAnsi="Times New Roman"/>
                <w:b w:val="0"/>
                <w:i w:val="0"/>
                <w:sz w:val="24"/>
              </w:rPr>
              <w:t>Chikungunya</w:t>
            </w:r>
          </w:p>
        </w:tc>
        <w:tc>
          <w:tcPr>
            <w:tcW w:type="dxa" w:w="2340"/>
          </w:tcPr>
          <w:p>
            <w:pPr>
              <w:spacing w:after="0" w:line="240" w:lineRule="auto"/>
              <w:jc w:val="center"/>
            </w:pPr>
            <w:r/>
            <w:r>
              <w:rPr>
                <w:rFonts w:ascii="Times New Roman" w:hAnsi="Times New Roman"/>
                <w:b w:val="0"/>
                <w:i w:val="0"/>
                <w:sz w:val="24"/>
              </w:rPr>
              <w:t>Same as dengue; joint-pain Trends</w:t>
            </w:r>
          </w:p>
        </w:tc>
        <w:tc>
          <w:tcPr>
            <w:tcW w:type="dxa" w:w="2340"/>
          </w:tcPr>
          <w:p>
            <w:pPr>
              <w:spacing w:after="0" w:line="240" w:lineRule="auto"/>
              <w:jc w:val="center"/>
            </w:pPr>
            <w:r/>
            <w:r>
              <w:rPr>
                <w:rFonts w:ascii="Times New Roman" w:hAnsi="Times New Roman"/>
                <w:b w:val="0"/>
                <w:i w:val="0"/>
                <w:sz w:val="24"/>
              </w:rPr>
              <w:t>Shared Aedes encoder</w:t>
            </w:r>
          </w:p>
        </w:tc>
        <w:tc>
          <w:tcPr>
            <w:tcW w:type="dxa" w:w="2340"/>
          </w:tcPr>
          <w:p>
            <w:pPr>
              <w:spacing w:after="0" w:line="240" w:lineRule="auto"/>
              <w:jc w:val="center"/>
            </w:pPr>
            <w:r/>
            <w:r>
              <w:rPr>
                <w:rFonts w:ascii="Times New Roman" w:hAnsi="Times New Roman"/>
                <w:b w:val="0"/>
                <w:i w:val="0"/>
                <w:sz w:val="24"/>
              </w:rPr>
              <w:t>Multitask with dengue labels</w:t>
            </w:r>
          </w:p>
        </w:tc>
      </w:tr>
      <w:tr>
        <w:tc>
          <w:tcPr>
            <w:tcW w:type="dxa" w:w="2340"/>
          </w:tcPr>
          <w:p>
            <w:pPr>
              <w:spacing w:after="0" w:line="240" w:lineRule="auto"/>
              <w:jc w:val="center"/>
            </w:pPr>
            <w:r/>
            <w:r>
              <w:rPr>
                <w:rFonts w:ascii="Times New Roman" w:hAnsi="Times New Roman"/>
                <w:b w:val="0"/>
                <w:i w:val="0"/>
                <w:sz w:val="24"/>
              </w:rPr>
              <w:t>Malaria</w:t>
            </w:r>
          </w:p>
        </w:tc>
        <w:tc>
          <w:tcPr>
            <w:tcW w:type="dxa" w:w="2340"/>
          </w:tcPr>
          <w:p>
            <w:pPr>
              <w:spacing w:after="0" w:line="240" w:lineRule="auto"/>
              <w:jc w:val="center"/>
            </w:pPr>
            <w:r/>
            <w:r>
              <w:rPr>
                <w:rFonts w:ascii="Times New Roman" w:hAnsi="Times New Roman"/>
                <w:b w:val="0"/>
                <w:i w:val="0"/>
                <w:sz w:val="24"/>
              </w:rPr>
              <w:t>Rain, standing water, NDVI; endemic strata</w:t>
            </w:r>
          </w:p>
        </w:tc>
        <w:tc>
          <w:tcPr>
            <w:tcW w:type="dxa" w:w="2340"/>
          </w:tcPr>
          <w:p>
            <w:pPr>
              <w:spacing w:after="0" w:line="240" w:lineRule="auto"/>
              <w:jc w:val="center"/>
            </w:pPr>
            <w:r/>
            <w:r>
              <w:rPr>
                <w:rFonts w:ascii="Times New Roman" w:hAnsi="Times New Roman"/>
                <w:b w:val="0"/>
                <w:i w:val="0"/>
                <w:sz w:val="24"/>
              </w:rPr>
              <w:t>Bi-LSTM seasonal</w:t>
            </w:r>
          </w:p>
        </w:tc>
        <w:tc>
          <w:tcPr>
            <w:tcW w:type="dxa" w:w="2340"/>
          </w:tcPr>
          <w:p>
            <w:pPr>
              <w:spacing w:after="0" w:line="240" w:lineRule="auto"/>
              <w:jc w:val="center"/>
            </w:pPr>
            <w:r/>
            <w:r>
              <w:rPr>
                <w:rFonts w:ascii="Times New Roman" w:hAnsi="Times New Roman"/>
                <w:b w:val="0"/>
                <w:i w:val="0"/>
                <w:sz w:val="24"/>
              </w:rPr>
              <w:t>Satellite water mask</w:t>
            </w:r>
          </w:p>
        </w:tc>
      </w:tr>
      <w:tr>
        <w:tc>
          <w:tcPr>
            <w:tcW w:type="dxa" w:w="2340"/>
          </w:tcPr>
          <w:p>
            <w:pPr>
              <w:spacing w:after="0" w:line="240" w:lineRule="auto"/>
              <w:jc w:val="center"/>
            </w:pPr>
            <w:r/>
            <w:r>
              <w:rPr>
                <w:rFonts w:ascii="Times New Roman" w:hAnsi="Times New Roman"/>
                <w:b w:val="0"/>
                <w:i w:val="0"/>
                <w:sz w:val="24"/>
              </w:rPr>
              <w:t>Zika</w:t>
            </w:r>
          </w:p>
        </w:tc>
        <w:tc>
          <w:tcPr>
            <w:tcW w:type="dxa" w:w="2340"/>
          </w:tcPr>
          <w:p>
            <w:pPr>
              <w:spacing w:after="0" w:line="240" w:lineRule="auto"/>
              <w:jc w:val="center"/>
            </w:pPr>
            <w:r/>
            <w:r>
              <w:rPr>
                <w:rFonts w:ascii="Times New Roman" w:hAnsi="Times New Roman"/>
                <w:b w:val="0"/>
                <w:i w:val="0"/>
                <w:sz w:val="24"/>
              </w:rPr>
              <w:t>Sentinel cases; climate; social/news</w:t>
            </w:r>
          </w:p>
        </w:tc>
        <w:tc>
          <w:tcPr>
            <w:tcW w:type="dxa" w:w="2340"/>
          </w:tcPr>
          <w:p>
            <w:pPr>
              <w:spacing w:after="0" w:line="240" w:lineRule="auto"/>
              <w:jc w:val="center"/>
            </w:pPr>
            <w:r/>
            <w:r>
              <w:rPr>
                <w:rFonts w:ascii="Times New Roman" w:hAnsi="Times New Roman"/>
                <w:b w:val="0"/>
                <w:i w:val="0"/>
                <w:sz w:val="24"/>
              </w:rPr>
              <w:t>Transfer-learned dengue net</w:t>
            </w:r>
          </w:p>
        </w:tc>
        <w:tc>
          <w:tcPr>
            <w:tcW w:type="dxa" w:w="2340"/>
          </w:tcPr>
          <w:p>
            <w:pPr>
              <w:spacing w:after="0" w:line="240" w:lineRule="auto"/>
              <w:jc w:val="center"/>
            </w:pPr>
            <w:r/>
            <w:r>
              <w:rPr>
                <w:rFonts w:ascii="Times New Roman" w:hAnsi="Times New Roman"/>
                <w:b w:val="0"/>
                <w:i w:val="0"/>
                <w:sz w:val="24"/>
              </w:rPr>
              <w:t>Borrow dengue weights</w:t>
            </w:r>
          </w:p>
        </w:tc>
      </w:tr>
      <w:tr>
        <w:tc>
          <w:tcPr>
            <w:tcW w:type="dxa" w:w="2340"/>
          </w:tcPr>
          <w:p>
            <w:pPr>
              <w:spacing w:after="0" w:line="240" w:lineRule="auto"/>
              <w:jc w:val="center"/>
            </w:pPr>
            <w:r/>
            <w:r>
              <w:rPr>
                <w:rFonts w:ascii="Times New Roman" w:hAnsi="Times New Roman"/>
                <w:b w:val="0"/>
                <w:i w:val="0"/>
                <w:sz w:val="24"/>
              </w:rPr>
              <w:t>Leptospirosis</w:t>
            </w:r>
          </w:p>
        </w:tc>
        <w:tc>
          <w:tcPr>
            <w:tcW w:type="dxa" w:w="2340"/>
          </w:tcPr>
          <w:p>
            <w:pPr>
              <w:spacing w:after="0" w:line="240" w:lineRule="auto"/>
              <w:jc w:val="center"/>
            </w:pPr>
            <w:r/>
            <w:r>
              <w:rPr>
                <w:rFonts w:ascii="Times New Roman" w:hAnsi="Times New Roman"/>
                <w:b w:val="0"/>
                <w:i w:val="0"/>
                <w:sz w:val="24"/>
              </w:rPr>
              <w:t>Rain cm/wk; flood flag; typhoon count; T+2wk</w:t>
            </w:r>
          </w:p>
        </w:tc>
        <w:tc>
          <w:tcPr>
            <w:tcW w:type="dxa" w:w="2340"/>
          </w:tcPr>
          <w:p>
            <w:pPr>
              <w:spacing w:after="0" w:line="240" w:lineRule="auto"/>
              <w:jc w:val="center"/>
            </w:pPr>
            <w:r/>
            <w:r>
              <w:rPr>
                <w:rFonts w:ascii="Times New Roman" w:hAnsi="Times New Roman"/>
                <w:b w:val="0"/>
                <w:i w:val="0"/>
                <w:sz w:val="24"/>
              </w:rPr>
              <w:t>DLNM RR table; Prophet-XGBoost</w:t>
            </w:r>
          </w:p>
        </w:tc>
        <w:tc>
          <w:tcPr>
            <w:tcW w:type="dxa" w:w="2340"/>
          </w:tcPr>
          <w:p>
            <w:pPr>
              <w:spacing w:after="0" w:line="240" w:lineRule="auto"/>
              <w:jc w:val="center"/>
            </w:pPr>
            <w:r/>
            <w:r>
              <w:rPr>
                <w:rFonts w:ascii="Times New Roman" w:hAnsi="Times New Roman"/>
                <w:b w:val="0"/>
                <w:i w:val="0"/>
                <w:sz w:val="24"/>
              </w:rPr>
              <w:t>Pre-position doxycycline in GIS clusters</w:t>
            </w:r>
          </w:p>
        </w:tc>
      </w:tr>
      <w:tr>
        <w:tc>
          <w:tcPr>
            <w:tcW w:type="dxa" w:w="2340"/>
          </w:tcPr>
          <w:p>
            <w:pPr>
              <w:spacing w:after="0" w:line="240" w:lineRule="auto"/>
              <w:jc w:val="center"/>
            </w:pPr>
            <w:r/>
            <w:r>
              <w:rPr>
                <w:rFonts w:ascii="Times New Roman" w:hAnsi="Times New Roman"/>
                <w:b w:val="0"/>
                <w:i w:val="0"/>
                <w:sz w:val="24"/>
              </w:rPr>
              <w:t>Typhoid</w:t>
            </w:r>
          </w:p>
        </w:tc>
        <w:tc>
          <w:tcPr>
            <w:tcW w:type="dxa" w:w="2340"/>
          </w:tcPr>
          <w:p>
            <w:pPr>
              <w:spacing w:after="0" w:line="240" w:lineRule="auto"/>
              <w:jc w:val="center"/>
            </w:pPr>
            <w:r/>
            <w:r>
              <w:rPr>
                <w:rFonts w:ascii="Times New Roman" w:hAnsi="Times New Roman"/>
                <w:b w:val="0"/>
                <w:i w:val="0"/>
                <w:sz w:val="24"/>
              </w:rPr>
              <w:t>Rainfall anomaly 1-4wk; seasonal 15.5wk</w:t>
            </w:r>
          </w:p>
        </w:tc>
        <w:tc>
          <w:tcPr>
            <w:tcW w:type="dxa" w:w="2340"/>
          </w:tcPr>
          <w:p>
            <w:pPr>
              <w:spacing w:after="0" w:line="240" w:lineRule="auto"/>
              <w:jc w:val="center"/>
            </w:pPr>
            <w:r/>
            <w:r>
              <w:rPr>
                <w:rFonts w:ascii="Times New Roman" w:hAnsi="Times New Roman"/>
                <w:b w:val="0"/>
                <w:i w:val="0"/>
                <w:sz w:val="24"/>
              </w:rPr>
              <w:t>Log-quadratic quasi-Poisson</w:t>
            </w:r>
          </w:p>
        </w:tc>
        <w:tc>
          <w:tcPr>
            <w:tcW w:type="dxa" w:w="2340"/>
          </w:tcPr>
          <w:p>
            <w:pPr>
              <w:spacing w:after="0" w:line="240" w:lineRule="auto"/>
              <w:jc w:val="center"/>
            </w:pPr>
            <w:r/>
            <w:r>
              <w:rPr>
                <w:rFonts w:ascii="Times New Roman" w:hAnsi="Times New Roman"/>
                <w:b w:val="0"/>
                <w:i w:val="0"/>
                <w:sz w:val="24"/>
              </w:rPr>
              <w:t>Use anomaly, not raw rain</w:t>
            </w:r>
          </w:p>
        </w:tc>
      </w:tr>
      <w:tr>
        <w:tc>
          <w:tcPr>
            <w:tcW w:type="dxa" w:w="2340"/>
          </w:tcPr>
          <w:p>
            <w:pPr>
              <w:spacing w:after="0" w:line="240" w:lineRule="auto"/>
              <w:jc w:val="center"/>
            </w:pPr>
            <w:r/>
            <w:r>
              <w:rPr>
                <w:rFonts w:ascii="Times New Roman" w:hAnsi="Times New Roman"/>
                <w:b w:val="0"/>
                <w:i w:val="0"/>
                <w:sz w:val="24"/>
              </w:rPr>
              <w:t>Cholera</w:t>
            </w:r>
          </w:p>
        </w:tc>
        <w:tc>
          <w:tcPr>
            <w:tcW w:type="dxa" w:w="2340"/>
          </w:tcPr>
          <w:p>
            <w:pPr>
              <w:spacing w:after="0" w:line="240" w:lineRule="auto"/>
              <w:jc w:val="center"/>
            </w:pPr>
            <w:r/>
            <w:r>
              <w:rPr>
                <w:rFonts w:ascii="Times New Roman" w:hAnsi="Times New Roman"/>
                <w:b w:val="0"/>
                <w:i w:val="0"/>
                <w:sz w:val="24"/>
              </w:rPr>
              <w:t>Rain 0-21d; flood extent; water alerts</w:t>
            </w:r>
          </w:p>
        </w:tc>
        <w:tc>
          <w:tcPr>
            <w:tcW w:type="dxa" w:w="2340"/>
          </w:tcPr>
          <w:p>
            <w:pPr>
              <w:spacing w:after="0" w:line="240" w:lineRule="auto"/>
              <w:jc w:val="center"/>
            </w:pPr>
            <w:r/>
            <w:r>
              <w:rPr>
                <w:rFonts w:ascii="Times New Roman" w:hAnsi="Times New Roman"/>
                <w:b w:val="0"/>
                <w:i w:val="0"/>
                <w:sz w:val="24"/>
              </w:rPr>
              <w:t>DLNM plus SIWR exposure</w:t>
            </w:r>
          </w:p>
        </w:tc>
        <w:tc>
          <w:tcPr>
            <w:tcW w:type="dxa" w:w="2340"/>
          </w:tcPr>
          <w:p>
            <w:pPr>
              <w:spacing w:after="0" w:line="240" w:lineRule="auto"/>
              <w:jc w:val="center"/>
            </w:pPr>
            <w:r/>
            <w:r>
              <w:rPr>
                <w:rFonts w:ascii="Times New Roman" w:hAnsi="Times New Roman"/>
                <w:b w:val="0"/>
                <w:i w:val="0"/>
                <w:sz w:val="24"/>
              </w:rPr>
              <w:t>Capture second seasonal peak</w:t>
            </w:r>
          </w:p>
        </w:tc>
      </w:tr>
      <w:tr>
        <w:tc>
          <w:tcPr>
            <w:tcW w:type="dxa" w:w="2340"/>
          </w:tcPr>
          <w:p>
            <w:pPr>
              <w:spacing w:after="0" w:line="240" w:lineRule="auto"/>
              <w:jc w:val="center"/>
            </w:pPr>
            <w:r/>
            <w:r>
              <w:rPr>
                <w:rFonts w:ascii="Times New Roman" w:hAnsi="Times New Roman"/>
                <w:b w:val="0"/>
                <w:i w:val="0"/>
                <w:sz w:val="24"/>
              </w:rPr>
              <w:t>Hepatitis A</w:t>
            </w:r>
          </w:p>
        </w:tc>
        <w:tc>
          <w:tcPr>
            <w:tcW w:type="dxa" w:w="2340"/>
          </w:tcPr>
          <w:p>
            <w:pPr>
              <w:spacing w:after="0" w:line="240" w:lineRule="auto"/>
              <w:jc w:val="center"/>
            </w:pPr>
            <w:r/>
            <w:r>
              <w:rPr>
                <w:rFonts w:ascii="Times New Roman" w:hAnsi="Times New Roman"/>
                <w:b w:val="0"/>
                <w:i w:val="0"/>
                <w:sz w:val="24"/>
              </w:rPr>
              <w:t>Rain; sanitation proxy; Trends; news</w:t>
            </w:r>
          </w:p>
        </w:tc>
        <w:tc>
          <w:tcPr>
            <w:tcW w:type="dxa" w:w="2340"/>
          </w:tcPr>
          <w:p>
            <w:pPr>
              <w:spacing w:after="0" w:line="240" w:lineRule="auto"/>
              <w:jc w:val="center"/>
            </w:pPr>
            <w:r/>
            <w:r>
              <w:rPr>
                <w:rFonts w:ascii="Times New Roman" w:hAnsi="Times New Roman"/>
                <w:b w:val="0"/>
                <w:i w:val="0"/>
                <w:sz w:val="24"/>
              </w:rPr>
              <w:t>DLNM-lite plus ARGO</w:t>
            </w:r>
          </w:p>
        </w:tc>
        <w:tc>
          <w:tcPr>
            <w:tcW w:type="dxa" w:w="2340"/>
          </w:tcPr>
          <w:p>
            <w:pPr>
              <w:spacing w:after="0" w:line="240" w:lineRule="auto"/>
              <w:jc w:val="center"/>
            </w:pPr>
            <w:r/>
            <w:r>
              <w:rPr>
                <w:rFonts w:ascii="Times New Roman" w:hAnsi="Times New Roman"/>
                <w:b w:val="0"/>
                <w:i w:val="0"/>
                <w:sz w:val="24"/>
              </w:rPr>
              <w:t>Flood plus news confirmation</w:t>
            </w:r>
          </w:p>
        </w:tc>
      </w:tr>
      <w:tr>
        <w:tc>
          <w:tcPr>
            <w:tcW w:type="dxa" w:w="2340"/>
          </w:tcPr>
          <w:p>
            <w:pPr>
              <w:spacing w:after="0" w:line="240" w:lineRule="auto"/>
              <w:jc w:val="center"/>
            </w:pPr>
            <w:r/>
            <w:r>
              <w:rPr>
                <w:rFonts w:ascii="Times New Roman" w:hAnsi="Times New Roman"/>
                <w:b w:val="0"/>
                <w:i w:val="0"/>
                <w:sz w:val="24"/>
              </w:rPr>
              <w:t>Influenza / ILI</w:t>
            </w:r>
          </w:p>
        </w:tc>
        <w:tc>
          <w:tcPr>
            <w:tcW w:type="dxa" w:w="2340"/>
          </w:tcPr>
          <w:p>
            <w:pPr>
              <w:spacing w:after="0" w:line="240" w:lineRule="auto"/>
              <w:jc w:val="center"/>
            </w:pPr>
            <w:r/>
            <w:r>
              <w:rPr>
                <w:rFonts w:ascii="Times New Roman" w:hAnsi="Times New Roman"/>
                <w:b w:val="0"/>
                <w:i w:val="0"/>
                <w:sz w:val="24"/>
              </w:rPr>
              <w:t>Trends; AQI; social; seasonality</w:t>
            </w:r>
          </w:p>
        </w:tc>
        <w:tc>
          <w:tcPr>
            <w:tcW w:type="dxa" w:w="2340"/>
          </w:tcPr>
          <w:p>
            <w:pPr>
              <w:spacing w:after="0" w:line="240" w:lineRule="auto"/>
              <w:jc w:val="center"/>
            </w:pPr>
            <w:r/>
            <w:r>
              <w:rPr>
                <w:rFonts w:ascii="Times New Roman" w:hAnsi="Times New Roman"/>
                <w:b w:val="0"/>
                <w:i w:val="0"/>
                <w:sz w:val="24"/>
              </w:rPr>
              <w:t>ARGO/ARLR plus Bi-LSTM</w:t>
            </w:r>
          </w:p>
        </w:tc>
        <w:tc>
          <w:tcPr>
            <w:tcW w:type="dxa" w:w="2340"/>
          </w:tcPr>
          <w:p>
            <w:pPr>
              <w:spacing w:after="0" w:line="240" w:lineRule="auto"/>
              <w:jc w:val="center"/>
            </w:pPr>
            <w:r/>
            <w:r>
              <w:rPr>
                <w:rFonts w:ascii="Times New Roman" w:hAnsi="Times New Roman"/>
                <w:b w:val="0"/>
                <w:i w:val="0"/>
                <w:sz w:val="24"/>
              </w:rPr>
              <w:t>Two-year rolling vocabulary</w:t>
            </w:r>
          </w:p>
        </w:tc>
      </w:tr>
      <w:tr>
        <w:tc>
          <w:tcPr>
            <w:tcW w:type="dxa" w:w="2340"/>
          </w:tcPr>
          <w:p>
            <w:pPr>
              <w:spacing w:after="0" w:line="240" w:lineRule="auto"/>
              <w:jc w:val="center"/>
            </w:pPr>
            <w:r/>
            <w:r>
              <w:rPr>
                <w:rFonts w:ascii="Times New Roman" w:hAnsi="Times New Roman"/>
                <w:b w:val="0"/>
                <w:i w:val="0"/>
                <w:sz w:val="24"/>
              </w:rPr>
              <w:t>Measles</w:t>
            </w:r>
          </w:p>
        </w:tc>
        <w:tc>
          <w:tcPr>
            <w:tcW w:type="dxa" w:w="2340"/>
          </w:tcPr>
          <w:p>
            <w:pPr>
              <w:spacing w:after="0" w:line="240" w:lineRule="auto"/>
              <w:jc w:val="center"/>
            </w:pPr>
            <w:r/>
            <w:r>
              <w:rPr>
                <w:rFonts w:ascii="Times New Roman" w:hAnsi="Times New Roman"/>
                <w:b w:val="0"/>
                <w:i w:val="0"/>
                <w:sz w:val="24"/>
              </w:rPr>
              <w:t>Category I per-case; tigdas Trends; clusters</w:t>
            </w:r>
          </w:p>
        </w:tc>
        <w:tc>
          <w:tcPr>
            <w:tcW w:type="dxa" w:w="2340"/>
          </w:tcPr>
          <w:p>
            <w:pPr>
              <w:spacing w:after="0" w:line="240" w:lineRule="auto"/>
              <w:jc w:val="center"/>
            </w:pPr>
            <w:r/>
            <w:r>
              <w:rPr>
                <w:rFonts w:ascii="Times New Roman" w:hAnsi="Times New Roman"/>
                <w:b w:val="0"/>
                <w:i w:val="0"/>
                <w:sz w:val="24"/>
              </w:rPr>
              <w:t>EARS plus ARGO</w:t>
            </w:r>
          </w:p>
        </w:tc>
        <w:tc>
          <w:tcPr>
            <w:tcW w:type="dxa" w:w="2340"/>
          </w:tcPr>
          <w:p>
            <w:pPr>
              <w:spacing w:after="0" w:line="240" w:lineRule="auto"/>
              <w:jc w:val="center"/>
            </w:pPr>
            <w:r/>
            <w:r>
              <w:rPr>
                <w:rFonts w:ascii="Times New Roman" w:hAnsi="Times New Roman"/>
                <w:b w:val="0"/>
                <w:i w:val="0"/>
                <w:sz w:val="24"/>
              </w:rPr>
              <w:t>Low alert threshold; absenteeism later</w:t>
            </w:r>
          </w:p>
        </w:tc>
      </w:tr>
      <w:tr>
        <w:tc>
          <w:tcPr>
            <w:tcW w:type="dxa" w:w="2340"/>
          </w:tcPr>
          <w:p>
            <w:pPr>
              <w:spacing w:after="0" w:line="240" w:lineRule="auto"/>
              <w:jc w:val="center"/>
            </w:pPr>
            <w:r/>
            <w:r>
              <w:rPr>
                <w:rFonts w:ascii="Times New Roman" w:hAnsi="Times New Roman"/>
                <w:b w:val="0"/>
                <w:i w:val="0"/>
                <w:sz w:val="24"/>
              </w:rPr>
              <w:t>COVID-19</w:t>
            </w:r>
          </w:p>
        </w:tc>
        <w:tc>
          <w:tcPr>
            <w:tcW w:type="dxa" w:w="2340"/>
          </w:tcPr>
          <w:p>
            <w:pPr>
              <w:spacing w:after="0" w:line="240" w:lineRule="auto"/>
              <w:jc w:val="center"/>
            </w:pPr>
            <w:r/>
            <w:r>
              <w:rPr>
                <w:rFonts w:ascii="Times New Roman" w:hAnsi="Times New Roman"/>
                <w:b w:val="0"/>
                <w:i w:val="0"/>
                <w:sz w:val="24"/>
              </w:rPr>
              <w:t>Bulletin; smell/sore-throat Trends; AQI</w:t>
            </w:r>
          </w:p>
        </w:tc>
        <w:tc>
          <w:tcPr>
            <w:tcW w:type="dxa" w:w="2340"/>
          </w:tcPr>
          <w:p>
            <w:pPr>
              <w:spacing w:after="0" w:line="240" w:lineRule="auto"/>
              <w:jc w:val="center"/>
            </w:pPr>
            <w:r/>
            <w:r>
              <w:rPr>
                <w:rFonts w:ascii="Times New Roman" w:hAnsi="Times New Roman"/>
                <w:b w:val="0"/>
                <w:i w:val="0"/>
                <w:sz w:val="24"/>
              </w:rPr>
              <w:t>ARIMAX/Prophet/XGBoost</w:t>
            </w:r>
          </w:p>
        </w:tc>
        <w:tc>
          <w:tcPr>
            <w:tcW w:type="dxa" w:w="2340"/>
          </w:tcPr>
          <w:p>
            <w:pPr>
              <w:spacing w:after="0" w:line="240" w:lineRule="auto"/>
              <w:jc w:val="center"/>
            </w:pPr>
            <w:r/>
            <w:r>
              <w:rPr>
                <w:rFonts w:ascii="Times New Roman" w:hAnsi="Times New Roman"/>
                <w:b w:val="0"/>
                <w:i w:val="0"/>
                <w:sz w:val="24"/>
              </w:rPr>
              <w:t>6-10 day search lead; ICU head</w:t>
            </w:r>
          </w:p>
        </w:tc>
      </w:tr>
      <w:tr>
        <w:tc>
          <w:tcPr>
            <w:tcW w:type="dxa" w:w="2340"/>
          </w:tcPr>
          <w:p>
            <w:pPr>
              <w:spacing w:after="0" w:line="240" w:lineRule="auto"/>
              <w:jc w:val="center"/>
            </w:pPr>
            <w:r/>
            <w:r>
              <w:rPr>
                <w:rFonts w:ascii="Times New Roman" w:hAnsi="Times New Roman"/>
                <w:b w:val="0"/>
                <w:i w:val="0"/>
                <w:sz w:val="24"/>
              </w:rPr>
              <w:t>Pertussis</w:t>
            </w:r>
          </w:p>
        </w:tc>
        <w:tc>
          <w:tcPr>
            <w:tcW w:type="dxa" w:w="2340"/>
          </w:tcPr>
          <w:p>
            <w:pPr>
              <w:spacing w:after="0" w:line="240" w:lineRule="auto"/>
              <w:jc w:val="center"/>
            </w:pPr>
            <w:r/>
            <w:r>
              <w:rPr>
                <w:rFonts w:ascii="Times New Roman" w:hAnsi="Times New Roman"/>
                <w:b w:val="0"/>
                <w:i w:val="0"/>
                <w:sz w:val="24"/>
              </w:rPr>
              <w:t>Child cough Trends; social clusters</w:t>
            </w:r>
          </w:p>
        </w:tc>
        <w:tc>
          <w:tcPr>
            <w:tcW w:type="dxa" w:w="2340"/>
          </w:tcPr>
          <w:p>
            <w:pPr>
              <w:spacing w:after="0" w:line="240" w:lineRule="auto"/>
              <w:jc w:val="center"/>
            </w:pPr>
            <w:r/>
            <w:r>
              <w:rPr>
                <w:rFonts w:ascii="Times New Roman" w:hAnsi="Times New Roman"/>
                <w:b w:val="0"/>
                <w:i w:val="0"/>
                <w:sz w:val="24"/>
              </w:rPr>
              <w:t>EARS plus ARGO</w:t>
            </w:r>
          </w:p>
        </w:tc>
        <w:tc>
          <w:tcPr>
            <w:tcW w:type="dxa" w:w="2340"/>
          </w:tcPr>
          <w:p>
            <w:pPr>
              <w:spacing w:after="0" w:line="240" w:lineRule="auto"/>
              <w:jc w:val="center"/>
            </w:pPr>
            <w:r/>
            <w:r>
              <w:rPr>
                <w:rFonts w:ascii="Times New Roman" w:hAnsi="Times New Roman"/>
                <w:b w:val="0"/>
                <w:i w:val="0"/>
                <w:sz w:val="24"/>
              </w:rPr>
              <w:t>Child-stratified thresholds</w:t>
            </w:r>
          </w:p>
        </w:tc>
      </w:tr>
      <w:tr>
        <w:tc>
          <w:tcPr>
            <w:tcW w:type="dxa" w:w="2340"/>
          </w:tcPr>
          <w:p>
            <w:pPr>
              <w:spacing w:after="0" w:line="240" w:lineRule="auto"/>
              <w:jc w:val="center"/>
            </w:pPr>
            <w:r/>
            <w:r>
              <w:rPr>
                <w:rFonts w:ascii="Times New Roman" w:hAnsi="Times New Roman"/>
                <w:b w:val="0"/>
                <w:i w:val="0"/>
                <w:sz w:val="24"/>
              </w:rPr>
              <w:t>Tuberculosis</w:t>
            </w:r>
          </w:p>
        </w:tc>
        <w:tc>
          <w:tcPr>
            <w:tcW w:type="dxa" w:w="2340"/>
          </w:tcPr>
          <w:p>
            <w:pPr>
              <w:spacing w:after="0" w:line="240" w:lineRule="auto"/>
              <w:jc w:val="center"/>
            </w:pPr>
            <w:r/>
            <w:r>
              <w:rPr>
                <w:rFonts w:ascii="Times New Roman" w:hAnsi="Times New Roman"/>
                <w:b w:val="0"/>
                <w:i w:val="0"/>
                <w:sz w:val="24"/>
              </w:rPr>
              <w:t>ITIS quarterly; Trends; AQI</w:t>
            </w:r>
          </w:p>
        </w:tc>
        <w:tc>
          <w:tcPr>
            <w:tcW w:type="dxa" w:w="2340"/>
          </w:tcPr>
          <w:p>
            <w:pPr>
              <w:spacing w:after="0" w:line="240" w:lineRule="auto"/>
              <w:jc w:val="center"/>
            </w:pPr>
            <w:r/>
            <w:r>
              <w:rPr>
                <w:rFonts w:ascii="Times New Roman" w:hAnsi="Times New Roman"/>
                <w:b w:val="0"/>
                <w:i w:val="0"/>
                <w:sz w:val="24"/>
              </w:rPr>
              <w:t>Quarterly trend model</w:t>
            </w:r>
          </w:p>
        </w:tc>
        <w:tc>
          <w:tcPr>
            <w:tcW w:type="dxa" w:w="2340"/>
          </w:tcPr>
          <w:p>
            <w:pPr>
              <w:spacing w:after="0" w:line="240" w:lineRule="auto"/>
              <w:jc w:val="center"/>
            </w:pPr>
            <w:r/>
            <w:r>
              <w:rPr>
                <w:rFonts w:ascii="Times New Roman" w:hAnsi="Times New Roman"/>
                <w:b w:val="0"/>
                <w:i w:val="0"/>
                <w:sz w:val="24"/>
              </w:rPr>
              <w:t>Annual report anchors</w:t>
            </w:r>
          </w:p>
        </w:tc>
      </w:tr>
      <w:tr>
        <w:tc>
          <w:tcPr>
            <w:tcW w:type="dxa" w:w="2340"/>
          </w:tcPr>
          <w:p>
            <w:pPr>
              <w:spacing w:after="0" w:line="240" w:lineRule="auto"/>
              <w:jc w:val="center"/>
            </w:pPr>
            <w:r/>
            <w:r>
              <w:rPr>
                <w:rFonts w:ascii="Times New Roman" w:hAnsi="Times New Roman"/>
                <w:b w:val="0"/>
                <w:i w:val="0"/>
                <w:sz w:val="24"/>
              </w:rPr>
              <w:t>Heat illness</w:t>
            </w:r>
          </w:p>
        </w:tc>
        <w:tc>
          <w:tcPr>
            <w:tcW w:type="dxa" w:w="2340"/>
          </w:tcPr>
          <w:p>
            <w:pPr>
              <w:spacing w:after="0" w:line="240" w:lineRule="auto"/>
              <w:jc w:val="center"/>
            </w:pPr>
            <w:r/>
            <w:r>
              <w:rPr>
                <w:rFonts w:ascii="Times New Roman" w:hAnsi="Times New Roman"/>
                <w:b w:val="0"/>
                <w:i w:val="0"/>
                <w:sz w:val="24"/>
              </w:rPr>
              <w:t>iHeatMap hourly; 2-day forecast</w:t>
            </w:r>
          </w:p>
        </w:tc>
        <w:tc>
          <w:tcPr>
            <w:tcW w:type="dxa" w:w="2340"/>
          </w:tcPr>
          <w:p>
            <w:pPr>
              <w:spacing w:after="0" w:line="240" w:lineRule="auto"/>
              <w:jc w:val="center"/>
            </w:pPr>
            <w:r/>
            <w:r>
              <w:rPr>
                <w:rFonts w:ascii="Times New Roman" w:hAnsi="Times New Roman"/>
                <w:b w:val="0"/>
                <w:i w:val="0"/>
                <w:sz w:val="24"/>
              </w:rPr>
              <w:t>Direct HI threshold</w:t>
            </w:r>
          </w:p>
        </w:tc>
        <w:tc>
          <w:tcPr>
            <w:tcW w:type="dxa" w:w="2340"/>
          </w:tcPr>
          <w:p>
            <w:pPr>
              <w:spacing w:after="0" w:line="240" w:lineRule="auto"/>
              <w:jc w:val="center"/>
            </w:pPr>
            <w:r/>
            <w:r>
              <w:rPr>
                <w:rFonts w:ascii="Times New Roman" w:hAnsi="Times New Roman"/>
                <w:b w:val="0"/>
                <w:i w:val="0"/>
                <w:sz w:val="24"/>
              </w:rPr>
              <w:t>Color-coded playbook, no lag</w:t>
            </w:r>
          </w:p>
        </w:tc>
      </w:tr>
      <w:tr>
        <w:tc>
          <w:tcPr>
            <w:tcW w:type="dxa" w:w="2340"/>
          </w:tcPr>
          <w:p>
            <w:pPr>
              <w:spacing w:after="0" w:line="240" w:lineRule="auto"/>
              <w:jc w:val="center"/>
            </w:pPr>
            <w:r/>
            <w:r>
              <w:rPr>
                <w:rFonts w:ascii="Times New Roman" w:hAnsi="Times New Roman"/>
                <w:b w:val="0"/>
                <w:i w:val="0"/>
                <w:sz w:val="24"/>
              </w:rPr>
              <w:t>Asthma</w:t>
            </w:r>
          </w:p>
        </w:tc>
        <w:tc>
          <w:tcPr>
            <w:tcW w:type="dxa" w:w="2340"/>
          </w:tcPr>
          <w:p>
            <w:pPr>
              <w:spacing w:after="0" w:line="240" w:lineRule="auto"/>
              <w:jc w:val="center"/>
            </w:pPr>
            <w:r/>
            <w:r>
              <w:rPr>
                <w:rFonts w:ascii="Times New Roman" w:hAnsi="Times New Roman"/>
                <w:b w:val="0"/>
                <w:i w:val="0"/>
                <w:sz w:val="24"/>
              </w:rPr>
              <w:t>AQI PM2.5/SO2; T/RH; Trends</w:t>
            </w:r>
          </w:p>
        </w:tc>
        <w:tc>
          <w:tcPr>
            <w:tcW w:type="dxa" w:w="2340"/>
          </w:tcPr>
          <w:p>
            <w:pPr>
              <w:spacing w:after="0" w:line="240" w:lineRule="auto"/>
              <w:jc w:val="center"/>
            </w:pPr>
            <w:r/>
            <w:r>
              <w:rPr>
                <w:rFonts w:ascii="Times New Roman" w:hAnsi="Times New Roman"/>
                <w:b w:val="0"/>
                <w:i w:val="0"/>
                <w:sz w:val="24"/>
              </w:rPr>
              <w:t>Poisson RR 1.42 rule</w:t>
            </w:r>
          </w:p>
        </w:tc>
        <w:tc>
          <w:tcPr>
            <w:tcW w:type="dxa" w:w="2340"/>
          </w:tcPr>
          <w:p>
            <w:pPr>
              <w:spacing w:after="0" w:line="240" w:lineRule="auto"/>
              <w:jc w:val="center"/>
            </w:pPr>
            <w:r/>
            <w:r>
              <w:rPr>
                <w:rFonts w:ascii="Times New Roman" w:hAnsi="Times New Roman"/>
                <w:b w:val="0"/>
                <w:i w:val="0"/>
                <w:sz w:val="24"/>
              </w:rPr>
              <w:t>Same-day alert; child strata</w:t>
            </w:r>
          </w:p>
        </w:tc>
      </w:tr>
      <w:tr>
        <w:tc>
          <w:tcPr>
            <w:tcW w:type="dxa" w:w="2340"/>
          </w:tcPr>
          <w:p>
            <w:pPr>
              <w:spacing w:after="0" w:line="240" w:lineRule="auto"/>
              <w:jc w:val="center"/>
            </w:pPr>
            <w:r/>
            <w:r>
              <w:rPr>
                <w:rFonts w:ascii="Times New Roman" w:hAnsi="Times New Roman"/>
                <w:b w:val="0"/>
                <w:i w:val="0"/>
                <w:sz w:val="24"/>
              </w:rPr>
              <w:t>Conjunctivitis</w:t>
            </w:r>
          </w:p>
        </w:tc>
        <w:tc>
          <w:tcPr>
            <w:tcW w:type="dxa" w:w="2340"/>
          </w:tcPr>
          <w:p>
            <w:pPr>
              <w:spacing w:after="0" w:line="240" w:lineRule="auto"/>
              <w:jc w:val="center"/>
            </w:pPr>
            <w:r/>
            <w:r>
              <w:rPr>
                <w:rFonts w:ascii="Times New Roman" w:hAnsi="Times New Roman"/>
                <w:b w:val="0"/>
                <w:i w:val="0"/>
                <w:sz w:val="24"/>
              </w:rPr>
              <w:t>ESU; humidity/T; post-flood</w:t>
            </w:r>
          </w:p>
        </w:tc>
        <w:tc>
          <w:tcPr>
            <w:tcW w:type="dxa" w:w="2340"/>
          </w:tcPr>
          <w:p>
            <w:pPr>
              <w:spacing w:after="0" w:line="240" w:lineRule="auto"/>
              <w:jc w:val="center"/>
            </w:pPr>
            <w:r/>
            <w:r>
              <w:rPr>
                <w:rFonts w:ascii="Times New Roman" w:hAnsi="Times New Roman"/>
                <w:b w:val="0"/>
                <w:i w:val="0"/>
                <w:sz w:val="24"/>
              </w:rPr>
              <w:t>EARS plus humidity DLNM</w:t>
            </w:r>
          </w:p>
        </w:tc>
        <w:tc>
          <w:tcPr>
            <w:tcW w:type="dxa" w:w="2340"/>
          </w:tcPr>
          <w:p>
            <w:pPr>
              <w:spacing w:after="0" w:line="240" w:lineRule="auto"/>
              <w:jc w:val="center"/>
            </w:pPr>
            <w:r/>
            <w:r>
              <w:rPr>
                <w:rFonts w:ascii="Times New Roman" w:hAnsi="Times New Roman"/>
                <w:b w:val="0"/>
                <w:i w:val="0"/>
                <w:sz w:val="24"/>
              </w:rPr>
              <w:t>Regional ground truth</w:t>
            </w:r>
          </w:p>
        </w:tc>
      </w:tr>
    </w:tbl>
    <w:p>
      <w:pPr>
        <w:spacing w:after="120" w:line="480" w:lineRule="auto"/>
      </w:pPr>
      <w:r>
        <w:rPr>
          <w:rFonts w:ascii="Times New Roman" w:hAnsi="Times New Roman"/>
          <w:b w:val="0"/>
          <w:i w:val="0"/>
          <w:sz w:val="24"/>
        </w:rPr>
      </w:r>
    </w:p>
    <w:p>
      <w:pPr>
        <w:spacing w:after="120" w:line="480" w:lineRule="auto"/>
        <w:jc w:val="left"/>
      </w:pPr>
      <w:r>
        <w:rPr>
          <w:rFonts w:ascii="Times New Roman" w:hAnsi="Times New Roman"/>
          <w:b/>
          <w:i w:val="0"/>
          <w:sz w:val="24"/>
        </w:rPr>
        <w:t>Validation and Deployment</w:t>
      </w:r>
    </w:p>
    <w:p>
      <w:pPr>
        <w:spacing w:after="0" w:line="480" w:lineRule="auto"/>
        <w:ind w:firstLine="720"/>
        <w:jc w:val="both"/>
      </w:pPr>
      <w:r>
        <w:rPr>
          <w:rFonts w:ascii="Times New Roman" w:hAnsi="Times New Roman"/>
          <w:b w:val="0"/>
          <w:i w:val="0"/>
          <w:sz w:val="24"/>
        </w:rPr>
        <w:t>Under the Test phase, the researchers conduct rolling-origin validation comparing every forecaster against naive and EDCS-IS-delay baselines on RMSE, MAE, AUC-ROC, sensitivity, specificity, and peak-timing error, with SHAP and LIME attributions attached to each alert in plain language. Under the Deploy phase, quantized models and the SQLite BM25 RAG index ship inside containerized 8 GB edge appliances per RHU with automatic cloud sync on reconnection. Under the Monitor phase, forecasts are continuously rechecked against incoming PIDSR, ITIS, COVID, ESU, iHeatMap, and AQI observations, with vocabularies and thresholds recalibrated as search behavior and climate baselines drift.</w:t>
      </w:r>
    </w:p>
    <w:p>
      <w:pPr>
        <w:spacing w:after="0" w:line="480" w:lineRule="auto"/>
        <w:ind w:firstLine="720"/>
        <w:jc w:val="both"/>
      </w:pPr>
      <w:r>
        <w:rPr>
          <w:rFonts w:ascii="Times New Roman" w:hAnsi="Times New Roman"/>
          <w:b w:val="0"/>
          <w:i w:val="0"/>
          <w:sz w:val="24"/>
        </w:rPr>
        <w:t>The commercial path sustains this operation through the statutory 5% Local Disaster Risk Reduction and Management Fund: municipal tiers at ₱150,000 to ₱180,000 per year, city tiers at ₱450,000 to ₱600,000 per year, and provincial tiers at ₱1,200,000 to ₱1,500,000 per year, seeded by an ₱850,000 grant disbursed against pipeline, deployment, and field-validation milestones across a twelve-month, four-phase roadmap.</w:t>
      </w:r>
    </w:p>
    <w:p>
      <w:pPr>
        <w:spacing w:after="120" w:line="480" w:lineRule="auto"/>
        <w:jc w:val="left"/>
      </w:pPr>
      <w:r>
        <w:rPr>
          <w:rFonts w:ascii="Times New Roman" w:hAnsi="Times New Roman"/>
          <w:b/>
          <w:i w:val="0"/>
          <w:sz w:val="24"/>
        </w:rPr>
        <w:t>How the System Should Work</w:t>
      </w:r>
    </w:p>
    <w:p>
      <w:pPr>
        <w:spacing w:after="0" w:line="480" w:lineRule="auto"/>
        <w:ind w:firstLine="720"/>
        <w:jc w:val="both"/>
      </w:pPr>
      <w:r>
        <w:rPr>
          <w:rFonts w:ascii="Times New Roman" w:hAnsi="Times New Roman"/>
          <w:b w:val="0"/>
          <w:i w:val="0"/>
          <w:sz w:val="24"/>
        </w:rPr>
        <w:t>This chapter specifies the working construction of Health Alert: a React Vite frontend built exactly on the CellWeGo Admin architecture logic (D:\SILLAG-Project-1\system\ARCHITECTURE_LOGIC.md), a C# ASP.NET Core backend on the latest long-term stack following the architecture used in D:\cellwego\Backend (verified at .NET 10, net10.0), and n8n workflow automation served at http://localhost:5678/ through its public API. Nothing is omitted: project layout, request flows, data contracts, realtime channels, offline behavior, automation workflows, security, testing, edge packaging, and deployment are each defined so that frontend, backend, and automation developers can build in parallel without guessing.</w:t>
      </w:r>
    </w:p>
    <w:p>
      <w:pPr>
        <w:spacing w:after="0" w:line="480" w:lineRule="auto"/>
        <w:ind w:firstLine="720"/>
        <w:jc w:val="both"/>
      </w:pPr>
      <w:r>
        <w:rPr>
          <w:rFonts w:ascii="Times New Roman" w:hAnsi="Times New Roman"/>
          <w:b w:val="0"/>
          <w:i w:val="0"/>
          <w:sz w:val="24"/>
        </w:rPr>
        <w:t>N8N Instance Status. At the time of writing, http://localhost:5678/ was unreachable (connection refused), so no live workflow inventory could be pulled. The automation design below is therefore specified against the n8n public API contract using the provided API key, and the first operational step before wiring is to start the instance (n8n start or the project Docker service) and confirm GET /api/v1/workflows returns 200. All workflow definitions below are import-ready and assume an empty instance.</w:t>
      </w:r>
    </w:p>
    <w:p>
      <w:pPr>
        <w:spacing w:after="80" w:line="480" w:lineRule="auto"/>
        <w:jc w:val="left"/>
      </w:pPr>
      <w:r>
        <w:rPr>
          <w:rFonts w:ascii="Times New Roman" w:hAnsi="Times New Roman"/>
          <w:b/>
          <w:i w:val="0"/>
          <w:sz w:val="24"/>
        </w:rPr>
        <w:t>Architecture at a Glance</w:t>
      </w:r>
    </w:p>
    <w:p>
      <w:pPr>
        <w:spacing w:after="0" w:line="480" w:lineRule="auto"/>
        <w:ind w:firstLine="720"/>
        <w:jc w:val="both"/>
      </w:pPr>
      <w:r>
        <w:rPr>
          <w:rFonts w:ascii="Times New Roman" w:hAnsi="Times New Roman"/>
          <w:b w:val="0"/>
          <w:i w:val="0"/>
          <w:sz w:val="24"/>
        </w:rPr>
        <w:t>Health Alert runs as three cooperating tiers plus edge packaging. The React Vite single-page application serves the executive dashboard, health-worker console, and citizen assistant from one codebase and one route table. The ASP.NET Core 10 Web API owns authentication, the MySQL system of record, the forecasting service boundary, the RAG retrieval boundary, SignalR realtime fan-out, and file handling for surveillance bulletins. n8n owns scheduled ingestion of the ten feeds, normalization and delivery into backend ingestion endpoints, forecast scheduling, and alert fan-out side effects (SMS, email, messaging). Each RHU edge appliance hosts the published API (single-file), the Vite static build, and a SQLite replica with the quantized RAG index, syncing deltas with central whenever connectivity returns.</w:t>
      </w:r>
    </w:p>
    <w:p>
      <w:pPr>
        <w:spacing w:after="0" w:line="480" w:lineRule="auto"/>
        <w:jc w:val="center"/>
      </w:pPr>
      <w:r>
        <w:rPr>
          <w:rFonts w:ascii="Times New Roman" w:hAnsi="Times New Roman"/>
          <w:b w:val="0"/>
          <w:i w:val="0"/>
          <w:sz w:val="24"/>
        </w:rPr>
        <w:t>Browser (Vite) ⇔ API (ASP.NET Core 10 + SignalR) ⇔ MySQL  |  n8n → API ingestion endpoints  |  Edge: API + Vite dist + SQLite ⇔ Central on reconnect</w:t>
      </w:r>
    </w:p>
    <w:p>
      <w:pPr>
        <w:spacing w:after="0" w:line="480" w:lineRule="auto"/>
        <w:ind w:firstLine="720"/>
        <w:jc w:val="both"/>
      </w:pPr>
      <w:r>
        <w:rPr>
          <w:rFonts w:ascii="Times New Roman" w:hAnsi="Times New Roman"/>
          <w:b w:val="0"/>
          <w:i w:val="0"/>
          <w:sz w:val="24"/>
        </w:rPr>
        <w:t>Where:</w:t>
      </w:r>
    </w:p>
    <w:p>
      <w:pPr>
        <w:spacing w:after="0" w:line="480" w:lineRule="auto"/>
        <w:ind w:firstLine="720"/>
        <w:jc w:val="both"/>
      </w:pPr>
      <w:r>
        <w:rPr>
          <w:rFonts w:ascii="Times New Roman" w:hAnsi="Times New Roman"/>
          <w:b w:val="0"/>
          <w:i w:val="0"/>
          <w:sz w:val="24"/>
        </w:rPr>
        <w:t>All browser data access passes through the frontend services layer; all automation writes pass through authenticated backend ingestion endpoints, never directly to the database.</w:t>
      </w:r>
    </w:p>
    <w:p>
      <w:pPr>
        <w:spacing w:after="0" w:line="480" w:lineRule="auto"/>
        <w:ind w:firstLine="720"/>
        <w:jc w:val="both"/>
      </w:pPr>
      <w:r>
        <w:rPr>
          <w:rFonts w:ascii="Times New Roman" w:hAnsi="Times New Roman"/>
          <w:b w:val="0"/>
          <w:i w:val="0"/>
          <w:sz w:val="24"/>
        </w:rPr>
        <w:t>Realtime flows over SignalR hubs with Redis backplane; offline reads and queued writes live in the frontend core client and the edge SQLite replica.</w:t>
      </w:r>
    </w:p>
    <w:p>
      <w:pPr>
        <w:spacing w:after="80" w:line="480" w:lineRule="auto"/>
        <w:jc w:val="left"/>
      </w:pPr>
      <w:r>
        <w:rPr>
          <w:rFonts w:ascii="Times New Roman" w:hAnsi="Times New Roman"/>
          <w:b/>
          <w:i w:val="0"/>
          <w:sz w:val="24"/>
        </w:rPr>
        <w:t>Frontend in React Vite</w:t>
      </w:r>
    </w:p>
    <w:p>
      <w:pPr>
        <w:spacing w:after="0" w:line="480" w:lineRule="auto"/>
        <w:ind w:firstLine="720"/>
        <w:jc w:val="both"/>
      </w:pPr>
      <w:r>
        <w:rPr>
          <w:rFonts w:ascii="Times New Roman" w:hAnsi="Times New Roman"/>
          <w:b w:val="0"/>
          <w:i w:val="0"/>
          <w:sz w:val="24"/>
        </w:rPr>
        <w:t>Frontend Stack. The frontend adopts the CellWeGo Admin stack verbatim: React 19, Vite 7, TypeScript, react-router version 7 with createBrowserRouter, axios through a single httpClient, SignalR client, shadcn with Radix primitives, Tailwind, and lucide-react icons. A single path alias maps @ to src, and every import is absolute (@/features/..., @/services/...), never relative. Progressive-web-app registration is enabled so the shell, cached risk maps, and queued writes survive blackouts, which directly implements the offline-first requirement.</w:t>
      </w:r>
    </w:p>
    <w:p>
      <w:pPr>
        <w:spacing w:after="0" w:line="480" w:lineRule="auto"/>
        <w:ind w:firstLine="720"/>
        <w:jc w:val="both"/>
      </w:pPr>
      <w:r>
        <w:rPr>
          <w:rFonts w:ascii="Times New Roman" w:hAnsi="Times New Roman"/>
          <w:b w:val="0"/>
          <w:i w:val="0"/>
          <w:sz w:val="24"/>
        </w:rPr>
        <w:t>Dependency Direction. Feature slices are view-only and depend one way on shared layers: features import from components, hooks, services, utils, constants, and contexts, while shared code never imports from features. Services own the only HTTP code, organized per backend domain with api and types folders. Canonical data-transfer objects live in services per-domain types, and the top-level types folder stays empty. Barrels exist only as services per-domain api and types index files; components, hooks, utils, and constants are always deep-imported.</w:t>
      </w:r>
    </w:p>
    <w:p>
      <w:pPr>
        <w:spacing w:after="0" w:line="480" w:lineRule="auto"/>
        <w:ind w:firstLine="720"/>
        <w:jc w:val="both"/>
      </w:pPr>
      <w:r>
        <w:rPr>
          <w:rFonts w:ascii="Times New Roman" w:hAnsi="Times New Roman"/>
          <w:b w:val="0"/>
          <w:i w:val="0"/>
          <w:sz w:val="24"/>
        </w:rPr>
        <w:t>Health Alert feature slices replace the enterprise-resource domains one for one: surveillance (ingestion status and feed health), forecasting (sixteen-disease outlooks with SHAP and LIME drivers), risk-maps (GIS hotspots), rag (guideline answers with page citations), playbooks (intervention plans and stock actions), alerts (threshold notifications), citizen (Taglish chatbot and local risk notices), resources (staff, vaccines, and supply allocation), reports (automated surveillance exports), users (roles and permissions), auth, dashboard, messaging, and system. Each slice follows the slice template of pages owning fetch and state, presentational components receiving response types as props with role-suffixed names, and co-located pure view-model transforms, with no data-layer files inside features.</w:t>
      </w:r>
    </w:p>
    <w:p>
      <w:pPr>
        <w:spacing w:after="0" w:line="480" w:lineRule="auto"/>
        <w:ind w:firstLine="720"/>
        <w:jc w:val="both"/>
      </w:pPr>
      <w:r>
        <w:rPr>
          <w:rFonts w:ascii="Times New Roman" w:hAnsi="Times New Roman"/>
          <w:b w:val="0"/>
          <w:i w:val="0"/>
          <w:sz w:val="24"/>
        </w:rPr>
        <w:t>Shell, Routing, and Guarding. Boot registers the service worker first; App wires Theme, Auth, SignalR, MessagingSignalR, Language, error boundary, Suspense, router, and Toaster providers outer to inner. The single router nests public login and unauthorized routes above a ProtectedRoute that requires authentication, then the single Layout shell, with every child wrapped in a PermissionRoute carrying a health-domain permission string such as surveillance:forecast:view, rag:answer:view, playbook:execute, or admin:users:manage. The permission hook decodes base64 role and permission grants from secure storage with super-role bypass, mirroring the backend RequirePermission model below. The menu tree, realtime topics per disease and municipality, Taglish dictionaries, and chatbot prompts live in constants and mirror backend contracts.</w:t>
      </w:r>
    </w:p>
    <w:p>
      <w:pPr>
        <w:spacing w:after="0" w:line="480" w:lineRule="auto"/>
        <w:ind w:firstLine="720"/>
        <w:jc w:val="both"/>
      </w:pPr>
      <w:r>
        <w:rPr>
          <w:rFonts w:ascii="Times New Roman" w:hAnsi="Times New Roman"/>
          <w:b w:val="0"/>
          <w:i w:val="0"/>
          <w:sz w:val="24"/>
        </w:rPr>
        <w:t>Data and Offline Behavior. The core client injects the JSON Web Token on every call, appends session parameters, builds paginated parameters through one helper, and mirrors the backend ApiResponse envelope with success, code, message, and data plus paginated results. A 401 or token-expiry response triggers the hard logout preserving only chat drafts and remember-me state. GET responses cache into offline storage, failed writes enqueue into a request queue, and the queue drains on reconnect, focus, or interval, which gives the browser half of the offline-first guarantee (the edge appliance gives the other half). Realtime badge counts and alert banners subscribe through a useRealtime hook over the SignalR contexts on topics such as forecast.dengue.municipality-123.</w:t>
      </w:r>
    </w:p>
    <w:p>
      <w:pPr>
        <w:spacing w:after="80" w:line="480" w:lineRule="auto"/>
        <w:jc w:val="left"/>
      </w:pPr>
      <w:r>
        <w:rPr>
          <w:rFonts w:ascii="Times New Roman" w:hAnsi="Times New Roman"/>
          <w:b/>
          <w:i w:val="0"/>
          <w:sz w:val="24"/>
        </w:rPr>
        <w:t>Backend in C# ASP.NET</w:t>
      </w:r>
    </w:p>
    <w:p>
      <w:pPr>
        <w:spacing w:after="0" w:line="480" w:lineRule="auto"/>
        <w:ind w:firstLine="720"/>
        <w:jc w:val="both"/>
      </w:pPr>
      <w:r>
        <w:rPr>
          <w:rFonts w:ascii="Times New Roman" w:hAnsi="Times New Roman"/>
          <w:b w:val="0"/>
          <w:i w:val="0"/>
          <w:sz w:val="24"/>
        </w:rPr>
        <w:t>Backend Stack. The backend follows D:\cellwego\Backend on .NET 10 (net10.0, nullable and implicit usings enabled): an API Web project, a Common class library, a Database Entity Framework Core library over MySQL, a Tools service library, and a Tests project, with per-environment application settings, Swagger with OpenAPI, MessagePack, ImageSharp for bulletin images, and an Uploads tree for bulletins and profiles. Publishing uses the single-file self-contained Release profile so the same binary ships to central servers and to fanless edge appliances.</w:t>
      </w:r>
    </w:p>
    <w:p>
      <w:pPr>
        <w:spacing w:after="0" w:line="480" w:lineRule="auto"/>
        <w:ind w:firstLine="720"/>
        <w:jc w:val="both"/>
      </w:pPr>
      <w:r>
        <w:rPr>
          <w:rFonts w:ascii="Times New Roman" w:hAnsi="Times New Roman"/>
          <w:b w:val="0"/>
          <w:i w:val="0"/>
          <w:sz w:val="24"/>
        </w:rPr>
        <w:t>Layered Flow. Controllers stay thin: ApiController with Authorize and api per-controller routes, delegating to scoped Get and Edit tool services, which query the database context and map to response models. The Database library holds the context, Tbl-prefixed entities and Vw-prefixed views grouped by schema, query-parameter models, response models, and view models, with migrations run from the API startup project. Common holds stateless helpers (connection strings, encryption, hashing, date, heat-index, and AQI calculators) and shared constants. Table 4 maps each Health Alert domain to its controller and tool pair.</w:t>
      </w:r>
    </w:p>
    <w:p>
      <w:pPr>
        <w:spacing w:after="240" w:line="480" w:lineRule="auto"/>
        <w:jc w:val="center"/>
      </w:pPr>
      <w:r>
        <w:rPr>
          <w:rFonts w:ascii="Times New Roman" w:hAnsi="Times New Roman"/>
          <w:b w:val="0"/>
          <w:i w:val="0"/>
          <w:sz w:val="24"/>
        </w:rPr>
        <w:t>Table 4. Backend Controllers and Tool Services per Domain.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i w:val="0"/>
                <w:sz w:val="24"/>
              </w:rPr>
              <w:t>Domain</w:t>
            </w:r>
          </w:p>
        </w:tc>
        <w:tc>
          <w:tcPr>
            <w:tcW w:type="dxa" w:w="2340"/>
          </w:tcPr>
          <w:p>
            <w:pPr>
              <w:jc w:val="center"/>
            </w:pPr>
            <w:r/>
            <w:r>
              <w:rPr>
                <w:rFonts w:ascii="Times New Roman" w:hAnsi="Times New Roman"/>
                <w:b/>
                <w:i w:val="0"/>
                <w:sz w:val="24"/>
              </w:rPr>
              <w:t>Controller</w:t>
            </w:r>
          </w:p>
        </w:tc>
        <w:tc>
          <w:tcPr>
            <w:tcW w:type="dxa" w:w="2340"/>
          </w:tcPr>
          <w:p>
            <w:pPr>
              <w:jc w:val="center"/>
            </w:pPr>
            <w:r/>
            <w:r>
              <w:rPr>
                <w:rFonts w:ascii="Times New Roman" w:hAnsi="Times New Roman"/>
                <w:b/>
                <w:i w:val="0"/>
                <w:sz w:val="24"/>
              </w:rPr>
              <w:t>Tool Services</w:t>
            </w:r>
          </w:p>
        </w:tc>
        <w:tc>
          <w:tcPr>
            <w:tcW w:type="dxa" w:w="2340"/>
          </w:tcPr>
          <w:p>
            <w:pPr>
              <w:jc w:val="center"/>
            </w:pPr>
            <w:r/>
            <w:r>
              <w:rPr>
                <w:rFonts w:ascii="Times New Roman" w:hAnsi="Times New Roman"/>
                <w:b/>
                <w:i w:val="0"/>
                <w:sz w:val="24"/>
              </w:rPr>
              <w:t>Notes</w:t>
            </w:r>
          </w:p>
        </w:tc>
      </w:tr>
      <w:tr>
        <w:tc>
          <w:tcPr>
            <w:tcW w:type="dxa" w:w="2340"/>
          </w:tcPr>
          <w:p>
            <w:pPr>
              <w:spacing w:after="0" w:line="240" w:lineRule="auto"/>
              <w:jc w:val="center"/>
            </w:pPr>
            <w:r/>
            <w:r>
              <w:rPr>
                <w:rFonts w:ascii="Times New Roman" w:hAnsi="Times New Roman"/>
                <w:b w:val="0"/>
                <w:i w:val="0"/>
                <w:sz w:val="24"/>
              </w:rPr>
              <w:t>Surveillance</w:t>
            </w:r>
          </w:p>
        </w:tc>
        <w:tc>
          <w:tcPr>
            <w:tcW w:type="dxa" w:w="2340"/>
          </w:tcPr>
          <w:p>
            <w:pPr>
              <w:spacing w:after="0" w:line="240" w:lineRule="auto"/>
              <w:jc w:val="center"/>
            </w:pPr>
            <w:r/>
            <w:r>
              <w:rPr>
                <w:rFonts w:ascii="Times New Roman" w:hAnsi="Times New Roman"/>
                <w:b w:val="0"/>
                <w:i w:val="0"/>
                <w:sz w:val="24"/>
              </w:rPr>
              <w:t>SurveillanceController</w:t>
            </w:r>
          </w:p>
        </w:tc>
        <w:tc>
          <w:tcPr>
            <w:tcW w:type="dxa" w:w="2340"/>
          </w:tcPr>
          <w:p>
            <w:pPr>
              <w:spacing w:after="0" w:line="240" w:lineRule="auto"/>
              <w:jc w:val="center"/>
            </w:pPr>
            <w:r/>
            <w:r>
              <w:rPr>
                <w:rFonts w:ascii="Times New Roman" w:hAnsi="Times New Roman"/>
                <w:b w:val="0"/>
                <w:i w:val="0"/>
                <w:sz w:val="24"/>
              </w:rPr>
              <w:t>SurveillanceGetTools, SurveillanceEditTools</w:t>
            </w:r>
          </w:p>
        </w:tc>
        <w:tc>
          <w:tcPr>
            <w:tcW w:type="dxa" w:w="2340"/>
          </w:tcPr>
          <w:p>
            <w:pPr>
              <w:spacing w:after="0" w:line="240" w:lineRule="auto"/>
              <w:jc w:val="center"/>
            </w:pPr>
            <w:r/>
            <w:r>
              <w:rPr>
                <w:rFonts w:ascii="Times New Roman" w:hAnsi="Times New Roman"/>
                <w:b w:val="0"/>
                <w:i w:val="0"/>
                <w:sz w:val="24"/>
              </w:rPr>
              <w:t>Feed health, ingestion intake, PIDSR/ESU intake</w:t>
            </w:r>
          </w:p>
        </w:tc>
      </w:tr>
      <w:tr>
        <w:tc>
          <w:tcPr>
            <w:tcW w:type="dxa" w:w="2340"/>
          </w:tcPr>
          <w:p>
            <w:pPr>
              <w:spacing w:after="0" w:line="240" w:lineRule="auto"/>
              <w:jc w:val="center"/>
            </w:pPr>
            <w:r/>
            <w:r>
              <w:rPr>
                <w:rFonts w:ascii="Times New Roman" w:hAnsi="Times New Roman"/>
                <w:b w:val="0"/>
                <w:i w:val="0"/>
                <w:sz w:val="24"/>
              </w:rPr>
              <w:t>Forecast</w:t>
            </w:r>
          </w:p>
        </w:tc>
        <w:tc>
          <w:tcPr>
            <w:tcW w:type="dxa" w:w="2340"/>
          </w:tcPr>
          <w:p>
            <w:pPr>
              <w:spacing w:after="0" w:line="240" w:lineRule="auto"/>
              <w:jc w:val="center"/>
            </w:pPr>
            <w:r/>
            <w:r>
              <w:rPr>
                <w:rFonts w:ascii="Times New Roman" w:hAnsi="Times New Roman"/>
                <w:b w:val="0"/>
                <w:i w:val="0"/>
                <w:sz w:val="24"/>
              </w:rPr>
              <w:t>ForecastController</w:t>
            </w:r>
          </w:p>
        </w:tc>
        <w:tc>
          <w:tcPr>
            <w:tcW w:type="dxa" w:w="2340"/>
          </w:tcPr>
          <w:p>
            <w:pPr>
              <w:spacing w:after="0" w:line="240" w:lineRule="auto"/>
              <w:jc w:val="center"/>
            </w:pPr>
            <w:r/>
            <w:r>
              <w:rPr>
                <w:rFonts w:ascii="Times New Roman" w:hAnsi="Times New Roman"/>
                <w:b w:val="0"/>
                <w:i w:val="0"/>
                <w:sz w:val="24"/>
              </w:rPr>
              <w:t>ForecastGetTools, ForecastEditTools</w:t>
            </w:r>
          </w:p>
        </w:tc>
        <w:tc>
          <w:tcPr>
            <w:tcW w:type="dxa" w:w="2340"/>
          </w:tcPr>
          <w:p>
            <w:pPr>
              <w:spacing w:after="0" w:line="240" w:lineRule="auto"/>
              <w:jc w:val="center"/>
            </w:pPr>
            <w:r/>
            <w:r>
              <w:rPr>
                <w:rFonts w:ascii="Times New Roman" w:hAnsi="Times New Roman"/>
                <w:b w:val="0"/>
                <w:i w:val="0"/>
                <w:sz w:val="24"/>
              </w:rPr>
              <w:t>Runs, outlooks, drivers, thresholds</w:t>
            </w:r>
          </w:p>
        </w:tc>
      </w:tr>
      <w:tr>
        <w:tc>
          <w:tcPr>
            <w:tcW w:type="dxa" w:w="2340"/>
          </w:tcPr>
          <w:p>
            <w:pPr>
              <w:spacing w:after="0" w:line="240" w:lineRule="auto"/>
              <w:jc w:val="center"/>
            </w:pPr>
            <w:r/>
            <w:r>
              <w:rPr>
                <w:rFonts w:ascii="Times New Roman" w:hAnsi="Times New Roman"/>
                <w:b w:val="0"/>
                <w:i w:val="0"/>
                <w:sz w:val="24"/>
              </w:rPr>
              <w:t>RiskMaps</w:t>
            </w:r>
          </w:p>
        </w:tc>
        <w:tc>
          <w:tcPr>
            <w:tcW w:type="dxa" w:w="2340"/>
          </w:tcPr>
          <w:p>
            <w:pPr>
              <w:spacing w:after="0" w:line="240" w:lineRule="auto"/>
              <w:jc w:val="center"/>
            </w:pPr>
            <w:r/>
            <w:r>
              <w:rPr>
                <w:rFonts w:ascii="Times New Roman" w:hAnsi="Times New Roman"/>
                <w:b w:val="0"/>
                <w:i w:val="0"/>
                <w:sz w:val="24"/>
              </w:rPr>
              <w:t>RiskMapsController</w:t>
            </w:r>
          </w:p>
        </w:tc>
        <w:tc>
          <w:tcPr>
            <w:tcW w:type="dxa" w:w="2340"/>
          </w:tcPr>
          <w:p>
            <w:pPr>
              <w:spacing w:after="0" w:line="240" w:lineRule="auto"/>
              <w:jc w:val="center"/>
            </w:pPr>
            <w:r/>
            <w:r>
              <w:rPr>
                <w:rFonts w:ascii="Times New Roman" w:hAnsi="Times New Roman"/>
                <w:b w:val="0"/>
                <w:i w:val="0"/>
                <w:sz w:val="24"/>
              </w:rPr>
              <w:t>RiskMapsGetTools</w:t>
            </w:r>
          </w:p>
        </w:tc>
        <w:tc>
          <w:tcPr>
            <w:tcW w:type="dxa" w:w="2340"/>
          </w:tcPr>
          <w:p>
            <w:pPr>
              <w:spacing w:after="0" w:line="240" w:lineRule="auto"/>
              <w:jc w:val="center"/>
            </w:pPr>
            <w:r/>
            <w:r>
              <w:rPr>
                <w:rFonts w:ascii="Times New Roman" w:hAnsi="Times New Roman"/>
                <w:b w:val="0"/>
                <w:i w:val="0"/>
                <w:sz w:val="24"/>
              </w:rPr>
              <w:t>GIS hotspots, cross-LGU correlation</w:t>
            </w:r>
          </w:p>
        </w:tc>
      </w:tr>
      <w:tr>
        <w:tc>
          <w:tcPr>
            <w:tcW w:type="dxa" w:w="2340"/>
          </w:tcPr>
          <w:p>
            <w:pPr>
              <w:spacing w:after="0" w:line="240" w:lineRule="auto"/>
              <w:jc w:val="center"/>
            </w:pPr>
            <w:r/>
            <w:r>
              <w:rPr>
                <w:rFonts w:ascii="Times New Roman" w:hAnsi="Times New Roman"/>
                <w:b w:val="0"/>
                <w:i w:val="0"/>
                <w:sz w:val="24"/>
              </w:rPr>
              <w:t>Rag</w:t>
            </w:r>
          </w:p>
        </w:tc>
        <w:tc>
          <w:tcPr>
            <w:tcW w:type="dxa" w:w="2340"/>
          </w:tcPr>
          <w:p>
            <w:pPr>
              <w:spacing w:after="0" w:line="240" w:lineRule="auto"/>
              <w:jc w:val="center"/>
            </w:pPr>
            <w:r/>
            <w:r>
              <w:rPr>
                <w:rFonts w:ascii="Times New Roman" w:hAnsi="Times New Roman"/>
                <w:b w:val="0"/>
                <w:i w:val="0"/>
                <w:sz w:val="24"/>
              </w:rPr>
              <w:t>RagController</w:t>
            </w:r>
          </w:p>
        </w:tc>
        <w:tc>
          <w:tcPr>
            <w:tcW w:type="dxa" w:w="2340"/>
          </w:tcPr>
          <w:p>
            <w:pPr>
              <w:spacing w:after="0" w:line="240" w:lineRule="auto"/>
              <w:jc w:val="center"/>
            </w:pPr>
            <w:r/>
            <w:r>
              <w:rPr>
                <w:rFonts w:ascii="Times New Roman" w:hAnsi="Times New Roman"/>
                <w:b w:val="0"/>
                <w:i w:val="0"/>
                <w:sz w:val="24"/>
              </w:rPr>
              <w:t>RagGetTools, RagEditTools</w:t>
            </w:r>
          </w:p>
        </w:tc>
        <w:tc>
          <w:tcPr>
            <w:tcW w:type="dxa" w:w="2340"/>
          </w:tcPr>
          <w:p>
            <w:pPr>
              <w:spacing w:after="0" w:line="240" w:lineRule="auto"/>
              <w:jc w:val="center"/>
            </w:pPr>
            <w:r/>
            <w:r>
              <w:rPr>
                <w:rFonts w:ascii="Times New Roman" w:hAnsi="Times New Roman"/>
                <w:b w:val="0"/>
                <w:i w:val="0"/>
                <w:sz w:val="24"/>
              </w:rPr>
              <w:t>Cited answers, corpus reindex hooks</w:t>
            </w:r>
          </w:p>
        </w:tc>
      </w:tr>
      <w:tr>
        <w:tc>
          <w:tcPr>
            <w:tcW w:type="dxa" w:w="2340"/>
          </w:tcPr>
          <w:p>
            <w:pPr>
              <w:spacing w:after="0" w:line="240" w:lineRule="auto"/>
              <w:jc w:val="center"/>
            </w:pPr>
            <w:r/>
            <w:r>
              <w:rPr>
                <w:rFonts w:ascii="Times New Roman" w:hAnsi="Times New Roman"/>
                <w:b w:val="0"/>
                <w:i w:val="0"/>
                <w:sz w:val="24"/>
              </w:rPr>
              <w:t>Playbook</w:t>
            </w:r>
          </w:p>
        </w:tc>
        <w:tc>
          <w:tcPr>
            <w:tcW w:type="dxa" w:w="2340"/>
          </w:tcPr>
          <w:p>
            <w:pPr>
              <w:spacing w:after="0" w:line="240" w:lineRule="auto"/>
              <w:jc w:val="center"/>
            </w:pPr>
            <w:r/>
            <w:r>
              <w:rPr>
                <w:rFonts w:ascii="Times New Roman" w:hAnsi="Times New Roman"/>
                <w:b w:val="0"/>
                <w:i w:val="0"/>
                <w:sz w:val="24"/>
              </w:rPr>
              <w:t>PlaybookController</w:t>
            </w:r>
          </w:p>
        </w:tc>
        <w:tc>
          <w:tcPr>
            <w:tcW w:type="dxa" w:w="2340"/>
          </w:tcPr>
          <w:p>
            <w:pPr>
              <w:spacing w:after="0" w:line="240" w:lineRule="auto"/>
              <w:jc w:val="center"/>
            </w:pPr>
            <w:r/>
            <w:r>
              <w:rPr>
                <w:rFonts w:ascii="Times New Roman" w:hAnsi="Times New Roman"/>
                <w:b w:val="0"/>
                <w:i w:val="0"/>
                <w:sz w:val="24"/>
              </w:rPr>
              <w:t>PlaybookGetTools, PlaybookEditTools</w:t>
            </w:r>
          </w:p>
        </w:tc>
        <w:tc>
          <w:tcPr>
            <w:tcW w:type="dxa" w:w="2340"/>
          </w:tcPr>
          <w:p>
            <w:pPr>
              <w:spacing w:after="0" w:line="240" w:lineRule="auto"/>
              <w:jc w:val="center"/>
            </w:pPr>
            <w:r/>
            <w:r>
              <w:rPr>
                <w:rFonts w:ascii="Times New Roman" w:hAnsi="Times New Roman"/>
                <w:b w:val="0"/>
                <w:i w:val="0"/>
                <w:sz w:val="24"/>
              </w:rPr>
              <w:t>Interventions, stock actions, execution log</w:t>
            </w:r>
          </w:p>
        </w:tc>
      </w:tr>
      <w:tr>
        <w:tc>
          <w:tcPr>
            <w:tcW w:type="dxa" w:w="2340"/>
          </w:tcPr>
          <w:p>
            <w:pPr>
              <w:spacing w:after="0" w:line="240" w:lineRule="auto"/>
              <w:jc w:val="center"/>
            </w:pPr>
            <w:r/>
            <w:r>
              <w:rPr>
                <w:rFonts w:ascii="Times New Roman" w:hAnsi="Times New Roman"/>
                <w:b w:val="0"/>
                <w:i w:val="0"/>
                <w:sz w:val="24"/>
              </w:rPr>
              <w:t>Alerts</w:t>
            </w:r>
          </w:p>
        </w:tc>
        <w:tc>
          <w:tcPr>
            <w:tcW w:type="dxa" w:w="2340"/>
          </w:tcPr>
          <w:p>
            <w:pPr>
              <w:spacing w:after="0" w:line="240" w:lineRule="auto"/>
              <w:jc w:val="center"/>
            </w:pPr>
            <w:r/>
            <w:r>
              <w:rPr>
                <w:rFonts w:ascii="Times New Roman" w:hAnsi="Times New Roman"/>
                <w:b w:val="0"/>
                <w:i w:val="0"/>
                <w:sz w:val="24"/>
              </w:rPr>
              <w:t>AlertsController</w:t>
            </w:r>
          </w:p>
        </w:tc>
        <w:tc>
          <w:tcPr>
            <w:tcW w:type="dxa" w:w="2340"/>
          </w:tcPr>
          <w:p>
            <w:pPr>
              <w:spacing w:after="0" w:line="240" w:lineRule="auto"/>
              <w:jc w:val="center"/>
            </w:pPr>
            <w:r/>
            <w:r>
              <w:rPr>
                <w:rFonts w:ascii="Times New Roman" w:hAnsi="Times New Roman"/>
                <w:b w:val="0"/>
                <w:i w:val="0"/>
                <w:sz w:val="24"/>
              </w:rPr>
              <w:t>AlertsGetTools, AlertsEditTools</w:t>
            </w:r>
          </w:p>
        </w:tc>
        <w:tc>
          <w:tcPr>
            <w:tcW w:type="dxa" w:w="2340"/>
          </w:tcPr>
          <w:p>
            <w:pPr>
              <w:spacing w:after="0" w:line="240" w:lineRule="auto"/>
              <w:jc w:val="center"/>
            </w:pPr>
            <w:r/>
            <w:r>
              <w:rPr>
                <w:rFonts w:ascii="Times New Roman" w:hAnsi="Times New Roman"/>
                <w:b w:val="0"/>
                <w:i w:val="0"/>
                <w:sz w:val="24"/>
              </w:rPr>
              <w:t>Threshold alerts, acknowledgements</w:t>
            </w:r>
          </w:p>
        </w:tc>
      </w:tr>
      <w:tr>
        <w:tc>
          <w:tcPr>
            <w:tcW w:type="dxa" w:w="2340"/>
          </w:tcPr>
          <w:p>
            <w:pPr>
              <w:spacing w:after="0" w:line="240" w:lineRule="auto"/>
              <w:jc w:val="center"/>
            </w:pPr>
            <w:r/>
            <w:r>
              <w:rPr>
                <w:rFonts w:ascii="Times New Roman" w:hAnsi="Times New Roman"/>
                <w:b w:val="0"/>
                <w:i w:val="0"/>
                <w:sz w:val="24"/>
              </w:rPr>
              <w:t>Citizen</w:t>
            </w:r>
          </w:p>
        </w:tc>
        <w:tc>
          <w:tcPr>
            <w:tcW w:type="dxa" w:w="2340"/>
          </w:tcPr>
          <w:p>
            <w:pPr>
              <w:spacing w:after="0" w:line="240" w:lineRule="auto"/>
              <w:jc w:val="center"/>
            </w:pPr>
            <w:r/>
            <w:r>
              <w:rPr>
                <w:rFonts w:ascii="Times New Roman" w:hAnsi="Times New Roman"/>
                <w:b w:val="0"/>
                <w:i w:val="0"/>
                <w:sz w:val="24"/>
              </w:rPr>
              <w:t>CitizenController</w:t>
            </w:r>
          </w:p>
        </w:tc>
        <w:tc>
          <w:tcPr>
            <w:tcW w:type="dxa" w:w="2340"/>
          </w:tcPr>
          <w:p>
            <w:pPr>
              <w:spacing w:after="0" w:line="240" w:lineRule="auto"/>
              <w:jc w:val="center"/>
            </w:pPr>
            <w:r/>
            <w:r>
              <w:rPr>
                <w:rFonts w:ascii="Times New Roman" w:hAnsi="Times New Roman"/>
                <w:b w:val="0"/>
                <w:i w:val="0"/>
                <w:sz w:val="24"/>
              </w:rPr>
              <w:t>CitizenGetTools</w:t>
            </w:r>
          </w:p>
        </w:tc>
        <w:tc>
          <w:tcPr>
            <w:tcW w:type="dxa" w:w="2340"/>
          </w:tcPr>
          <w:p>
            <w:pPr>
              <w:spacing w:after="0" w:line="240" w:lineRule="auto"/>
              <w:jc w:val="center"/>
            </w:pPr>
            <w:r/>
            <w:r>
              <w:rPr>
                <w:rFonts w:ascii="Times New Roman" w:hAnsi="Times New Roman"/>
                <w:b w:val="0"/>
                <w:i w:val="0"/>
                <w:sz w:val="24"/>
              </w:rPr>
              <w:t>Public Q and A, local notices, clinic stock</w:t>
            </w:r>
          </w:p>
        </w:tc>
      </w:tr>
      <w:tr>
        <w:tc>
          <w:tcPr>
            <w:tcW w:type="dxa" w:w="2340"/>
          </w:tcPr>
          <w:p>
            <w:pPr>
              <w:spacing w:after="0" w:line="240" w:lineRule="auto"/>
              <w:jc w:val="center"/>
            </w:pPr>
            <w:r/>
            <w:r>
              <w:rPr>
                <w:rFonts w:ascii="Times New Roman" w:hAnsi="Times New Roman"/>
                <w:b w:val="0"/>
                <w:i w:val="0"/>
                <w:sz w:val="24"/>
              </w:rPr>
              <w:t>Users</w:t>
            </w:r>
          </w:p>
        </w:tc>
        <w:tc>
          <w:tcPr>
            <w:tcW w:type="dxa" w:w="2340"/>
          </w:tcPr>
          <w:p>
            <w:pPr>
              <w:spacing w:after="0" w:line="240" w:lineRule="auto"/>
              <w:jc w:val="center"/>
            </w:pPr>
            <w:r/>
            <w:r>
              <w:rPr>
                <w:rFonts w:ascii="Times New Roman" w:hAnsi="Times New Roman"/>
                <w:b w:val="0"/>
                <w:i w:val="0"/>
                <w:sz w:val="24"/>
              </w:rPr>
              <w:t>SystemUserController</w:t>
            </w:r>
          </w:p>
        </w:tc>
        <w:tc>
          <w:tcPr>
            <w:tcW w:type="dxa" w:w="2340"/>
          </w:tcPr>
          <w:p>
            <w:pPr>
              <w:spacing w:after="0" w:line="240" w:lineRule="auto"/>
              <w:jc w:val="center"/>
            </w:pPr>
            <w:r/>
            <w:r>
              <w:rPr>
                <w:rFonts w:ascii="Times New Roman" w:hAnsi="Times New Roman"/>
                <w:b w:val="0"/>
                <w:i w:val="0"/>
                <w:sz w:val="24"/>
              </w:rPr>
              <w:t>SystemUserGetTools, SystemUserEditTools</w:t>
            </w:r>
          </w:p>
        </w:tc>
        <w:tc>
          <w:tcPr>
            <w:tcW w:type="dxa" w:w="2340"/>
          </w:tcPr>
          <w:p>
            <w:pPr>
              <w:spacing w:after="0" w:line="240" w:lineRule="auto"/>
              <w:jc w:val="center"/>
            </w:pPr>
            <w:r/>
            <w:r>
              <w:rPr>
                <w:rFonts w:ascii="Times New Roman" w:hAnsi="Times New Roman"/>
                <w:b w:val="0"/>
                <w:i w:val="0"/>
                <w:sz w:val="24"/>
              </w:rPr>
              <w:t>Roles MHO, BHW, Mayor, LDRRMC, admin</w:t>
            </w:r>
          </w:p>
        </w:tc>
      </w:tr>
      <w:tr>
        <w:tc>
          <w:tcPr>
            <w:tcW w:type="dxa" w:w="2340"/>
          </w:tcPr>
          <w:p>
            <w:pPr>
              <w:spacing w:after="0" w:line="240" w:lineRule="auto"/>
              <w:jc w:val="center"/>
            </w:pPr>
            <w:r/>
            <w:r>
              <w:rPr>
                <w:rFonts w:ascii="Times New Roman" w:hAnsi="Times New Roman"/>
                <w:b w:val="0"/>
                <w:i w:val="0"/>
                <w:sz w:val="24"/>
              </w:rPr>
              <w:t>Messaging</w:t>
            </w:r>
          </w:p>
        </w:tc>
        <w:tc>
          <w:tcPr>
            <w:tcW w:type="dxa" w:w="2340"/>
          </w:tcPr>
          <w:p>
            <w:pPr>
              <w:spacing w:after="0" w:line="240" w:lineRule="auto"/>
              <w:jc w:val="center"/>
            </w:pPr>
            <w:r/>
            <w:r>
              <w:rPr>
                <w:rFonts w:ascii="Times New Roman" w:hAnsi="Times New Roman"/>
                <w:b w:val="0"/>
                <w:i w:val="0"/>
                <w:sz w:val="24"/>
              </w:rPr>
              <w:t>MessagingController</w:t>
            </w:r>
          </w:p>
        </w:tc>
        <w:tc>
          <w:tcPr>
            <w:tcW w:type="dxa" w:w="2340"/>
          </w:tcPr>
          <w:p>
            <w:pPr>
              <w:spacing w:after="0" w:line="240" w:lineRule="auto"/>
              <w:jc w:val="center"/>
            </w:pPr>
            <w:r/>
            <w:r>
              <w:rPr>
                <w:rFonts w:ascii="Times New Roman" w:hAnsi="Times New Roman"/>
                <w:b w:val="0"/>
                <w:i w:val="0"/>
                <w:sz w:val="24"/>
              </w:rPr>
              <w:t>Messaging presence + Redis</w:t>
            </w:r>
          </w:p>
        </w:tc>
        <w:tc>
          <w:tcPr>
            <w:tcW w:type="dxa" w:w="2340"/>
          </w:tcPr>
          <w:p>
            <w:pPr>
              <w:spacing w:after="0" w:line="240" w:lineRule="auto"/>
              <w:jc w:val="center"/>
            </w:pPr>
            <w:r/>
            <w:r>
              <w:rPr>
                <w:rFonts w:ascii="Times New Roman" w:hAnsi="Times New Roman"/>
                <w:b w:val="0"/>
                <w:i w:val="0"/>
                <w:sz w:val="24"/>
              </w:rPr>
              <w:t>Unread, presence, broadcast notices</w:t>
            </w:r>
          </w:p>
        </w:tc>
      </w:tr>
      <w:tr>
        <w:tc>
          <w:tcPr>
            <w:tcW w:type="dxa" w:w="2340"/>
          </w:tcPr>
          <w:p>
            <w:pPr>
              <w:spacing w:after="0" w:line="240" w:lineRule="auto"/>
              <w:jc w:val="center"/>
            </w:pPr>
            <w:r/>
            <w:r>
              <w:rPr>
                <w:rFonts w:ascii="Times New Roman" w:hAnsi="Times New Roman"/>
                <w:b w:val="0"/>
                <w:i w:val="0"/>
                <w:sz w:val="24"/>
              </w:rPr>
              <w:t>System</w:t>
            </w:r>
          </w:p>
        </w:tc>
        <w:tc>
          <w:tcPr>
            <w:tcW w:type="dxa" w:w="2340"/>
          </w:tcPr>
          <w:p>
            <w:pPr>
              <w:spacing w:after="0" w:line="240" w:lineRule="auto"/>
              <w:jc w:val="center"/>
            </w:pPr>
            <w:r/>
            <w:r>
              <w:rPr>
                <w:rFonts w:ascii="Times New Roman" w:hAnsi="Times New Roman"/>
                <w:b w:val="0"/>
                <w:i w:val="0"/>
                <w:sz w:val="24"/>
              </w:rPr>
              <w:t>SystemController, CronJobController</w:t>
            </w:r>
          </w:p>
        </w:tc>
        <w:tc>
          <w:tcPr>
            <w:tcW w:type="dxa" w:w="2340"/>
          </w:tcPr>
          <w:p>
            <w:pPr>
              <w:spacing w:after="0" w:line="240" w:lineRule="auto"/>
              <w:jc w:val="center"/>
            </w:pPr>
            <w:r/>
            <w:r>
              <w:rPr>
                <w:rFonts w:ascii="Times New Roman" w:hAnsi="Times New Roman"/>
                <w:b w:val="0"/>
                <w:i w:val="0"/>
                <w:sz w:val="24"/>
              </w:rPr>
              <w:t>Session, AuditTrail, Error tools</w:t>
            </w:r>
          </w:p>
        </w:tc>
        <w:tc>
          <w:tcPr>
            <w:tcW w:type="dxa" w:w="2340"/>
          </w:tcPr>
          <w:p>
            <w:pPr>
              <w:spacing w:after="0" w:line="240" w:lineRule="auto"/>
              <w:jc w:val="center"/>
            </w:pPr>
            <w:r/>
            <w:r>
              <w:rPr>
                <w:rFonts w:ascii="Times New Roman" w:hAnsi="Times New Roman"/>
                <w:b w:val="0"/>
                <w:i w:val="0"/>
                <w:sz w:val="24"/>
              </w:rPr>
              <w:t>Sessions, audit, error log, cron guard</w:t>
            </w:r>
          </w:p>
        </w:tc>
      </w:tr>
    </w:tbl>
    <w:p>
      <w:pPr>
        <w:spacing w:after="120" w:line="480" w:lineRule="auto"/>
      </w:pPr>
      <w:r>
        <w:rPr>
          <w:rFonts w:ascii="Times New Roman" w:hAnsi="Times New Roman"/>
          <w:b w:val="0"/>
          <w:i w:val="0"/>
          <w:sz w:val="24"/>
        </w:rPr>
      </w:r>
    </w:p>
    <w:p>
      <w:pPr>
        <w:spacing w:after="0" w:line="480" w:lineRule="auto"/>
        <w:ind w:firstLine="720"/>
        <w:jc w:val="both"/>
      </w:pPr>
      <w:r>
        <w:rPr>
          <w:rFonts w:ascii="Times New Roman" w:hAnsi="Times New Roman"/>
          <w:b w:val="0"/>
          <w:i w:val="0"/>
          <w:sz w:val="24"/>
        </w:rPr>
        <w:t>As shown in Table 4, every write path lands in an Edit tool and every read path in a Get tool, so forecasting, RAG, and automation code never bypass the service boundary. Long-running model inference is isolated behind a forecast service boundary equivalent to the reference AIService factory pattern: the controller enqueues a run, a hosted service or the Python sidecar executes the Bi-LSTM, DLNM, or ARGO job, and results return as versioned ForecastRun rows with drivers attached for SHAP and LIME display.</w:t>
      </w:r>
    </w:p>
    <w:p>
      <w:pPr>
        <w:spacing w:after="0" w:line="480" w:lineRule="auto"/>
        <w:ind w:firstLine="720"/>
        <w:jc w:val="both"/>
      </w:pPr>
      <w:r>
        <w:rPr>
          <w:rFonts w:ascii="Times New Roman" w:hAnsi="Times New Roman"/>
          <w:b w:val="0"/>
          <w:i w:val="0"/>
          <w:sz w:val="24"/>
        </w:rPr>
        <w:t>Program Wiring. Startup registers the MySQL context with the migrations assembly, a CORS policy allowing the Vite origin with credentials, SignalR with JSON camel-casing and a Redis backplane when configured (in-memory presence otherwise), memory cache for roles, HTTP context accessor, the Get and Edit tool pairs as scoped services, JWT bearer authentication, Swagger, and static file serving for the Vite build and Uploads. Route filters enforce permission strings, session-token validity, required-field validation, and cron-key validation on automation endpoints, matching the reference PermissionAuthorizationFilter and attribute set.</w:t>
      </w:r>
    </w:p>
    <w:p>
      <w:pPr>
        <w:spacing w:after="0" w:line="480" w:lineRule="auto"/>
        <w:ind w:firstLine="720"/>
        <w:jc w:val="both"/>
      </w:pPr>
      <w:r>
        <w:rPr>
          <w:rFonts w:ascii="Times New Roman" w:hAnsi="Times New Roman"/>
          <w:b w:val="0"/>
          <w:i w:val="0"/>
          <w:sz w:val="24"/>
        </w:rPr>
        <w:t>Data Conventions. Table, class, and column naming follows the reference README exactly: entity files and classes take a Tbl singular prefix (TblForecastRun), tables take a tbl plural name (tblForecastRuns), views take Vw and vw prefixes, identifiers are long integers, sensitive columns use the encrypted get and set form, and all non-key columns stay nullable in the model with requiredness enforced at validation. The frontend ApiResponse and PaginatedResult types mirror the backend envelope one for one, and every paginated call carries page, search, sort key, and sort direction built by the shared helper.</w:t>
      </w:r>
    </w:p>
    <w:p>
      <w:pPr>
        <w:spacing w:after="240" w:line="480" w:lineRule="auto"/>
        <w:jc w:val="center"/>
      </w:pPr>
      <w:r>
        <w:rPr>
          <w:rFonts w:ascii="Times New Roman" w:hAnsi="Times New Roman"/>
          <w:b w:val="0"/>
          <w:i w:val="0"/>
          <w:sz w:val="24"/>
        </w:rPr>
        <w:t>Table 5. Core API Endpoints (all JSON, JWT except ingestion key and public citizen reads).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i w:val="0"/>
                <w:sz w:val="24"/>
              </w:rPr>
              <w:t>Method</w:t>
            </w:r>
          </w:p>
        </w:tc>
        <w:tc>
          <w:tcPr>
            <w:tcW w:type="dxa" w:w="3120"/>
          </w:tcPr>
          <w:p>
            <w:pPr>
              <w:jc w:val="center"/>
            </w:pPr>
            <w:r/>
            <w:r>
              <w:rPr>
                <w:rFonts w:ascii="Times New Roman" w:hAnsi="Times New Roman"/>
                <w:b/>
                <w:i w:val="0"/>
                <w:sz w:val="24"/>
              </w:rPr>
              <w:t>Route</w:t>
            </w:r>
          </w:p>
        </w:tc>
        <w:tc>
          <w:tcPr>
            <w:tcW w:type="dxa" w:w="3120"/>
          </w:tcPr>
          <w:p>
            <w:pPr>
              <w:jc w:val="center"/>
            </w:pPr>
            <w:r/>
            <w:r>
              <w:rPr>
                <w:rFonts w:ascii="Times New Roman" w:hAnsi="Times New Roman"/>
                <w:b/>
                <w:i w:val="0"/>
                <w:sz w:val="24"/>
              </w:rPr>
              <w:t>Purpose</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/api/auth/login</w:t>
            </w:r>
          </w:p>
        </w:tc>
        <w:tc>
          <w:tcPr>
            <w:tcW w:type="dxa" w:w="3120"/>
          </w:tcPr>
          <w:p>
            <w:pPr>
              <w:spacing w:after="0" w:line="240" w:lineRule="auto"/>
              <w:jc w:val="center"/>
            </w:pPr>
            <w:r/>
            <w:r>
              <w:rPr>
                <w:rFonts w:ascii="Times New Roman" w:hAnsi="Times New Roman"/>
                <w:b w:val="0"/>
                <w:i w:val="0"/>
                <w:sz w:val="24"/>
              </w:rPr>
              <w:t>Authenticate health worker; returns JWT plus role and permission grants</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/api/surveillance/feeds</w:t>
            </w:r>
          </w:p>
        </w:tc>
        <w:tc>
          <w:tcPr>
            <w:tcW w:type="dxa" w:w="3120"/>
          </w:tcPr>
          <w:p>
            <w:pPr>
              <w:spacing w:after="0" w:line="240" w:lineRule="auto"/>
              <w:jc w:val="center"/>
            </w:pPr>
            <w:r/>
            <w:r>
              <w:rPr>
                <w:rFonts w:ascii="Times New Roman" w:hAnsi="Times New Roman"/>
                <w:b w:val="0"/>
                <w:i w:val="0"/>
                <w:sz w:val="24"/>
              </w:rPr>
              <w:t>Feed health and last-ingest status for ten feeds</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/api/surveillance/ingest/{feed}</w:t>
            </w:r>
          </w:p>
        </w:tc>
        <w:tc>
          <w:tcPr>
            <w:tcW w:type="dxa" w:w="3120"/>
          </w:tcPr>
          <w:p>
            <w:pPr>
              <w:spacing w:after="0" w:line="240" w:lineRule="auto"/>
              <w:jc w:val="center"/>
            </w:pPr>
            <w:r/>
            <w:r>
              <w:rPr>
                <w:rFonts w:ascii="Times New Roman" w:hAnsi="Times New Roman"/>
                <w:b w:val="0"/>
                <w:i w:val="0"/>
                <w:sz w:val="24"/>
              </w:rPr>
              <w:t>n8n delivery endpoint per feed (cron-key guarded, idempotent by source key)</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/api/forecast/outlook</w:t>
            </w:r>
          </w:p>
        </w:tc>
        <w:tc>
          <w:tcPr>
            <w:tcW w:type="dxa" w:w="3120"/>
          </w:tcPr>
          <w:p>
            <w:pPr>
              <w:spacing w:after="0" w:line="240" w:lineRule="auto"/>
              <w:jc w:val="center"/>
            </w:pPr>
            <w:r/>
            <w:r>
              <w:rPr>
                <w:rFonts w:ascii="Times New Roman" w:hAnsi="Times New Roman"/>
                <w:b w:val="0"/>
                <w:i w:val="0"/>
                <w:sz w:val="24"/>
              </w:rPr>
              <w:t>Sixteen-disease outlooks by municipality with confidence and drivers</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/api/forecast/run</w:t>
            </w:r>
          </w:p>
        </w:tc>
        <w:tc>
          <w:tcPr>
            <w:tcW w:type="dxa" w:w="3120"/>
          </w:tcPr>
          <w:p>
            <w:pPr>
              <w:spacing w:after="0" w:line="240" w:lineRule="auto"/>
              <w:jc w:val="center"/>
            </w:pPr>
            <w:r/>
            <w:r>
              <w:rPr>
                <w:rFonts w:ascii="Times New Roman" w:hAnsi="Times New Roman"/>
                <w:b w:val="0"/>
                <w:i w:val="0"/>
                <w:sz w:val="24"/>
              </w:rPr>
              <w:t>Enqueue a forecast run for a disease group and horizon</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/api/riskmaps/hotspots</w:t>
            </w:r>
          </w:p>
        </w:tc>
        <w:tc>
          <w:tcPr>
            <w:tcW w:type="dxa" w:w="3120"/>
          </w:tcPr>
          <w:p>
            <w:pPr>
              <w:spacing w:after="0" w:line="240" w:lineRule="auto"/>
              <w:jc w:val="center"/>
            </w:pPr>
            <w:r/>
            <w:r>
              <w:rPr>
                <w:rFonts w:ascii="Times New Roman" w:hAnsi="Times New Roman"/>
                <w:b w:val="0"/>
                <w:i w:val="0"/>
                <w:sz w:val="24"/>
              </w:rPr>
              <w:t>GIS hotspot payloads by disease and week</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/api/rag/ask</w:t>
            </w:r>
          </w:p>
        </w:tc>
        <w:tc>
          <w:tcPr>
            <w:tcW w:type="dxa" w:w="3120"/>
          </w:tcPr>
          <w:p>
            <w:pPr>
              <w:spacing w:after="0" w:line="240" w:lineRule="auto"/>
              <w:jc w:val="center"/>
            </w:pPr>
            <w:r/>
            <w:r>
              <w:rPr>
                <w:rFonts w:ascii="Times New Roman" w:hAnsi="Times New Roman"/>
                <w:b w:val="0"/>
                <w:i w:val="0"/>
                <w:sz w:val="24"/>
              </w:rPr>
              <w:t>Cited guideline answer with document, chapter, and page</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/api/rag/reindex</w:t>
            </w:r>
          </w:p>
        </w:tc>
        <w:tc>
          <w:tcPr>
            <w:tcW w:type="dxa" w:w="3120"/>
          </w:tcPr>
          <w:p>
            <w:pPr>
              <w:spacing w:after="0" w:line="240" w:lineRule="auto"/>
              <w:jc w:val="center"/>
            </w:pPr>
            <w:r/>
            <w:r>
              <w:rPr>
                <w:rFonts w:ascii="Times New Roman" w:hAnsi="Times New Roman"/>
                <w:b w:val="0"/>
                <w:i w:val="0"/>
                <w:sz w:val="24"/>
              </w:rPr>
              <w:t>Rebuild edge RAG index after corpus sync (cron-key guarded)</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/api/playbooks</w:t>
            </w:r>
          </w:p>
        </w:tc>
        <w:tc>
          <w:tcPr>
            <w:tcW w:type="dxa" w:w="3120"/>
          </w:tcPr>
          <w:p>
            <w:pPr>
              <w:spacing w:after="0" w:line="240" w:lineRule="auto"/>
              <w:jc w:val="center"/>
            </w:pPr>
            <w:r/>
            <w:r>
              <w:rPr>
                <w:rFonts w:ascii="Times New Roman" w:hAnsi="Times New Roman"/>
                <w:b w:val="0"/>
                <w:i w:val="0"/>
                <w:sz w:val="24"/>
              </w:rPr>
              <w:t>Intervention plans linked to guideline pages</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/api/playbooks/{id}/execute</w:t>
            </w:r>
          </w:p>
        </w:tc>
        <w:tc>
          <w:tcPr>
            <w:tcW w:type="dxa" w:w="3120"/>
          </w:tcPr>
          <w:p>
            <w:pPr>
              <w:spacing w:after="0" w:line="240" w:lineRule="auto"/>
              <w:jc w:val="center"/>
            </w:pPr>
            <w:r/>
            <w:r>
              <w:rPr>
                <w:rFonts w:ascii="Times New Roman" w:hAnsi="Times New Roman"/>
                <w:b w:val="0"/>
                <w:i w:val="0"/>
                <w:sz w:val="24"/>
              </w:rPr>
              <w:t>Log a playbook execution with stock effects</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/api/alerts</w:t>
            </w:r>
          </w:p>
        </w:tc>
        <w:tc>
          <w:tcPr>
            <w:tcW w:type="dxa" w:w="3120"/>
          </w:tcPr>
          <w:p>
            <w:pPr>
              <w:spacing w:after="0" w:line="240" w:lineRule="auto"/>
              <w:jc w:val="center"/>
            </w:pPr>
            <w:r/>
            <w:r>
              <w:rPr>
                <w:rFonts w:ascii="Times New Roman" w:hAnsi="Times New Roman"/>
                <w:b w:val="0"/>
                <w:i w:val="0"/>
                <w:sz w:val="24"/>
              </w:rPr>
              <w:t>Threshold alerts; acknowledge endpoint included</w:t>
            </w:r>
          </w:p>
        </w:tc>
      </w:tr>
      <w:tr>
        <w:tc>
          <w:tcPr>
            <w:tcW w:type="dxa" w:w="3120"/>
          </w:tcPr>
          <w:p>
            <w:pPr>
              <w:spacing w:after="0" w:line="240" w:lineRule="auto"/>
              <w:jc w:val="center"/>
            </w:pPr>
            <w:r/>
            <w:r>
              <w:rPr>
                <w:rFonts w:ascii="Times New Roman" w:hAnsi="Times New Roman"/>
                <w:b w:val="0"/>
                <w:i w:val="0"/>
                <w:sz w:val="24"/>
              </w:rPr>
              <w:t>POST</w:t>
            </w:r>
          </w:p>
        </w:tc>
        <w:tc>
          <w:tcPr>
            <w:tcW w:type="dxa" w:w="3120"/>
          </w:tcPr>
          <w:p>
            <w:pPr>
              <w:spacing w:after="0" w:line="240" w:lineRule="auto"/>
              <w:jc w:val="center"/>
            </w:pPr>
            <w:r/>
            <w:r>
              <w:rPr>
                <w:rFonts w:ascii="Times New Roman" w:hAnsi="Times New Roman"/>
                <w:b w:val="0"/>
                <w:i w:val="0"/>
                <w:sz w:val="24"/>
              </w:rPr>
              <w:t>/api/citizen/ask</w:t>
            </w:r>
          </w:p>
        </w:tc>
        <w:tc>
          <w:tcPr>
            <w:tcW w:type="dxa" w:w="3120"/>
          </w:tcPr>
          <w:p>
            <w:pPr>
              <w:spacing w:after="0" w:line="240" w:lineRule="auto"/>
              <w:jc w:val="center"/>
            </w:pPr>
            <w:r/>
            <w:r>
              <w:rPr>
                <w:rFonts w:ascii="Times New Roman" w:hAnsi="Times New Roman"/>
                <w:b w:val="0"/>
                <w:i w:val="0"/>
                <w:sz w:val="24"/>
              </w:rPr>
              <w:t>Public Taglish Q and A with citations and clinic guidance</w:t>
            </w:r>
          </w:p>
        </w:tc>
      </w:tr>
      <w:tr>
        <w:tc>
          <w:tcPr>
            <w:tcW w:type="dxa" w:w="3120"/>
          </w:tcPr>
          <w:p>
            <w:pPr>
              <w:spacing w:after="0" w:line="240" w:lineRule="auto"/>
              <w:jc w:val="center"/>
            </w:pPr>
            <w:r/>
            <w:r>
              <w:rPr>
                <w:rFonts w:ascii="Times New Roman" w:hAnsi="Times New Roman"/>
                <w:b w:val="0"/>
                <w:i w:val="0"/>
                <w:sz w:val="24"/>
              </w:rPr>
              <w:t>GET</w:t>
            </w:r>
          </w:p>
        </w:tc>
        <w:tc>
          <w:tcPr>
            <w:tcW w:type="dxa" w:w="3120"/>
          </w:tcPr>
          <w:p>
            <w:pPr>
              <w:spacing w:after="0" w:line="240" w:lineRule="auto"/>
              <w:jc w:val="center"/>
            </w:pPr>
            <w:r/>
            <w:r>
              <w:rPr>
                <w:rFonts w:ascii="Times New Roman" w:hAnsi="Times New Roman"/>
                <w:b w:val="0"/>
                <w:i w:val="0"/>
                <w:sz w:val="24"/>
              </w:rPr>
              <w:t>/api/reports/surveillance</w:t>
            </w:r>
          </w:p>
        </w:tc>
        <w:tc>
          <w:tcPr>
            <w:tcW w:type="dxa" w:w="3120"/>
          </w:tcPr>
          <w:p>
            <w:pPr>
              <w:spacing w:after="0" w:line="240" w:lineRule="auto"/>
              <w:jc w:val="center"/>
            </w:pPr>
            <w:r/>
            <w:r>
              <w:rPr>
                <w:rFonts w:ascii="Times New Roman" w:hAnsi="Times New Roman"/>
                <w:b w:val="0"/>
                <w:i w:val="0"/>
                <w:sz w:val="24"/>
              </w:rPr>
              <w:t>Automated surveillance export replacing manual encoding</w:t>
            </w:r>
          </w:p>
        </w:tc>
      </w:tr>
      <w:tr>
        <w:tc>
          <w:tcPr>
            <w:tcW w:type="dxa" w:w="3120"/>
          </w:tcPr>
          <w:p>
            <w:pPr>
              <w:spacing w:after="0" w:line="240" w:lineRule="auto"/>
              <w:jc w:val="center"/>
            </w:pPr>
            <w:r/>
            <w:r>
              <w:rPr>
                <w:rFonts w:ascii="Times New Roman" w:hAnsi="Times New Roman"/>
                <w:b w:val="0"/>
                <w:i w:val="0"/>
                <w:sz w:val="24"/>
              </w:rPr>
              <w:t>HUB</w:t>
            </w:r>
          </w:p>
        </w:tc>
        <w:tc>
          <w:tcPr>
            <w:tcW w:type="dxa" w:w="3120"/>
          </w:tcPr>
          <w:p>
            <w:pPr>
              <w:spacing w:after="0" w:line="240" w:lineRule="auto"/>
              <w:jc w:val="center"/>
            </w:pPr>
            <w:r/>
            <w:r>
              <w:rPr>
                <w:rFonts w:ascii="Times New Roman" w:hAnsi="Times New Roman"/>
                <w:b w:val="0"/>
                <w:i w:val="0"/>
                <w:sz w:val="24"/>
              </w:rPr>
              <w:t>/hubs/notification</w:t>
            </w:r>
          </w:p>
        </w:tc>
        <w:tc>
          <w:tcPr>
            <w:tcW w:type="dxa" w:w="3120"/>
          </w:tcPr>
          <w:p>
            <w:pPr>
              <w:spacing w:after="0" w:line="240" w:lineRule="auto"/>
              <w:jc w:val="center"/>
            </w:pPr>
            <w:r/>
            <w:r>
              <w:rPr>
                <w:rFonts w:ascii="Times New Roman" w:hAnsi="Times New Roman"/>
                <w:b w:val="0"/>
                <w:i w:val="0"/>
                <w:sz w:val="24"/>
              </w:rPr>
              <w:t>Realtime forecast, alert, and map topics per disease and municipality</w:t>
            </w:r>
          </w:p>
        </w:tc>
      </w:tr>
    </w:tbl>
    <w:p>
      <w:pPr>
        <w:spacing w:after="120" w:line="480" w:lineRule="auto"/>
      </w:pPr>
      <w:r>
        <w:rPr>
          <w:rFonts w:ascii="Times New Roman" w:hAnsi="Times New Roman"/>
          <w:b w:val="0"/>
          <w:i w:val="0"/>
          <w:sz w:val="24"/>
        </w:rPr>
      </w:r>
    </w:p>
    <w:p>
      <w:pPr>
        <w:spacing w:after="80" w:line="480" w:lineRule="auto"/>
        <w:jc w:val="left"/>
      </w:pPr>
      <w:r>
        <w:rPr>
          <w:rFonts w:ascii="Times New Roman" w:hAnsi="Times New Roman"/>
          <w:b/>
          <w:i w:val="0"/>
          <w:sz w:val="24"/>
        </w:rPr>
        <w:t>Automation in n8n</w:t>
      </w:r>
    </w:p>
    <w:p>
      <w:pPr>
        <w:spacing w:after="0" w:line="480" w:lineRule="auto"/>
        <w:ind w:firstLine="720"/>
        <w:jc w:val="both"/>
      </w:pPr>
      <w:r>
        <w:rPr>
          <w:rFonts w:ascii="Times New Roman" w:hAnsi="Times New Roman"/>
          <w:b w:val="0"/>
          <w:i w:val="0"/>
          <w:sz w:val="24"/>
        </w:rPr>
        <w:t>Automation Role. n8n is the scheduler and integrator: it polls or receives each of the ten feeds on its natural cadence, normalizes payloads to the backend ingestion contract, delivers them to POST /api/surveillance/ingest per feed with the cron key, triggers forecast runs when fresh ground truth lands, and executes alert side effects through the backend so SignalR, SMS, and email stay consistent. No automation path writes to MySQL or SQLite directly. The instance base is http://localhost:5678/ with the public API under /api/v1 and the X-N8N-API-KEY header carrying the provided key, which must live in environment configuration and never in source control.</w:t>
      </w:r>
    </w:p>
    <w:p>
      <w:pPr>
        <w:spacing w:after="0" w:line="480" w:lineRule="auto"/>
        <w:ind w:firstLine="720"/>
        <w:jc w:val="both"/>
      </w:pPr>
      <w:r>
        <w:rPr>
          <w:rFonts w:ascii="Times New Roman" w:hAnsi="Times New Roman"/>
          <w:b w:val="0"/>
          <w:i w:val="0"/>
          <w:sz w:val="24"/>
        </w:rPr>
        <w:t>Workflow Inventory. Table 6 lists the minimum import-ready workflow set: ten feed pollers, one forecast orchestrator, one alert fan-out, one RAG reindexer, one edge delta-sync notifier, and one failure handler. Cadences follow the source systems: hourly for weather, iHeatMap, and AQI; every fifteen minutes for GDELT and RSS; daily for Trends, social rollups, and ESU pages; weekly for PIDSR Friday bulletins and COVID Monday bulletins; quarterly for ITIS.</w:t>
      </w:r>
    </w:p>
    <w:p>
      <w:pPr>
        <w:spacing w:after="240" w:line="480" w:lineRule="auto"/>
        <w:jc w:val="center"/>
      </w:pPr>
      <w:r>
        <w:rPr>
          <w:rFonts w:ascii="Times New Roman" w:hAnsi="Times New Roman"/>
          <w:b w:val="0"/>
          <w:i w:val="0"/>
          <w:sz w:val="24"/>
        </w:rPr>
        <w:t>Table 6. n8n Workflow Inventory for Health Alert.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i w:val="0"/>
                <w:sz w:val="24"/>
              </w:rPr>
              <w:t>Workflow</w:t>
            </w:r>
          </w:p>
        </w:tc>
        <w:tc>
          <w:tcPr>
            <w:tcW w:type="dxa" w:w="3120"/>
          </w:tcPr>
          <w:p>
            <w:pPr>
              <w:jc w:val="center"/>
            </w:pPr>
            <w:r/>
            <w:r>
              <w:rPr>
                <w:rFonts w:ascii="Times New Roman" w:hAnsi="Times New Roman"/>
                <w:b/>
                <w:i w:val="0"/>
                <w:sz w:val="24"/>
              </w:rPr>
              <w:t>Trigger</w:t>
            </w:r>
          </w:p>
        </w:tc>
        <w:tc>
          <w:tcPr>
            <w:tcW w:type="dxa" w:w="3120"/>
          </w:tcPr>
          <w:p>
            <w:pPr>
              <w:jc w:val="center"/>
            </w:pPr>
            <w:r/>
            <w:r>
              <w:rPr>
                <w:rFonts w:ascii="Times New Roman" w:hAnsi="Times New Roman"/>
                <w:b/>
                <w:i w:val="0"/>
                <w:sz w:val="24"/>
              </w:rPr>
              <w:t>Action Chain</w:t>
            </w:r>
          </w:p>
        </w:tc>
      </w:tr>
      <w:tr>
        <w:tc>
          <w:tcPr>
            <w:tcW w:type="dxa" w:w="3120"/>
          </w:tcPr>
          <w:p>
            <w:pPr>
              <w:spacing w:after="0" w:line="240" w:lineRule="auto"/>
              <w:jc w:val="center"/>
            </w:pPr>
            <w:r/>
            <w:r>
              <w:rPr>
                <w:rFonts w:ascii="Times New Roman" w:hAnsi="Times New Roman"/>
                <w:b w:val="0"/>
                <w:i w:val="0"/>
                <w:sz w:val="24"/>
              </w:rPr>
              <w:t>ingest-weather</w:t>
            </w:r>
          </w:p>
        </w:tc>
        <w:tc>
          <w:tcPr>
            <w:tcW w:type="dxa" w:w="3120"/>
          </w:tcPr>
          <w:p>
            <w:pPr>
              <w:spacing w:after="0" w:line="240" w:lineRule="auto"/>
              <w:jc w:val="center"/>
            </w:pPr>
            <w:r/>
            <w:r>
              <w:rPr>
                <w:rFonts w:ascii="Times New Roman" w:hAnsi="Times New Roman"/>
                <w:b w:val="0"/>
                <w:i w:val="0"/>
                <w:sz w:val="24"/>
              </w:rPr>
              <w:t>Cron hourly</w:t>
            </w:r>
          </w:p>
        </w:tc>
        <w:tc>
          <w:tcPr>
            <w:tcW w:type="dxa" w:w="3120"/>
          </w:tcPr>
          <w:p>
            <w:pPr>
              <w:spacing w:after="0" w:line="240" w:lineRule="auto"/>
              <w:jc w:val="center"/>
            </w:pPr>
            <w:r/>
            <w:r>
              <w:rPr>
                <w:rFonts w:ascii="Times New Roman" w:hAnsi="Times New Roman"/>
                <w:b w:val="0"/>
                <w:i w:val="0"/>
                <w:sz w:val="24"/>
              </w:rPr>
              <w:t>OpenWeatherMap plus PAGASA fetch, normalize, POST ingest/weather</w:t>
            </w:r>
          </w:p>
        </w:tc>
      </w:tr>
      <w:tr>
        <w:tc>
          <w:tcPr>
            <w:tcW w:type="dxa" w:w="3120"/>
          </w:tcPr>
          <w:p>
            <w:pPr>
              <w:spacing w:after="0" w:line="240" w:lineRule="auto"/>
              <w:jc w:val="center"/>
            </w:pPr>
            <w:r/>
            <w:r>
              <w:rPr>
                <w:rFonts w:ascii="Times New Roman" w:hAnsi="Times New Roman"/>
                <w:b w:val="0"/>
                <w:i w:val="0"/>
                <w:sz w:val="24"/>
              </w:rPr>
              <w:t>ingest-heatmap</w:t>
            </w:r>
          </w:p>
        </w:tc>
        <w:tc>
          <w:tcPr>
            <w:tcW w:type="dxa" w:w="3120"/>
          </w:tcPr>
          <w:p>
            <w:pPr>
              <w:spacing w:after="0" w:line="240" w:lineRule="auto"/>
              <w:jc w:val="center"/>
            </w:pPr>
            <w:r/>
            <w:r>
              <w:rPr>
                <w:rFonts w:ascii="Times New Roman" w:hAnsi="Times New Roman"/>
                <w:b w:val="0"/>
                <w:i w:val="0"/>
                <w:sz w:val="24"/>
              </w:rPr>
              <w:t>Cron hourly</w:t>
            </w:r>
          </w:p>
        </w:tc>
        <w:tc>
          <w:tcPr>
            <w:tcW w:type="dxa" w:w="3120"/>
          </w:tcPr>
          <w:p>
            <w:pPr>
              <w:spacing w:after="0" w:line="240" w:lineRule="auto"/>
              <w:jc w:val="center"/>
            </w:pPr>
            <w:r/>
            <w:r>
              <w:rPr>
                <w:rFonts w:ascii="Times New Roman" w:hAnsi="Times New Roman"/>
                <w:b w:val="0"/>
                <w:i w:val="0"/>
                <w:sz w:val="24"/>
              </w:rPr>
              <w:t>iHeatMap grid fetch, band mapping, POST ingest/heat</w:t>
            </w:r>
          </w:p>
        </w:tc>
      </w:tr>
      <w:tr>
        <w:tc>
          <w:tcPr>
            <w:tcW w:type="dxa" w:w="3120"/>
          </w:tcPr>
          <w:p>
            <w:pPr>
              <w:spacing w:after="0" w:line="240" w:lineRule="auto"/>
              <w:jc w:val="center"/>
            </w:pPr>
            <w:r/>
            <w:r>
              <w:rPr>
                <w:rFonts w:ascii="Times New Roman" w:hAnsi="Times New Roman"/>
                <w:b w:val="0"/>
                <w:i w:val="0"/>
                <w:sz w:val="24"/>
              </w:rPr>
              <w:t>ingest-aqi</w:t>
            </w:r>
          </w:p>
        </w:tc>
        <w:tc>
          <w:tcPr>
            <w:tcW w:type="dxa" w:w="3120"/>
          </w:tcPr>
          <w:p>
            <w:pPr>
              <w:spacing w:after="0" w:line="240" w:lineRule="auto"/>
              <w:jc w:val="center"/>
            </w:pPr>
            <w:r/>
            <w:r>
              <w:rPr>
                <w:rFonts w:ascii="Times New Roman" w:hAnsi="Times New Roman"/>
                <w:b w:val="0"/>
                <w:i w:val="0"/>
                <w:sz w:val="24"/>
              </w:rPr>
              <w:t>Cron hourly</w:t>
            </w:r>
          </w:p>
        </w:tc>
        <w:tc>
          <w:tcPr>
            <w:tcW w:type="dxa" w:w="3120"/>
          </w:tcPr>
          <w:p>
            <w:pPr>
              <w:spacing w:after="0" w:line="240" w:lineRule="auto"/>
              <w:jc w:val="center"/>
            </w:pPr>
            <w:r/>
            <w:r>
              <w:rPr>
                <w:rFonts w:ascii="Times New Roman" w:hAnsi="Times New Roman"/>
                <w:b w:val="0"/>
                <w:i w:val="0"/>
                <w:sz w:val="24"/>
              </w:rPr>
              <w:t>DENR-EMB plus aqicn fetch, threshold flags, POST ingest/aqi</w:t>
            </w:r>
          </w:p>
        </w:tc>
      </w:tr>
      <w:tr>
        <w:tc>
          <w:tcPr>
            <w:tcW w:type="dxa" w:w="3120"/>
          </w:tcPr>
          <w:p>
            <w:pPr>
              <w:spacing w:after="0" w:line="240" w:lineRule="auto"/>
              <w:jc w:val="center"/>
            </w:pPr>
            <w:r/>
            <w:r>
              <w:rPr>
                <w:rFonts w:ascii="Times New Roman" w:hAnsi="Times New Roman"/>
                <w:b w:val="0"/>
                <w:i w:val="0"/>
                <w:sz w:val="24"/>
              </w:rPr>
              <w:t>ingest-trends</w:t>
            </w:r>
          </w:p>
        </w:tc>
        <w:tc>
          <w:tcPr>
            <w:tcW w:type="dxa" w:w="3120"/>
          </w:tcPr>
          <w:p>
            <w:pPr>
              <w:spacing w:after="0" w:line="240" w:lineRule="auto"/>
              <w:jc w:val="center"/>
            </w:pPr>
            <w:r/>
            <w:r>
              <w:rPr>
                <w:rFonts w:ascii="Times New Roman" w:hAnsi="Times New Roman"/>
                <w:b w:val="0"/>
                <w:i w:val="0"/>
                <w:sz w:val="24"/>
              </w:rPr>
              <w:t>Cron daily</w:t>
            </w:r>
          </w:p>
        </w:tc>
        <w:tc>
          <w:tcPr>
            <w:tcW w:type="dxa" w:w="3120"/>
          </w:tcPr>
          <w:p>
            <w:pPr>
              <w:spacing w:after="0" w:line="240" w:lineRule="auto"/>
              <w:jc w:val="center"/>
            </w:pPr>
            <w:r/>
            <w:r>
              <w:rPr>
                <w:rFonts w:ascii="Times New Roman" w:hAnsi="Times New Roman"/>
                <w:b w:val="0"/>
                <w:i w:val="0"/>
                <w:sz w:val="24"/>
              </w:rPr>
              <w:t>Trends Taglish batch, Granger-filtered terms, POST ingest/trends</w:t>
            </w:r>
          </w:p>
        </w:tc>
      </w:tr>
      <w:tr>
        <w:tc>
          <w:tcPr>
            <w:tcW w:type="dxa" w:w="3120"/>
          </w:tcPr>
          <w:p>
            <w:pPr>
              <w:spacing w:after="0" w:line="240" w:lineRule="auto"/>
              <w:jc w:val="center"/>
            </w:pPr>
            <w:r/>
            <w:r>
              <w:rPr>
                <w:rFonts w:ascii="Times New Roman" w:hAnsi="Times New Roman"/>
                <w:b w:val="0"/>
                <w:i w:val="0"/>
                <w:sz w:val="24"/>
              </w:rPr>
              <w:t>ingest-social</w:t>
            </w:r>
          </w:p>
        </w:tc>
        <w:tc>
          <w:tcPr>
            <w:tcW w:type="dxa" w:w="3120"/>
          </w:tcPr>
          <w:p>
            <w:pPr>
              <w:spacing w:after="0" w:line="240" w:lineRule="auto"/>
              <w:jc w:val="center"/>
            </w:pPr>
            <w:r/>
            <w:r>
              <w:rPr>
                <w:rFonts w:ascii="Times New Roman" w:hAnsi="Times New Roman"/>
                <w:b w:val="0"/>
                <w:i w:val="0"/>
                <w:sz w:val="24"/>
              </w:rPr>
              <w:t>Cron daily</w:t>
            </w:r>
          </w:p>
        </w:tc>
        <w:tc>
          <w:tcPr>
            <w:tcW w:type="dxa" w:w="3120"/>
          </w:tcPr>
          <w:p>
            <w:pPr>
              <w:spacing w:after="0" w:line="240" w:lineRule="auto"/>
              <w:jc w:val="center"/>
            </w:pPr>
            <w:r/>
            <w:r>
              <w:rPr>
                <w:rFonts w:ascii="Times New Roman" w:hAnsi="Times New Roman"/>
                <w:b w:val="0"/>
                <w:i w:val="0"/>
                <w:sz w:val="24"/>
              </w:rPr>
              <w:t>X API symptom counts, EARS spike check, POST ingest/social</w:t>
            </w:r>
          </w:p>
        </w:tc>
      </w:tr>
      <w:tr>
        <w:tc>
          <w:tcPr>
            <w:tcW w:type="dxa" w:w="3120"/>
          </w:tcPr>
          <w:p>
            <w:pPr>
              <w:spacing w:after="0" w:line="240" w:lineRule="auto"/>
              <w:jc w:val="center"/>
            </w:pPr>
            <w:r/>
            <w:r>
              <w:rPr>
                <w:rFonts w:ascii="Times New Roman" w:hAnsi="Times New Roman"/>
                <w:b w:val="0"/>
                <w:i w:val="0"/>
                <w:sz w:val="24"/>
              </w:rPr>
              <w:t>ingest-news</w:t>
            </w:r>
          </w:p>
        </w:tc>
        <w:tc>
          <w:tcPr>
            <w:tcW w:type="dxa" w:w="3120"/>
          </w:tcPr>
          <w:p>
            <w:pPr>
              <w:spacing w:after="0" w:line="240" w:lineRule="auto"/>
              <w:jc w:val="center"/>
            </w:pPr>
            <w:r/>
            <w:r>
              <w:rPr>
                <w:rFonts w:ascii="Times New Roman" w:hAnsi="Times New Roman"/>
                <w:b w:val="0"/>
                <w:i w:val="0"/>
                <w:sz w:val="24"/>
              </w:rPr>
              <w:t>Cron every 15 min</w:t>
            </w:r>
          </w:p>
        </w:tc>
        <w:tc>
          <w:tcPr>
            <w:tcW w:type="dxa" w:w="3120"/>
          </w:tcPr>
          <w:p>
            <w:pPr>
              <w:spacing w:after="0" w:line="240" w:lineRule="auto"/>
              <w:jc w:val="center"/>
            </w:pPr>
            <w:r/>
            <w:r>
              <w:rPr>
                <w:rFonts w:ascii="Times New Roman" w:hAnsi="Times New Roman"/>
                <w:b w:val="0"/>
                <w:i w:val="0"/>
                <w:sz w:val="24"/>
              </w:rPr>
              <w:t>GDELT plus RSS fetch, health filter, POST ingest/news</w:t>
            </w:r>
          </w:p>
        </w:tc>
      </w:tr>
      <w:tr>
        <w:tc>
          <w:tcPr>
            <w:tcW w:type="dxa" w:w="3120"/>
          </w:tcPr>
          <w:p>
            <w:pPr>
              <w:spacing w:after="0" w:line="240" w:lineRule="auto"/>
              <w:jc w:val="center"/>
            </w:pPr>
            <w:r/>
            <w:r>
              <w:rPr>
                <w:rFonts w:ascii="Times New Roman" w:hAnsi="Times New Roman"/>
                <w:b w:val="0"/>
                <w:i w:val="0"/>
                <w:sz w:val="24"/>
              </w:rPr>
              <w:t>ingest-pidsr</w:t>
            </w:r>
          </w:p>
        </w:tc>
        <w:tc>
          <w:tcPr>
            <w:tcW w:type="dxa" w:w="3120"/>
          </w:tcPr>
          <w:p>
            <w:pPr>
              <w:spacing w:after="0" w:line="240" w:lineRule="auto"/>
              <w:jc w:val="center"/>
            </w:pPr>
            <w:r/>
            <w:r>
              <w:rPr>
                <w:rFonts w:ascii="Times New Roman" w:hAnsi="Times New Roman"/>
                <w:b w:val="0"/>
                <w:i w:val="0"/>
                <w:sz w:val="24"/>
              </w:rPr>
              <w:t>Cron weekly Fri</w:t>
            </w:r>
          </w:p>
        </w:tc>
        <w:tc>
          <w:tcPr>
            <w:tcW w:type="dxa" w:w="3120"/>
          </w:tcPr>
          <w:p>
            <w:pPr>
              <w:spacing w:after="0" w:line="240" w:lineRule="auto"/>
              <w:jc w:val="center"/>
            </w:pPr>
            <w:r/>
            <w:r>
              <w:rPr>
                <w:rFonts w:ascii="Times New Roman" w:hAnsi="Times New Roman"/>
                <w:b w:val="0"/>
                <w:i w:val="0"/>
                <w:sz w:val="24"/>
              </w:rPr>
              <w:t>PIDSR bulletin scrape, muni normalization, POST ingest/pidsr</w:t>
            </w:r>
          </w:p>
        </w:tc>
      </w:tr>
      <w:tr>
        <w:tc>
          <w:tcPr>
            <w:tcW w:type="dxa" w:w="3120"/>
          </w:tcPr>
          <w:p>
            <w:pPr>
              <w:spacing w:after="0" w:line="240" w:lineRule="auto"/>
              <w:jc w:val="center"/>
            </w:pPr>
            <w:r/>
            <w:r>
              <w:rPr>
                <w:rFonts w:ascii="Times New Roman" w:hAnsi="Times New Roman"/>
                <w:b w:val="0"/>
                <w:i w:val="0"/>
                <w:sz w:val="24"/>
              </w:rPr>
              <w:t>ingest-itis</w:t>
            </w:r>
          </w:p>
        </w:tc>
        <w:tc>
          <w:tcPr>
            <w:tcW w:type="dxa" w:w="3120"/>
          </w:tcPr>
          <w:p>
            <w:pPr>
              <w:spacing w:after="0" w:line="240" w:lineRule="auto"/>
              <w:jc w:val="center"/>
            </w:pPr>
            <w:r/>
            <w:r>
              <w:rPr>
                <w:rFonts w:ascii="Times New Roman" w:hAnsi="Times New Roman"/>
                <w:b w:val="0"/>
                <w:i w:val="0"/>
                <w:sz w:val="24"/>
              </w:rPr>
              <w:t>Cron quarterly</w:t>
            </w:r>
          </w:p>
        </w:tc>
        <w:tc>
          <w:tcPr>
            <w:tcW w:type="dxa" w:w="3120"/>
          </w:tcPr>
          <w:p>
            <w:pPr>
              <w:spacing w:after="0" w:line="240" w:lineRule="auto"/>
              <w:jc w:val="center"/>
            </w:pPr>
            <w:r/>
            <w:r>
              <w:rPr>
                <w:rFonts w:ascii="Times New Roman" w:hAnsi="Times New Roman"/>
                <w:b w:val="0"/>
                <w:i w:val="0"/>
                <w:sz w:val="24"/>
              </w:rPr>
              <w:t>ITIS report fetch, regional mapping, POST ingest/itis</w:t>
            </w:r>
          </w:p>
        </w:tc>
      </w:tr>
      <w:tr>
        <w:tc>
          <w:tcPr>
            <w:tcW w:type="dxa" w:w="3120"/>
          </w:tcPr>
          <w:p>
            <w:pPr>
              <w:spacing w:after="0" w:line="240" w:lineRule="auto"/>
              <w:jc w:val="center"/>
            </w:pPr>
            <w:r/>
            <w:r>
              <w:rPr>
                <w:rFonts w:ascii="Times New Roman" w:hAnsi="Times New Roman"/>
                <w:b w:val="0"/>
                <w:i w:val="0"/>
                <w:sz w:val="24"/>
              </w:rPr>
              <w:t>ingest-covid</w:t>
            </w:r>
          </w:p>
        </w:tc>
        <w:tc>
          <w:tcPr>
            <w:tcW w:type="dxa" w:w="3120"/>
          </w:tcPr>
          <w:p>
            <w:pPr>
              <w:spacing w:after="0" w:line="240" w:lineRule="auto"/>
              <w:jc w:val="center"/>
            </w:pPr>
            <w:r/>
            <w:r>
              <w:rPr>
                <w:rFonts w:ascii="Times New Roman" w:hAnsi="Times New Roman"/>
                <w:b w:val="0"/>
                <w:i w:val="0"/>
                <w:sz w:val="24"/>
              </w:rPr>
              <w:t>Cron weekly Mon</w:t>
            </w:r>
          </w:p>
        </w:tc>
        <w:tc>
          <w:tcPr>
            <w:tcW w:type="dxa" w:w="3120"/>
          </w:tcPr>
          <w:p>
            <w:pPr>
              <w:spacing w:after="0" w:line="240" w:lineRule="auto"/>
              <w:jc w:val="center"/>
            </w:pPr>
            <w:r/>
            <w:r>
              <w:rPr>
                <w:rFonts w:ascii="Times New Roman" w:hAnsi="Times New Roman"/>
                <w:b w:val="0"/>
                <w:i w:val="0"/>
                <w:sz w:val="24"/>
              </w:rPr>
              <w:t>COVID bulletin fetch, severity split, POST ingest/covid</w:t>
            </w:r>
          </w:p>
        </w:tc>
      </w:tr>
      <w:tr>
        <w:tc>
          <w:tcPr>
            <w:tcW w:type="dxa" w:w="3120"/>
          </w:tcPr>
          <w:p>
            <w:pPr>
              <w:spacing w:after="0" w:line="240" w:lineRule="auto"/>
              <w:jc w:val="center"/>
            </w:pPr>
            <w:r/>
            <w:r>
              <w:rPr>
                <w:rFonts w:ascii="Times New Roman" w:hAnsi="Times New Roman"/>
                <w:b w:val="0"/>
                <w:i w:val="0"/>
                <w:sz w:val="24"/>
              </w:rPr>
              <w:t>ingest-esu</w:t>
            </w:r>
          </w:p>
        </w:tc>
        <w:tc>
          <w:tcPr>
            <w:tcW w:type="dxa" w:w="3120"/>
          </w:tcPr>
          <w:p>
            <w:pPr>
              <w:spacing w:after="0" w:line="240" w:lineRule="auto"/>
              <w:jc w:val="center"/>
            </w:pPr>
            <w:r/>
            <w:r>
              <w:rPr>
                <w:rFonts w:ascii="Times New Roman" w:hAnsi="Times New Roman"/>
                <w:b w:val="0"/>
                <w:i w:val="0"/>
                <w:sz w:val="24"/>
              </w:rPr>
              <w:t>Cron daily</w:t>
            </w:r>
          </w:p>
        </w:tc>
        <w:tc>
          <w:tcPr>
            <w:tcW w:type="dxa" w:w="3120"/>
          </w:tcPr>
          <w:p>
            <w:pPr>
              <w:spacing w:after="0" w:line="240" w:lineRule="auto"/>
              <w:jc w:val="center"/>
            </w:pPr>
            <w:r/>
            <w:r>
              <w:rPr>
                <w:rFonts w:ascii="Times New Roman" w:hAnsi="Times New Roman"/>
                <w:b w:val="0"/>
                <w:i w:val="0"/>
                <w:sz w:val="24"/>
              </w:rPr>
              <w:t>Regional ESU page check, outbreak rows, POST ingest/esu</w:t>
            </w:r>
          </w:p>
        </w:tc>
      </w:tr>
      <w:tr>
        <w:tc>
          <w:tcPr>
            <w:tcW w:type="dxa" w:w="3120"/>
          </w:tcPr>
          <w:p>
            <w:pPr>
              <w:spacing w:after="0" w:line="240" w:lineRule="auto"/>
              <w:jc w:val="center"/>
            </w:pPr>
            <w:r/>
            <w:r>
              <w:rPr>
                <w:rFonts w:ascii="Times New Roman" w:hAnsi="Times New Roman"/>
                <w:b w:val="0"/>
                <w:i w:val="0"/>
                <w:sz w:val="24"/>
              </w:rPr>
              <w:t>forecast-orchestrator</w:t>
            </w:r>
          </w:p>
        </w:tc>
        <w:tc>
          <w:tcPr>
            <w:tcW w:type="dxa" w:w="3120"/>
          </w:tcPr>
          <w:p>
            <w:pPr>
              <w:spacing w:after="0" w:line="240" w:lineRule="auto"/>
              <w:jc w:val="center"/>
            </w:pPr>
            <w:r/>
            <w:r>
              <w:rPr>
                <w:rFonts w:ascii="Times New Roman" w:hAnsi="Times New Roman"/>
                <w:b w:val="0"/>
                <w:i w:val="0"/>
                <w:sz w:val="24"/>
              </w:rPr>
              <w:t>Webhook on fresh ground truth</w:t>
            </w:r>
          </w:p>
        </w:tc>
        <w:tc>
          <w:tcPr>
            <w:tcW w:type="dxa" w:w="3120"/>
          </w:tcPr>
          <w:p>
            <w:pPr>
              <w:spacing w:after="0" w:line="240" w:lineRule="auto"/>
              <w:jc w:val="center"/>
            </w:pPr>
            <w:r/>
            <w:r>
              <w:rPr>
                <w:rFonts w:ascii="Times New Roman" w:hAnsi="Times New Roman"/>
                <w:b w:val="0"/>
                <w:i w:val="0"/>
                <w:sz w:val="24"/>
              </w:rPr>
              <w:t>POST forecast/run per affected group, poll run status</w:t>
            </w:r>
          </w:p>
        </w:tc>
      </w:tr>
      <w:tr>
        <w:tc>
          <w:tcPr>
            <w:tcW w:type="dxa" w:w="3120"/>
          </w:tcPr>
          <w:p>
            <w:pPr>
              <w:spacing w:after="0" w:line="240" w:lineRule="auto"/>
              <w:jc w:val="center"/>
            </w:pPr>
            <w:r/>
            <w:r>
              <w:rPr>
                <w:rFonts w:ascii="Times New Roman" w:hAnsi="Times New Roman"/>
                <w:b w:val="0"/>
                <w:i w:val="0"/>
                <w:sz w:val="24"/>
              </w:rPr>
              <w:t>alert-fanout</w:t>
            </w:r>
          </w:p>
        </w:tc>
        <w:tc>
          <w:tcPr>
            <w:tcW w:type="dxa" w:w="3120"/>
          </w:tcPr>
          <w:p>
            <w:pPr>
              <w:spacing w:after="0" w:line="240" w:lineRule="auto"/>
              <w:jc w:val="center"/>
            </w:pPr>
            <w:r/>
            <w:r>
              <w:rPr>
                <w:rFonts w:ascii="Times New Roman" w:hAnsi="Times New Roman"/>
                <w:b w:val="0"/>
                <w:i w:val="0"/>
                <w:sz w:val="24"/>
              </w:rPr>
              <w:t>Backend webhook on threshold breach</w:t>
            </w:r>
          </w:p>
        </w:tc>
        <w:tc>
          <w:tcPr>
            <w:tcW w:type="dxa" w:w="3120"/>
          </w:tcPr>
          <w:p>
            <w:pPr>
              <w:spacing w:after="0" w:line="240" w:lineRule="auto"/>
              <w:jc w:val="center"/>
            </w:pPr>
            <w:r/>
            <w:r>
              <w:rPr>
                <w:rFonts w:ascii="Times New Roman" w:hAnsi="Times New Roman"/>
                <w:b w:val="0"/>
                <w:i w:val="0"/>
                <w:sz w:val="24"/>
              </w:rPr>
              <w:t>SMS plus email plus SignalR broadcast via backend</w:t>
            </w:r>
          </w:p>
        </w:tc>
      </w:tr>
      <w:tr>
        <w:tc>
          <w:tcPr>
            <w:tcW w:type="dxa" w:w="3120"/>
          </w:tcPr>
          <w:p>
            <w:pPr>
              <w:spacing w:after="0" w:line="240" w:lineRule="auto"/>
              <w:jc w:val="center"/>
            </w:pPr>
            <w:r/>
            <w:r>
              <w:rPr>
                <w:rFonts w:ascii="Times New Roman" w:hAnsi="Times New Roman"/>
                <w:b w:val="0"/>
                <w:i w:val="0"/>
                <w:sz w:val="24"/>
              </w:rPr>
              <w:t>rag-reindex</w:t>
            </w:r>
          </w:p>
        </w:tc>
        <w:tc>
          <w:tcPr>
            <w:tcW w:type="dxa" w:w="3120"/>
          </w:tcPr>
          <w:p>
            <w:pPr>
              <w:spacing w:after="0" w:line="240" w:lineRule="auto"/>
              <w:jc w:val="center"/>
            </w:pPr>
            <w:r/>
            <w:r>
              <w:rPr>
                <w:rFonts w:ascii="Times New Roman" w:hAnsi="Times New Roman"/>
                <w:b w:val="0"/>
                <w:i w:val="0"/>
                <w:sz w:val="24"/>
              </w:rPr>
              <w:t>Cron weekly plus manual</w:t>
            </w:r>
          </w:p>
        </w:tc>
        <w:tc>
          <w:tcPr>
            <w:tcW w:type="dxa" w:w="3120"/>
          </w:tcPr>
          <w:p>
            <w:pPr>
              <w:spacing w:after="0" w:line="240" w:lineRule="auto"/>
              <w:jc w:val="center"/>
            </w:pPr>
            <w:r/>
            <w:r>
              <w:rPr>
                <w:rFonts w:ascii="Times New Roman" w:hAnsi="Times New Roman"/>
                <w:b w:val="0"/>
                <w:i w:val="0"/>
                <w:sz w:val="24"/>
              </w:rPr>
              <w:t>Corpus diff, POST rag/reindex, verify citation sample</w:t>
            </w:r>
          </w:p>
        </w:tc>
      </w:tr>
      <w:tr>
        <w:tc>
          <w:tcPr>
            <w:tcW w:type="dxa" w:w="3120"/>
          </w:tcPr>
          <w:p>
            <w:pPr>
              <w:spacing w:after="0" w:line="240" w:lineRule="auto"/>
              <w:jc w:val="center"/>
            </w:pPr>
            <w:r/>
            <w:r>
              <w:rPr>
                <w:rFonts w:ascii="Times New Roman" w:hAnsi="Times New Roman"/>
                <w:b w:val="0"/>
                <w:i w:val="0"/>
                <w:sz w:val="24"/>
              </w:rPr>
              <w:t>edge-sync-notify</w:t>
            </w:r>
          </w:p>
        </w:tc>
        <w:tc>
          <w:tcPr>
            <w:tcW w:type="dxa" w:w="3120"/>
          </w:tcPr>
          <w:p>
            <w:pPr>
              <w:spacing w:after="0" w:line="240" w:lineRule="auto"/>
              <w:jc w:val="center"/>
            </w:pPr>
            <w:r/>
            <w:r>
              <w:rPr>
                <w:rFonts w:ascii="Times New Roman" w:hAnsi="Times New Roman"/>
                <w:b w:val="0"/>
                <w:i w:val="0"/>
                <w:sz w:val="24"/>
              </w:rPr>
              <w:t>Cron every 5 min</w:t>
            </w:r>
          </w:p>
        </w:tc>
        <w:tc>
          <w:tcPr>
            <w:tcW w:type="dxa" w:w="3120"/>
          </w:tcPr>
          <w:p>
            <w:pPr>
              <w:spacing w:after="0" w:line="240" w:lineRule="auto"/>
              <w:jc w:val="center"/>
            </w:pPr>
            <w:r/>
            <w:r>
              <w:rPr>
                <w:rFonts w:ascii="Times New Roman" w:hAnsi="Times New Roman"/>
                <w:b w:val="0"/>
                <w:i w:val="0"/>
                <w:sz w:val="24"/>
              </w:rPr>
              <w:t>Publish delta manifests for edge pull on reconnect</w:t>
            </w:r>
          </w:p>
        </w:tc>
      </w:tr>
      <w:tr>
        <w:tc>
          <w:tcPr>
            <w:tcW w:type="dxa" w:w="3120"/>
          </w:tcPr>
          <w:p>
            <w:pPr>
              <w:spacing w:after="0" w:line="240" w:lineRule="auto"/>
              <w:jc w:val="center"/>
            </w:pPr>
            <w:r/>
            <w:r>
              <w:rPr>
                <w:rFonts w:ascii="Times New Roman" w:hAnsi="Times New Roman"/>
                <w:b w:val="0"/>
                <w:i w:val="0"/>
                <w:sz w:val="24"/>
              </w:rPr>
              <w:t>failure-handler</w:t>
            </w:r>
          </w:p>
        </w:tc>
        <w:tc>
          <w:tcPr>
            <w:tcW w:type="dxa" w:w="3120"/>
          </w:tcPr>
          <w:p>
            <w:pPr>
              <w:spacing w:after="0" w:line="240" w:lineRule="auto"/>
              <w:jc w:val="center"/>
            </w:pPr>
            <w:r/>
            <w:r>
              <w:rPr>
                <w:rFonts w:ascii="Times New Roman" w:hAnsi="Times New Roman"/>
                <w:b w:val="0"/>
                <w:i w:val="0"/>
                <w:sz w:val="24"/>
              </w:rPr>
              <w:t>Error trigger</w:t>
            </w:r>
          </w:p>
        </w:tc>
        <w:tc>
          <w:tcPr>
            <w:tcW w:type="dxa" w:w="3120"/>
          </w:tcPr>
          <w:p>
            <w:pPr>
              <w:spacing w:after="0" w:line="240" w:lineRule="auto"/>
              <w:jc w:val="center"/>
            </w:pPr>
            <w:r/>
            <w:r>
              <w:rPr>
                <w:rFonts w:ascii="Times New Roman" w:hAnsi="Times New Roman"/>
                <w:b w:val="0"/>
                <w:i w:val="0"/>
                <w:sz w:val="24"/>
              </w:rPr>
              <w:t>Retry with backoff, dead-letter row, admin alert</w:t>
            </w:r>
          </w:p>
        </w:tc>
      </w:tr>
    </w:tbl>
    <w:p>
      <w:pPr>
        <w:spacing w:after="120" w:line="480" w:lineRule="auto"/>
      </w:pPr>
      <w:r>
        <w:rPr>
          <w:rFonts w:ascii="Times New Roman" w:hAnsi="Times New Roman"/>
          <w:b w:val="0"/>
          <w:i w:val="0"/>
          <w:sz w:val="24"/>
        </w:rPr>
      </w:r>
    </w:p>
    <w:p>
      <w:pPr>
        <w:spacing w:after="0" w:line="480" w:lineRule="auto"/>
        <w:ind w:firstLine="720"/>
        <w:jc w:val="both"/>
      </w:pPr>
      <w:r>
        <w:rPr>
          <w:rFonts w:ascii="Times New Roman" w:hAnsi="Times New Roman"/>
          <w:b w:val="0"/>
          <w:i w:val="0"/>
          <w:sz w:val="24"/>
        </w:rPr>
        <w:t>As shown in Table 6, feed pollers are independent and idempotent by source key, so replays never duplicate cases. The forecast orchestrator fires only when ground-truth workflows succeed, keeping GPU and worker cost proportional to new data. The failure handler retries transient faults with backoff and parks poison payloads in a dead-letter table with an admin alert, satisfying the no-silent-failure rule.</w:t>
      </w:r>
    </w:p>
    <w:p>
      <w:pPr>
        <w:spacing w:after="0" w:line="480" w:lineRule="auto"/>
        <w:ind w:firstLine="720"/>
        <w:jc w:val="both"/>
      </w:pPr>
      <w:r>
        <w:rPr>
          <w:rFonts w:ascii="Times New Roman" w:hAnsi="Times New Roman"/>
          <w:b w:val="0"/>
          <w:i w:val="0"/>
          <w:sz w:val="24"/>
        </w:rPr>
        <w:t>Public API Usage. Workflow lifecycle is managed through GET, POST, PATCH, and DELETE on /api/v1/workflows, activation through POST /api/v1/workflows per id per activate and deactivate, execution history through GET /api/v1/executions, and manual or webhook triggering per workflow settings. The frontend system screen embeds deep links of the form http://localhost:5678/workflow per id per executions for operator drill-down, while audit rows in the backend record every trigger, payload hash, and outcome for traceability.</w:t>
      </w:r>
    </w:p>
    <w:p>
      <w:pPr>
        <w:spacing w:after="80" w:line="480" w:lineRule="auto"/>
        <w:jc w:val="left"/>
      </w:pPr>
      <w:r>
        <w:rPr>
          <w:rFonts w:ascii="Times New Roman" w:hAnsi="Times New Roman"/>
          <w:b/>
          <w:i w:val="0"/>
          <w:sz w:val="24"/>
        </w:rPr>
        <w:t>Data, Realtime, and Offline Protocols</w:t>
      </w:r>
    </w:p>
    <w:p>
      <w:pPr>
        <w:spacing w:after="0" w:line="480" w:lineRule="auto"/>
        <w:ind w:firstLine="720"/>
        <w:jc w:val="both"/>
      </w:pPr>
      <w:r>
        <w:rPr>
          <w:rFonts w:ascii="Times New Roman" w:hAnsi="Times New Roman"/>
          <w:b w:val="0"/>
          <w:i w:val="0"/>
          <w:sz w:val="24"/>
        </w:rPr>
        <w:t>Contracts and Realtime. Request and response shapes are fixed once: ApiResponse with success, code, message, and data; paginated results with items, total, page, and page size; forecast outlooks carrying disease, municipality, horizon week, probability, confidence band, driver attributions, and guideline references; RAG answers carrying answer text plus document, chapter, and page citations. SignalR topics follow forecast per disease per municipality, alert per municipality, and riskmaps per province patterns with reconnect and resubscribe handled by the SignalR contexts.</w:t>
      </w:r>
    </w:p>
    <w:p>
      <w:pPr>
        <w:spacing w:after="0" w:line="480" w:lineRule="auto"/>
        <w:ind w:firstLine="720"/>
        <w:jc w:val="both"/>
      </w:pPr>
      <w:r>
        <w:rPr>
          <w:rFonts w:ascii="Times New Roman" w:hAnsi="Times New Roman"/>
          <w:b w:val="0"/>
          <w:i w:val="0"/>
          <w:sz w:val="24"/>
        </w:rPr>
        <w:t>Offline and Edge Protocol. Offline writes queue in the browser core client and in the edge SQLite outbox with client-generated idempotency keys; on reconnect the edge pulls the delta manifest published by n8n, applies server-wins merges for reference data and client-wins with conflict flags for field reports, drains the outbox through the standard API routes, and confirms with per-item acknowledgements. The RAG index ships as a versioned SQLite artifact rebuilt by the reindex workflow, so retrieval latency stays under the 500 millisecond budget with zero cloud dependence.</w:t>
      </w:r>
    </w:p>
    <w:p>
      <w:pPr>
        <w:spacing w:after="80" w:line="480" w:lineRule="auto"/>
        <w:jc w:val="left"/>
      </w:pPr>
      <w:r>
        <w:rPr>
          <w:rFonts w:ascii="Times New Roman" w:hAnsi="Times New Roman"/>
          <w:b/>
          <w:i w:val="0"/>
          <w:sz w:val="24"/>
        </w:rPr>
        <w:t>Security, Testing, and Deployment</w:t>
      </w:r>
    </w:p>
    <w:p>
      <w:pPr>
        <w:spacing w:after="0" w:line="480" w:lineRule="auto"/>
        <w:ind w:firstLine="720"/>
        <w:jc w:val="both"/>
      </w:pPr>
      <w:r>
        <w:rPr>
          <w:rFonts w:ascii="Times New Roman" w:hAnsi="Times New Roman"/>
          <w:b w:val="0"/>
          <w:i w:val="0"/>
          <w:sz w:val="24"/>
        </w:rPr>
        <w:t>Security Posture. Authentication uses short-lived JSON Web Tokens with the reference 24-hour session discipline and hard logout on expiry; authorization checks permission strings at the router guard and again at the controller filter, so neither tier trusts the other. Automation endpoints require the cron key, webhook signatures are verified, the n8n API key is stored server-side only, uploads are type-checked and scanned, and the system ingests zero personally identifiable information with aggregate municipality centroids only, preserving Data Privacy Act compliance. Encrypted columns follow the reference encrypted get and set convention.</w:t>
      </w:r>
    </w:p>
    <w:p>
      <w:pPr>
        <w:spacing w:after="0" w:line="480" w:lineRule="auto"/>
        <w:ind w:firstLine="720"/>
        <w:jc w:val="both"/>
      </w:pPr>
      <w:r>
        <w:rPr>
          <w:rFonts w:ascii="Times New Roman" w:hAnsi="Times New Roman"/>
          <w:b w:val="0"/>
          <w:i w:val="0"/>
          <w:sz w:val="24"/>
        </w:rPr>
        <w:t>Testing Discipline. The Tests project covers Get and Edit tools per domain with seeded in-memory or containerized MySQL fixtures, controller tests assert guard and envelope behavior, and migration tests pin the Tbl and Vw conventions. The frontend runs type checking with no emit, unit tests for view-model transforms and helpers, and end-to-end runs for the forecast-to-playbook-to-alert path. Each n8n workflow carries a manual trigger with fixture payloads and an expected ingestion acknowledgement, and the failure handler is chaos-tested by replaying duplicate and malformed payloads.</w:t>
      </w:r>
    </w:p>
    <w:p>
      <w:pPr>
        <w:spacing w:after="0" w:line="480" w:lineRule="auto"/>
        <w:ind w:firstLine="720"/>
        <w:jc w:val="both"/>
      </w:pPr>
      <w:r>
        <w:rPr>
          <w:rFonts w:ascii="Times New Roman" w:hAnsi="Times New Roman"/>
          <w:b w:val="0"/>
          <w:i w:val="0"/>
          <w:sz w:val="24"/>
        </w:rPr>
        <w:t>Deployment Topology. Central deployment hosts the API, MySQL, Redis, the Vite static bundle, and n8n behind reverse proxy with TLS; each pilot RHU appliance runs the single-file API, the same Vite bundle, and SQLite with the RAG artifact on 8 GB fanless hardware with battery backup. Milestone 1 delivers the ten pipelines plus the RAG database, Milestone 2 commissions appliances and trains staff, and Milestone 3 completes peak-season validation with the accuracy, latency, sync, and staff-hour metrics defined in the System Overview.</w:t>
      </w:r>
    </w:p>
    <w:p>
      <w:pPr>
        <w:spacing w:after="120" w:line="480" w:lineRule="auto"/>
        <w:ind w:left="720" w:hanging="720"/>
        <w:jc w:val="both"/>
      </w:pPr>
      <w:r>
        <w:rPr>
          <w:rFonts w:ascii="Times New Roman" w:hAnsi="Times New Roman"/>
          <w:b w:val="0"/>
          <w:i w:val="0"/>
          <w:sz w:val="24"/>
        </w:rPr>
        <w:t>CellWeGo Admin Frontend. (2026). ARCHITECTURE_LOGIC.md: feature-sliced React 19 and Vite 7 architecture logic (internal, D:\SILLAG-Project-1\system).</w:t>
      </w:r>
    </w:p>
    <w:p>
      <w:pPr>
        <w:spacing w:after="120" w:line="480" w:lineRule="auto"/>
        <w:ind w:left="720" w:hanging="720"/>
        <w:jc w:val="both"/>
      </w:pPr>
      <w:r>
        <w:rPr>
          <w:rFonts w:ascii="Times New Roman" w:hAnsi="Times New Roman"/>
          <w:b w:val="0"/>
          <w:i w:val="0"/>
          <w:sz w:val="24"/>
        </w:rPr>
        <w:t>CellWeGo Backend. (2026). API README: Entity Framework Core conventions, migrations, and publish profiles (internal, D:\cellwego\Backend).</w:t>
      </w:r>
    </w:p>
    <w:p>
      <w:pPr>
        <w:spacing w:after="120" w:line="480" w:lineRule="auto"/>
        <w:ind w:left="720" w:hanging="720"/>
        <w:jc w:val="both"/>
      </w:pPr>
      <w:r>
        <w:rPr>
          <w:rFonts w:ascii="Times New Roman" w:hAnsi="Times New Roman"/>
          <w:b w:val="0"/>
          <w:i w:val="0"/>
          <w:sz w:val="24"/>
        </w:rPr>
        <w:t>n8n. (2026). n8n public API documentation: workflows, executions, and X-N8N-API-KEY authentication. https://docs.n8n.io/api/.</w:t>
      </w:r>
    </w:p>
    <w:sectPr w:rsidR="00FC693F" w:rsidRPr="0006063C" w:rsidSect="00034616">
      <w:pgSz w:w="12240" w:h="15840"/>
      <w:pgMar w:top="1440" w:right="1440" w:bottom="1440" w:left="1440" w:header="720" w:footer="720" w:gutter="0"/>
      <w:cols w:space="720"/>
      <w:docGrid w:linePitch="360"/>
    </w:sectPr>
    <w:p>
      <w:pPr>
        <w:spacing w:after="120" w:line="480" w:lineRule="auto"/>
        <w:jc w:val="center"/>
      </w:pPr>
      <w:r>
        <w:rPr>
          <w:rFonts w:ascii="Times New Roman" w:hAnsi="Times New Roman"/>
          <w:b/>
          <w:i w:val="0"/>
          <w:sz w:val="24"/>
        </w:rPr>
        <w:t>LITERATURE CITED</w:t>
      </w:r>
    </w:p>
    <w:p>
      <w:pPr>
        <w:spacing w:after="120" w:line="480" w:lineRule="auto"/>
        <w:ind w:left="720" w:hanging="720"/>
        <w:jc w:val="both"/>
      </w:pPr>
      <w:r>
        <w:rPr>
          <w:rFonts w:ascii="Times New Roman" w:hAnsi="Times New Roman"/>
          <w:b w:val="0"/>
          <w:i w:val="0"/>
          <w:sz w:val="24"/>
        </w:rPr>
        <w:t xml:space="preserve">Blantyre typhoid study. (2022). Rainfall anomalies and typhoid fever in Blantyre, Malawi. </w:t>
      </w:r>
      <w:r>
        <w:rPr>
          <w:rFonts w:ascii="Times New Roman" w:hAnsi="Times New Roman"/>
          <w:b w:val="0"/>
          <w:i/>
          <w:sz w:val="24"/>
        </w:rPr>
        <w:t>PLoS Neglected Tropical Diseases</w:t>
      </w:r>
      <w:r>
        <w:rPr>
          <w:rFonts w:ascii="Times New Roman" w:hAnsi="Times New Roman"/>
          <w:b w:val="0"/>
          <w:i w:val="0"/>
          <w:sz w:val="24"/>
        </w:rPr>
        <w:t>.</w:t>
      </w:r>
    </w:p>
    <w:p>
      <w:pPr>
        <w:spacing w:after="120" w:line="480" w:lineRule="auto"/>
        <w:ind w:left="720" w:hanging="720"/>
        <w:jc w:val="both"/>
      </w:pPr>
      <w:r>
        <w:rPr>
          <w:rFonts w:ascii="Times New Roman" w:hAnsi="Times New Roman"/>
          <w:b w:val="0"/>
          <w:i w:val="0"/>
          <w:sz w:val="24"/>
        </w:rPr>
        <w:t xml:space="preserve">Dey, S. K., Rahman, M. M., Howlader, A., Siddiqi, U. R., Uddin, K. M. M., &amp; Borhan, R. (2022). Prediction of dengue incidents using hospitalized patients, metrological and socio-economic data in Bangladesh: A machine learning approach. </w:t>
      </w:r>
      <w:r>
        <w:rPr>
          <w:rFonts w:ascii="Times New Roman" w:hAnsi="Times New Roman"/>
          <w:b w:val="0"/>
          <w:i/>
          <w:sz w:val="24"/>
        </w:rPr>
        <w:t>PLoS ONE, 17</w:t>
      </w:r>
      <w:r>
        <w:rPr>
          <w:rFonts w:ascii="Times New Roman" w:hAnsi="Times New Roman"/>
          <w:b w:val="0"/>
          <w:i w:val="0"/>
          <w:sz w:val="24"/>
        </w:rPr>
        <w:t>(7), e0270933.</w:t>
      </w:r>
    </w:p>
    <w:p>
      <w:pPr>
        <w:spacing w:after="120" w:line="480" w:lineRule="auto"/>
        <w:ind w:left="720" w:hanging="720"/>
        <w:jc w:val="both"/>
      </w:pPr>
      <w:r>
        <w:rPr>
          <w:rFonts w:ascii="Times New Roman" w:hAnsi="Times New Roman"/>
          <w:b w:val="0"/>
          <w:i w:val="0"/>
          <w:sz w:val="24"/>
        </w:rPr>
        <w:t xml:space="preserve">Eisenberg, M. C., Robertson, S. L., &amp; Tien, J. H. (2013). Identifiability and estimation of multiple transmission pathways in cholera and waterborne disease. </w:t>
      </w:r>
      <w:r>
        <w:rPr>
          <w:rFonts w:ascii="Times New Roman" w:hAnsi="Times New Roman"/>
          <w:b w:val="0"/>
          <w:i/>
          <w:sz w:val="24"/>
        </w:rPr>
        <w:t>Journal of Theoretical Biology, 324</w:t>
      </w:r>
      <w:r>
        <w:rPr>
          <w:rFonts w:ascii="Times New Roman" w:hAnsi="Times New Roman"/>
          <w:b w:val="0"/>
          <w:i w:val="0"/>
          <w:sz w:val="24"/>
        </w:rPr>
        <w:t>, 84–102.</w:t>
      </w:r>
    </w:p>
    <w:p>
      <w:pPr>
        <w:spacing w:after="120" w:line="480" w:lineRule="auto"/>
        <w:ind w:left="720" w:hanging="720"/>
        <w:jc w:val="both"/>
      </w:pPr>
      <w:r>
        <w:rPr>
          <w:rFonts w:ascii="Times New Roman" w:hAnsi="Times New Roman"/>
          <w:b w:val="0"/>
          <w:i w:val="0"/>
          <w:sz w:val="24"/>
        </w:rPr>
        <w:t xml:space="preserve">Gentile, D., et al. (2025). Air Quality Index as a predictor of respiratory morbidity in at-risk populations. </w:t>
      </w:r>
      <w:r>
        <w:rPr>
          <w:rFonts w:ascii="Times New Roman" w:hAnsi="Times New Roman"/>
          <w:b w:val="0"/>
          <w:i/>
          <w:sz w:val="24"/>
        </w:rPr>
        <w:t>International Journal of Environmental Research and Public Health, 22</w:t>
      </w:r>
      <w:r>
        <w:rPr>
          <w:rFonts w:ascii="Times New Roman" w:hAnsi="Times New Roman"/>
          <w:b w:val="0"/>
          <w:i w:val="0"/>
          <w:sz w:val="24"/>
        </w:rPr>
        <w:t>(10), 1493.</w:t>
      </w:r>
    </w:p>
    <w:p>
      <w:pPr>
        <w:spacing w:after="120" w:line="480" w:lineRule="auto"/>
        <w:ind w:left="720" w:hanging="720"/>
        <w:jc w:val="both"/>
      </w:pPr>
      <w:r>
        <w:rPr>
          <w:rFonts w:ascii="Times New Roman" w:hAnsi="Times New Roman"/>
          <w:b w:val="0"/>
          <w:i w:val="0"/>
          <w:sz w:val="24"/>
        </w:rPr>
        <w:t xml:space="preserve">Kakarla, S. G., Kondeti, P. K., Vavilala, H. P., et al. (2023). Weather integrated multiple machine learning models for prediction of dengue prevalence in India. </w:t>
      </w:r>
      <w:r>
        <w:rPr>
          <w:rFonts w:ascii="Times New Roman" w:hAnsi="Times New Roman"/>
          <w:b w:val="0"/>
          <w:i/>
          <w:sz w:val="24"/>
        </w:rPr>
        <w:t>International Journal of Biometeorology, 67</w:t>
      </w:r>
      <w:r>
        <w:rPr>
          <w:rFonts w:ascii="Times New Roman" w:hAnsi="Times New Roman"/>
          <w:b w:val="0"/>
          <w:i w:val="0"/>
          <w:sz w:val="24"/>
        </w:rPr>
        <w:t>, 285–297.</w:t>
      </w:r>
    </w:p>
    <w:p>
      <w:pPr>
        <w:spacing w:after="120" w:line="480" w:lineRule="auto"/>
        <w:ind w:left="720" w:hanging="720"/>
        <w:jc w:val="both"/>
      </w:pPr>
      <w:r>
        <w:rPr>
          <w:rFonts w:ascii="Times New Roman" w:hAnsi="Times New Roman"/>
          <w:b w:val="0"/>
          <w:i w:val="0"/>
          <w:sz w:val="24"/>
        </w:rPr>
        <w:t xml:space="preserve">Leung, X. Y., Islam, R., Adhami, M., Ilić, D., McDonald, L., Palawaththa, S., et al. (2023). A systematic review of dengue outbreak prediction models. </w:t>
      </w:r>
      <w:r>
        <w:rPr>
          <w:rFonts w:ascii="Times New Roman" w:hAnsi="Times New Roman"/>
          <w:b w:val="0"/>
          <w:i/>
          <w:sz w:val="24"/>
        </w:rPr>
        <w:t>PLoS Neglected Tropical Diseases</w:t>
      </w:r>
      <w:r>
        <w:rPr>
          <w:rFonts w:ascii="Times New Roman" w:hAnsi="Times New Roman"/>
          <w:b w:val="0"/>
          <w:i w:val="0"/>
          <w:sz w:val="24"/>
        </w:rPr>
        <w:t>.</w:t>
      </w:r>
    </w:p>
    <w:p>
      <w:pPr>
        <w:spacing w:after="120" w:line="480" w:lineRule="auto"/>
        <w:ind w:left="720" w:hanging="720"/>
        <w:jc w:val="both"/>
      </w:pPr>
      <w:r>
        <w:rPr>
          <w:rFonts w:ascii="Times New Roman" w:hAnsi="Times New Roman"/>
          <w:b w:val="0"/>
          <w:i w:val="0"/>
          <w:sz w:val="24"/>
        </w:rPr>
        <w:t xml:space="preserve">Nguyen, V.-H., Hanh, T. T. T., Mulhall, J., Minh, H. V., Duong, T. Q., Chien, N. V., et al. (2022). Deep learning models for forecasting dengue fever based on climate data in Vietnam. </w:t>
      </w:r>
      <w:r>
        <w:rPr>
          <w:rFonts w:ascii="Times New Roman" w:hAnsi="Times New Roman"/>
          <w:b w:val="0"/>
          <w:i/>
          <w:sz w:val="24"/>
        </w:rPr>
        <w:t>PLoS Neglected Tropical Diseases, 16</w:t>
      </w:r>
      <w:r>
        <w:rPr>
          <w:rFonts w:ascii="Times New Roman" w:hAnsi="Times New Roman"/>
          <w:b w:val="0"/>
          <w:i w:val="0"/>
          <w:sz w:val="24"/>
        </w:rPr>
        <w:t>(6), e0010509.</w:t>
      </w:r>
    </w:p>
    <w:p>
      <w:pPr>
        <w:spacing w:after="120" w:line="480" w:lineRule="auto"/>
        <w:ind w:left="720" w:hanging="720"/>
        <w:jc w:val="both"/>
      </w:pPr>
      <w:r>
        <w:rPr>
          <w:rFonts w:ascii="Times New Roman" w:hAnsi="Times New Roman"/>
          <w:b w:val="0"/>
          <w:i w:val="0"/>
          <w:sz w:val="24"/>
        </w:rPr>
        <w:t>Philippine Department of Health. (2026). EDCS-IS vs. Health Alert—Competitive comparison analysis (internal).</w:t>
      </w:r>
    </w:p>
    <w:p>
      <w:pPr>
        <w:spacing w:after="120" w:line="480" w:lineRule="auto"/>
        <w:ind w:left="720" w:hanging="720"/>
        <w:jc w:val="both"/>
      </w:pPr>
      <w:r>
        <w:rPr>
          <w:rFonts w:ascii="Times New Roman" w:hAnsi="Times New Roman"/>
          <w:b w:val="0"/>
          <w:i w:val="0"/>
          <w:sz w:val="24"/>
        </w:rPr>
        <w:t>Philippine Department of Health. (2026). Health Alert data sources recommendation: Recommended data sources for automated surveillance (technical).</w:t>
      </w:r>
    </w:p>
    <w:p>
      <w:pPr>
        <w:spacing w:after="120" w:line="480" w:lineRule="auto"/>
        <w:ind w:left="720" w:hanging="720"/>
        <w:jc w:val="both"/>
      </w:pPr>
      <w:r>
        <w:rPr>
          <w:rFonts w:ascii="Times New Roman" w:hAnsi="Times New Roman"/>
          <w:b w:val="0"/>
          <w:i w:val="0"/>
          <w:sz w:val="24"/>
        </w:rPr>
        <w:t xml:space="preserve">Preis, T., et al. (2014). Adaptive nowcasting of influenza outbreaks using Google searches. </w:t>
      </w:r>
      <w:r>
        <w:rPr>
          <w:rFonts w:ascii="Times New Roman" w:hAnsi="Times New Roman"/>
          <w:b w:val="0"/>
          <w:i/>
          <w:sz w:val="24"/>
        </w:rPr>
        <w:t>Royal Society Open Science, 1</w:t>
      </w:r>
      <w:r>
        <w:rPr>
          <w:rFonts w:ascii="Times New Roman" w:hAnsi="Times New Roman"/>
          <w:b w:val="0"/>
          <w:i w:val="0"/>
          <w:sz w:val="24"/>
        </w:rPr>
        <w:t>(2), 140095.</w:t>
      </w:r>
    </w:p>
    <w:p>
      <w:pPr>
        <w:spacing w:after="120" w:line="480" w:lineRule="auto"/>
        <w:ind w:left="720" w:hanging="720"/>
        <w:jc w:val="both"/>
      </w:pPr>
      <w:r>
        <w:rPr>
          <w:rFonts w:ascii="Times New Roman" w:hAnsi="Times New Roman"/>
          <w:b w:val="0"/>
          <w:i w:val="0"/>
          <w:sz w:val="24"/>
        </w:rPr>
        <w:t xml:space="preserve">Rangarajan, P., Mody, S. K., &amp; Marathe, M. (2019). Forecasting dengue and influenza incidences using a sparse representation of Google Trends, electronic health records, and time series data. </w:t>
      </w:r>
      <w:r>
        <w:rPr>
          <w:rFonts w:ascii="Times New Roman" w:hAnsi="Times New Roman"/>
          <w:b w:val="0"/>
          <w:i/>
          <w:sz w:val="24"/>
        </w:rPr>
        <w:t>PLoS Computational Biology, 15</w:t>
      </w:r>
      <w:r>
        <w:rPr>
          <w:rFonts w:ascii="Times New Roman" w:hAnsi="Times New Roman"/>
          <w:b w:val="0"/>
          <w:i w:val="0"/>
          <w:sz w:val="24"/>
        </w:rPr>
        <w:t>(11), e1007518.</w:t>
      </w:r>
    </w:p>
    <w:p>
      <w:pPr>
        <w:spacing w:after="120" w:line="480" w:lineRule="auto"/>
        <w:ind w:left="720" w:hanging="720"/>
        <w:jc w:val="both"/>
      </w:pPr>
      <w:r>
        <w:rPr>
          <w:rFonts w:ascii="Times New Roman" w:hAnsi="Times New Roman"/>
          <w:b w:val="0"/>
          <w:i w:val="0"/>
          <w:sz w:val="24"/>
        </w:rPr>
        <w:t xml:space="preserve">Rinaldo, A., et al. (2012). Reassessment of the 2010–2011 Haiti cholera outbreak and rainfall-driven multiseason projections. </w:t>
      </w:r>
      <w:r>
        <w:rPr>
          <w:rFonts w:ascii="Times New Roman" w:hAnsi="Times New Roman"/>
          <w:b w:val="0"/>
          <w:i/>
          <w:sz w:val="24"/>
        </w:rPr>
        <w:t>Proceedings of the National Academy of Sciences, 109</w:t>
      </w:r>
      <w:r>
        <w:rPr>
          <w:rFonts w:ascii="Times New Roman" w:hAnsi="Times New Roman"/>
          <w:b w:val="0"/>
          <w:i w:val="0"/>
          <w:sz w:val="24"/>
        </w:rPr>
        <w:t>(17), 6602–6607.</w:t>
      </w:r>
    </w:p>
    <w:p>
      <w:pPr>
        <w:spacing w:after="120" w:line="480" w:lineRule="auto"/>
        <w:ind w:left="720" w:hanging="720"/>
        <w:jc w:val="both"/>
      </w:pPr>
      <w:r>
        <w:rPr>
          <w:rFonts w:ascii="Times New Roman" w:hAnsi="Times New Roman"/>
          <w:b w:val="0"/>
          <w:i w:val="0"/>
          <w:sz w:val="24"/>
        </w:rPr>
        <w:t xml:space="preserve">Sakamoto, T., et al. (2018). The non-linear and lagged short-term relationship between rainfall and leptospirosis and the intermediate role of floods in the Philippines. </w:t>
      </w:r>
      <w:r>
        <w:rPr>
          <w:rFonts w:ascii="Times New Roman" w:hAnsi="Times New Roman"/>
          <w:b w:val="0"/>
          <w:i/>
          <w:sz w:val="24"/>
        </w:rPr>
        <w:t>PLoS Neglected Tropical Diseases</w:t>
      </w:r>
      <w:r>
        <w:rPr>
          <w:rFonts w:ascii="Times New Roman" w:hAnsi="Times New Roman"/>
          <w:b w:val="0"/>
          <w:i w:val="0"/>
          <w:sz w:val="24"/>
        </w:rPr>
        <w:t>.</w:t>
      </w:r>
    </w:p>
    <w:p>
      <w:pPr>
        <w:spacing w:after="120" w:line="480" w:lineRule="auto"/>
        <w:ind w:left="720" w:hanging="720"/>
        <w:jc w:val="both"/>
      </w:pPr>
      <w:r>
        <w:rPr>
          <w:rFonts w:ascii="Times New Roman" w:hAnsi="Times New Roman"/>
          <w:b w:val="0"/>
          <w:i w:val="0"/>
          <w:sz w:val="24"/>
        </w:rPr>
        <w:t>Serban, O., et al. (2019). Real-time processing of social media with SENTINEL: A syndromic surveillance system incorporating deep learning for health classification.</w:t>
      </w:r>
    </w:p>
    <w:p>
      <w:pPr>
        <w:spacing w:after="120" w:line="480" w:lineRule="auto"/>
        <w:ind w:left="720" w:hanging="720"/>
        <w:jc w:val="both"/>
      </w:pPr>
      <w:r>
        <w:rPr>
          <w:rFonts w:ascii="Times New Roman" w:hAnsi="Times New Roman"/>
          <w:b w:val="0"/>
          <w:i w:val="0"/>
          <w:sz w:val="24"/>
        </w:rPr>
        <w:t xml:space="preserve">Sumi, A., Telan, E. F. O., Chagan-Yasutan, H., Piolo, M. B., Hattori, T., &amp; Kobayashi, N. (2016). Effect of temperature, relative humidity and rainfall on dengue fever and leptospirosis infections in Manila, the Philippines. </w:t>
      </w:r>
      <w:r>
        <w:rPr>
          <w:rFonts w:ascii="Times New Roman" w:hAnsi="Times New Roman"/>
          <w:b w:val="0"/>
          <w:i/>
          <w:sz w:val="24"/>
        </w:rPr>
        <w:t>Epidemiology and Infection</w:t>
      </w:r>
      <w:r>
        <w:rPr>
          <w:rFonts w:ascii="Times New Roman" w:hAnsi="Times New Roman"/>
          <w:b w:val="0"/>
          <w:i w:val="0"/>
          <w:sz w:val="24"/>
        </w:rPr>
        <w:t>.</w:t>
      </w:r>
    </w:p>
    <w:p>
      <w:pPr>
        <w:spacing w:after="120" w:line="480" w:lineRule="auto"/>
        <w:ind w:left="720" w:hanging="720"/>
        <w:jc w:val="both"/>
      </w:pPr>
      <w:r>
        <w:rPr>
          <w:rFonts w:ascii="Times New Roman" w:hAnsi="Times New Roman"/>
          <w:b w:val="0"/>
          <w:i w:val="0"/>
          <w:sz w:val="24"/>
        </w:rPr>
        <w:t>Team Health-Nology. (2026). Health Alert concept note and presentation deck (Philippine Startup Challenge XI) and project scope and framework documents (HEALTH-INTEL-PSD-2026).</w:t>
      </w:r>
    </w:p>
    <w:p>
      <w:pPr>
        <w:spacing w:after="120" w:line="480" w:lineRule="auto"/>
        <w:ind w:left="720" w:hanging="720"/>
        <w:jc w:val="both"/>
      </w:pPr>
      <w:r>
        <w:rPr>
          <w:rFonts w:ascii="Times New Roman" w:hAnsi="Times New Roman"/>
          <w:b w:val="0"/>
          <w:i w:val="0"/>
          <w:sz w:val="24"/>
        </w:rPr>
        <w:t xml:space="preserve">Thapen, N., Simmie, D., Hankin, C., &amp; Gillard, J. (2016). DEFENDER: Detecting and forecasting epidemics using novel data-analytics for enhanced response. </w:t>
      </w:r>
      <w:r>
        <w:rPr>
          <w:rFonts w:ascii="Times New Roman" w:hAnsi="Times New Roman"/>
          <w:b w:val="0"/>
          <w:i/>
          <w:sz w:val="24"/>
        </w:rPr>
        <w:t>PLoS ONE, 11</w:t>
      </w:r>
      <w:r>
        <w:rPr>
          <w:rFonts w:ascii="Times New Roman" w:hAnsi="Times New Roman"/>
          <w:b w:val="0"/>
          <w:i w:val="0"/>
          <w:sz w:val="24"/>
        </w:rPr>
        <w:t>(5), e0155417.</w:t>
      </w:r>
    </w:p>
    <w:p>
      <w:pPr>
        <w:spacing w:after="120" w:line="480" w:lineRule="auto"/>
        <w:ind w:left="720" w:hanging="720"/>
        <w:jc w:val="both"/>
      </w:pPr>
      <w:r>
        <w:rPr>
          <w:rFonts w:ascii="Times New Roman" w:hAnsi="Times New Roman"/>
          <w:b w:val="0"/>
          <w:i w:val="0"/>
          <w:sz w:val="24"/>
        </w:rPr>
        <w:t xml:space="preserve">Yang, S., Santillana, M., &amp; Kou, S. C. (2015). Accurate estimation of influenza epidemics using Google search data via ARGO. </w:t>
      </w:r>
      <w:r>
        <w:rPr>
          <w:rFonts w:ascii="Times New Roman" w:hAnsi="Times New Roman"/>
          <w:b w:val="0"/>
          <w:i/>
          <w:sz w:val="24"/>
        </w:rPr>
        <w:t>Proceedings of the National Academy of Sciences, 112</w:t>
      </w:r>
      <w:r>
        <w:rPr>
          <w:rFonts w:ascii="Times New Roman" w:hAnsi="Times New Roman"/>
          <w:b w:val="0"/>
          <w:i w:val="0"/>
          <w:sz w:val="24"/>
        </w:rPr>
        <w:t>(47), 14473–14478.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