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BBD6" w14:textId="77777777" w:rsidR="001F340B" w:rsidRDefault="00A73F00">
      <w:pPr>
        <w:numPr>
          <w:ilvl w:val="0"/>
          <w:numId w:val="2"/>
        </w:numPr>
        <w:pBdr>
          <w:top w:val="nil"/>
          <w:left w:val="nil"/>
          <w:bottom w:val="nil"/>
          <w:right w:val="nil"/>
          <w:between w:val="nil"/>
        </w:pBdr>
        <w:tabs>
          <w:tab w:val="left" w:pos="7589"/>
          <w:tab w:val="left" w:pos="9279"/>
        </w:tabs>
        <w:spacing w:after="0" w:line="240" w:lineRule="auto"/>
        <w:ind w:left="270" w:hanging="270"/>
        <w:jc w:val="both"/>
        <w:rPr>
          <w:rFonts w:ascii="Arial" w:eastAsia="Arial" w:hAnsi="Arial" w:cs="Arial"/>
          <w:color w:val="000000"/>
          <w:sz w:val="20"/>
          <w:szCs w:val="20"/>
        </w:rPr>
      </w:pPr>
      <w:r>
        <w:rPr>
          <w:rFonts w:ascii="Arial" w:eastAsia="Arial" w:hAnsi="Arial" w:cs="Arial"/>
          <w:color w:val="000000"/>
          <w:sz w:val="20"/>
          <w:szCs w:val="20"/>
        </w:rPr>
        <w:t>PROJECT PROFILE</w:t>
      </w:r>
    </w:p>
    <w:p w14:paraId="02A3BBD7" w14:textId="77777777" w:rsidR="001F340B" w:rsidRDefault="001F340B">
      <w:pPr>
        <w:tabs>
          <w:tab w:val="left" w:pos="7589"/>
          <w:tab w:val="left" w:pos="9279"/>
        </w:tabs>
        <w:spacing w:after="0" w:line="240" w:lineRule="auto"/>
        <w:jc w:val="both"/>
        <w:rPr>
          <w:rFonts w:ascii="Arial" w:eastAsia="Arial" w:hAnsi="Arial" w:cs="Arial"/>
          <w:sz w:val="20"/>
          <w:szCs w:val="20"/>
        </w:rPr>
      </w:pPr>
    </w:p>
    <w:tbl>
      <w:tblPr>
        <w:tblStyle w:val="a"/>
        <w:tblW w:w="877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0"/>
        <w:gridCol w:w="5784"/>
      </w:tblGrid>
      <w:tr w:rsidR="001F340B" w14:paraId="02A3BBDA" w14:textId="77777777">
        <w:trPr>
          <w:trHeight w:val="576"/>
        </w:trPr>
        <w:tc>
          <w:tcPr>
            <w:tcW w:w="2990" w:type="dxa"/>
          </w:tcPr>
          <w:p w14:paraId="02A3BBD8" w14:textId="77777777" w:rsidR="001F340B" w:rsidRDefault="00A73F00">
            <w:pPr>
              <w:numPr>
                <w:ilvl w:val="0"/>
                <w:numId w:val="1"/>
              </w:numPr>
              <w:pBdr>
                <w:top w:val="nil"/>
                <w:left w:val="nil"/>
                <w:bottom w:val="nil"/>
                <w:right w:val="nil"/>
                <w:between w:val="nil"/>
              </w:pBdr>
              <w:spacing w:after="0" w:line="240" w:lineRule="auto"/>
              <w:ind w:left="345"/>
              <w:jc w:val="both"/>
              <w:rPr>
                <w:rFonts w:ascii="Arial" w:eastAsia="Arial" w:hAnsi="Arial" w:cs="Arial"/>
                <w:color w:val="000000"/>
                <w:sz w:val="20"/>
                <w:szCs w:val="20"/>
              </w:rPr>
            </w:pPr>
            <w:r>
              <w:rPr>
                <w:rFonts w:ascii="Arial" w:eastAsia="Arial" w:hAnsi="Arial" w:cs="Arial"/>
                <w:b/>
                <w:bCs/>
                <w:color w:val="000000"/>
                <w:sz w:val="20"/>
                <w:szCs w:val="20"/>
              </w:rPr>
              <w:t>Project Title</w:t>
            </w:r>
          </w:p>
        </w:tc>
        <w:tc>
          <w:tcPr>
            <w:tcW w:w="5784" w:type="dxa"/>
          </w:tcPr>
          <w:p w14:paraId="02A3BBD9" w14:textId="77777777" w:rsidR="001F340B" w:rsidRDefault="00A73F00">
            <w:pPr>
              <w:spacing w:after="0" w:line="240" w:lineRule="auto"/>
              <w:rPr>
                <w:rFonts w:ascii="Arial" w:eastAsia="Arial" w:hAnsi="Arial" w:cs="Arial"/>
                <w:color w:val="000000"/>
                <w:sz w:val="20"/>
                <w:szCs w:val="20"/>
              </w:rPr>
            </w:pPr>
            <w:proofErr w:type="spellStart"/>
            <w:r>
              <w:rPr>
                <w:rFonts w:ascii="Arial" w:eastAsia="Arial" w:hAnsi="Arial" w:cs="Arial"/>
                <w:sz w:val="20"/>
                <w:szCs w:val="20"/>
              </w:rPr>
              <w:t>BantayHealthAI</w:t>
            </w:r>
            <w:proofErr w:type="spellEnd"/>
            <w:r>
              <w:rPr>
                <w:rFonts w:ascii="Arial" w:eastAsia="Arial" w:hAnsi="Arial" w:cs="Arial"/>
                <w:sz w:val="20"/>
                <w:szCs w:val="20"/>
              </w:rPr>
              <w:t>: Development of an AI-Powered Public Health Surveillance and Predictive Analytics System for Disease Monitoring in Region I</w:t>
            </w:r>
          </w:p>
        </w:tc>
      </w:tr>
      <w:tr w:rsidR="001F340B" w14:paraId="02A3BBDE" w14:textId="77777777">
        <w:trPr>
          <w:trHeight w:val="576"/>
        </w:trPr>
        <w:tc>
          <w:tcPr>
            <w:tcW w:w="2990" w:type="dxa"/>
          </w:tcPr>
          <w:p w14:paraId="02A3BBDB"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color w:val="000000"/>
                <w:sz w:val="20"/>
                <w:szCs w:val="20"/>
              </w:rPr>
            </w:pPr>
            <w:r>
              <w:rPr>
                <w:rFonts w:ascii="Arial" w:eastAsia="Arial" w:hAnsi="Arial" w:cs="Arial"/>
                <w:b/>
                <w:bCs/>
                <w:color w:val="000000"/>
                <w:sz w:val="20"/>
                <w:szCs w:val="20"/>
              </w:rPr>
              <w:t>Project Duration</w:t>
            </w:r>
            <w:r>
              <w:rPr>
                <w:rFonts w:ascii="Arial" w:eastAsia="Arial" w:hAnsi="Arial" w:cs="Arial"/>
                <w:b/>
                <w:bCs/>
                <w:i/>
                <w:iCs/>
                <w:color w:val="000000"/>
                <w:sz w:val="20"/>
                <w:szCs w:val="20"/>
              </w:rPr>
              <w:t xml:space="preserve"> </w:t>
            </w:r>
          </w:p>
        </w:tc>
        <w:tc>
          <w:tcPr>
            <w:tcW w:w="5784" w:type="dxa"/>
          </w:tcPr>
          <w:p w14:paraId="02A3BBDC" w14:textId="77777777" w:rsidR="001F340B" w:rsidRDefault="00A73F00">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 xml:space="preserve"> January 3, 2028 – December 31, 2029</w:t>
            </w:r>
          </w:p>
          <w:p w14:paraId="02A3BBDD" w14:textId="77777777" w:rsidR="001F340B" w:rsidRDefault="001F340B">
            <w:pPr>
              <w:pBdr>
                <w:top w:val="nil"/>
                <w:left w:val="nil"/>
                <w:bottom w:val="nil"/>
                <w:right w:val="nil"/>
                <w:between w:val="nil"/>
              </w:pBdr>
              <w:spacing w:after="0" w:line="240" w:lineRule="auto"/>
              <w:jc w:val="both"/>
              <w:rPr>
                <w:rFonts w:ascii="Arial" w:eastAsia="Arial" w:hAnsi="Arial" w:cs="Arial"/>
                <w:color w:val="000000"/>
                <w:sz w:val="20"/>
                <w:szCs w:val="20"/>
              </w:rPr>
            </w:pPr>
          </w:p>
        </w:tc>
      </w:tr>
      <w:tr w:rsidR="001F340B" w14:paraId="02A3BBE3" w14:textId="77777777">
        <w:trPr>
          <w:trHeight w:val="576"/>
        </w:trPr>
        <w:tc>
          <w:tcPr>
            <w:tcW w:w="2990" w:type="dxa"/>
          </w:tcPr>
          <w:p w14:paraId="02A3BBDF"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color w:val="000000"/>
                <w:sz w:val="20"/>
                <w:szCs w:val="20"/>
              </w:rPr>
            </w:pPr>
            <w:r>
              <w:rPr>
                <w:rFonts w:ascii="Arial" w:eastAsia="Arial" w:hAnsi="Arial" w:cs="Arial"/>
                <w:b/>
                <w:bCs/>
                <w:color w:val="000000"/>
                <w:sz w:val="20"/>
                <w:szCs w:val="20"/>
              </w:rPr>
              <w:t>Estimated Budgetary Requirement</w:t>
            </w:r>
          </w:p>
        </w:tc>
        <w:tc>
          <w:tcPr>
            <w:tcW w:w="5784" w:type="dxa"/>
          </w:tcPr>
          <w:p w14:paraId="02A3BBE0" w14:textId="2EEBD83F" w:rsidR="001F340B" w:rsidRDefault="00A73F00">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w:t>
            </w:r>
            <w:r w:rsidR="0084466C" w:rsidRPr="0084466C">
              <w:rPr>
                <w:rFonts w:ascii="Arial" w:eastAsia="Arial" w:hAnsi="Arial" w:cs="Arial"/>
                <w:sz w:val="20"/>
                <w:szCs w:val="20"/>
              </w:rPr>
              <w:t>3,688,868.00</w:t>
            </w:r>
          </w:p>
          <w:p w14:paraId="02A3BBE1" w14:textId="77777777" w:rsidR="001F340B" w:rsidRDefault="001F340B">
            <w:pPr>
              <w:pBdr>
                <w:top w:val="nil"/>
                <w:left w:val="nil"/>
                <w:bottom w:val="nil"/>
                <w:right w:val="nil"/>
                <w:between w:val="nil"/>
              </w:pBdr>
              <w:spacing w:after="0" w:line="240" w:lineRule="auto"/>
              <w:jc w:val="both"/>
              <w:rPr>
                <w:rFonts w:ascii="Arial" w:eastAsia="Arial" w:hAnsi="Arial" w:cs="Arial"/>
                <w:sz w:val="20"/>
                <w:szCs w:val="20"/>
              </w:rPr>
            </w:pPr>
          </w:p>
          <w:p w14:paraId="02A3BBE2" w14:textId="77777777" w:rsidR="001F340B" w:rsidRDefault="001F340B">
            <w:pPr>
              <w:pBdr>
                <w:top w:val="nil"/>
                <w:left w:val="nil"/>
                <w:bottom w:val="nil"/>
                <w:right w:val="nil"/>
                <w:between w:val="nil"/>
              </w:pBdr>
              <w:spacing w:after="0" w:line="240" w:lineRule="auto"/>
              <w:jc w:val="both"/>
              <w:rPr>
                <w:rFonts w:ascii="Arial" w:eastAsia="Arial" w:hAnsi="Arial" w:cs="Arial"/>
                <w:color w:val="000000"/>
                <w:sz w:val="20"/>
                <w:szCs w:val="20"/>
              </w:rPr>
            </w:pPr>
          </w:p>
        </w:tc>
      </w:tr>
      <w:tr w:rsidR="001F340B" w14:paraId="02A3BBE6" w14:textId="77777777">
        <w:trPr>
          <w:trHeight w:val="576"/>
        </w:trPr>
        <w:tc>
          <w:tcPr>
            <w:tcW w:w="2990" w:type="dxa"/>
          </w:tcPr>
          <w:p w14:paraId="02A3BBE4"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color w:val="000000"/>
                <w:sz w:val="20"/>
                <w:szCs w:val="20"/>
              </w:rPr>
            </w:pPr>
            <w:r>
              <w:rPr>
                <w:rFonts w:ascii="Arial" w:eastAsia="Arial" w:hAnsi="Arial" w:cs="Arial"/>
                <w:b/>
                <w:bCs/>
                <w:color w:val="000000"/>
                <w:sz w:val="20"/>
                <w:szCs w:val="20"/>
              </w:rPr>
              <w:t>Implementing Agency</w:t>
            </w:r>
          </w:p>
        </w:tc>
        <w:tc>
          <w:tcPr>
            <w:tcW w:w="5784" w:type="dxa"/>
          </w:tcPr>
          <w:p w14:paraId="02A3BBE5"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Don Mariano Marcos Memorial State University – South La Union Campus</w:t>
            </w:r>
          </w:p>
        </w:tc>
      </w:tr>
      <w:tr w:rsidR="001F340B" w14:paraId="02A3BBE9" w14:textId="77777777">
        <w:trPr>
          <w:trHeight w:val="576"/>
        </w:trPr>
        <w:tc>
          <w:tcPr>
            <w:tcW w:w="2990" w:type="dxa"/>
          </w:tcPr>
          <w:p w14:paraId="02A3BBE7"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Co-implementing Agencies:</w:t>
            </w:r>
          </w:p>
        </w:tc>
        <w:tc>
          <w:tcPr>
            <w:tcW w:w="5784" w:type="dxa"/>
          </w:tcPr>
          <w:p w14:paraId="02A3BBE8" w14:textId="77777777" w:rsidR="001F340B" w:rsidRDefault="001F340B">
            <w:pPr>
              <w:spacing w:after="0" w:line="240" w:lineRule="auto"/>
              <w:rPr>
                <w:rFonts w:ascii="Arial" w:eastAsia="Arial" w:hAnsi="Arial" w:cs="Arial"/>
                <w:sz w:val="20"/>
                <w:szCs w:val="20"/>
              </w:rPr>
            </w:pPr>
          </w:p>
        </w:tc>
      </w:tr>
      <w:tr w:rsidR="001F340B" w14:paraId="02A3BBEC" w14:textId="77777777">
        <w:trPr>
          <w:trHeight w:val="576"/>
        </w:trPr>
        <w:tc>
          <w:tcPr>
            <w:tcW w:w="2990" w:type="dxa"/>
          </w:tcPr>
          <w:p w14:paraId="02A3BBEA"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Cooperating Agencies</w:t>
            </w:r>
          </w:p>
        </w:tc>
        <w:tc>
          <w:tcPr>
            <w:tcW w:w="5784" w:type="dxa"/>
          </w:tcPr>
          <w:p w14:paraId="02A3BBEB"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Department of Health – Regional Office I</w:t>
            </w:r>
          </w:p>
        </w:tc>
      </w:tr>
      <w:tr w:rsidR="001F340B" w14:paraId="02A3BBF0" w14:textId="77777777">
        <w:trPr>
          <w:trHeight w:val="576"/>
        </w:trPr>
        <w:tc>
          <w:tcPr>
            <w:tcW w:w="2990" w:type="dxa"/>
          </w:tcPr>
          <w:p w14:paraId="02A3BBED"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Site(s) of Implementation</w:t>
            </w:r>
          </w:p>
        </w:tc>
        <w:tc>
          <w:tcPr>
            <w:tcW w:w="5784" w:type="dxa"/>
          </w:tcPr>
          <w:p w14:paraId="02A3BBEE"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 xml:space="preserve">Department of Health - Regional Office I; Provincial Health Offices (La Union); </w:t>
            </w:r>
            <w:proofErr w:type="spellStart"/>
            <w:r>
              <w:rPr>
                <w:rFonts w:ascii="Arial" w:eastAsia="Arial" w:hAnsi="Arial" w:cs="Arial"/>
                <w:sz w:val="20"/>
                <w:szCs w:val="20"/>
              </w:rPr>
              <w:t>Ilocos</w:t>
            </w:r>
            <w:proofErr w:type="spellEnd"/>
            <w:r>
              <w:rPr>
                <w:rFonts w:ascii="Arial" w:eastAsia="Arial" w:hAnsi="Arial" w:cs="Arial"/>
                <w:sz w:val="20"/>
                <w:szCs w:val="20"/>
              </w:rPr>
              <w:t xml:space="preserve"> Training and Regional Medical Center; La Union Medical Center; Municipal Health Offices (</w:t>
            </w:r>
            <w:proofErr w:type="spellStart"/>
            <w:r>
              <w:rPr>
                <w:rFonts w:ascii="Arial" w:eastAsia="Arial" w:hAnsi="Arial" w:cs="Arial"/>
                <w:sz w:val="20"/>
                <w:szCs w:val="20"/>
              </w:rPr>
              <w:t>Agoo</w:t>
            </w:r>
            <w:proofErr w:type="spellEnd"/>
            <w:r>
              <w:rPr>
                <w:rFonts w:ascii="Arial" w:eastAsia="Arial" w:hAnsi="Arial" w:cs="Arial"/>
                <w:sz w:val="20"/>
                <w:szCs w:val="20"/>
              </w:rPr>
              <w:t xml:space="preserve">, </w:t>
            </w:r>
            <w:proofErr w:type="spellStart"/>
            <w:r>
              <w:rPr>
                <w:rFonts w:ascii="Arial" w:eastAsia="Arial" w:hAnsi="Arial" w:cs="Arial"/>
                <w:sz w:val="20"/>
                <w:szCs w:val="20"/>
              </w:rPr>
              <w:t>Aringay</w:t>
            </w:r>
            <w:proofErr w:type="spellEnd"/>
            <w:r>
              <w:rPr>
                <w:rFonts w:ascii="Arial" w:eastAsia="Arial" w:hAnsi="Arial" w:cs="Arial"/>
                <w:sz w:val="20"/>
                <w:szCs w:val="20"/>
              </w:rPr>
              <w:t>)</w:t>
            </w:r>
          </w:p>
          <w:p w14:paraId="02A3BBEF" w14:textId="77777777" w:rsidR="001F340B" w:rsidRDefault="001F340B">
            <w:pPr>
              <w:spacing w:after="0" w:line="240" w:lineRule="auto"/>
              <w:rPr>
                <w:rFonts w:ascii="Arial" w:eastAsia="Arial" w:hAnsi="Arial" w:cs="Arial"/>
                <w:sz w:val="20"/>
                <w:szCs w:val="20"/>
              </w:rPr>
            </w:pPr>
          </w:p>
        </w:tc>
      </w:tr>
      <w:tr w:rsidR="001F340B" w14:paraId="02A3BBF3" w14:textId="77777777">
        <w:trPr>
          <w:trHeight w:val="576"/>
        </w:trPr>
        <w:tc>
          <w:tcPr>
            <w:tcW w:w="2990" w:type="dxa"/>
          </w:tcPr>
          <w:p w14:paraId="02A3BBF1"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Type of Research</w:t>
            </w:r>
          </w:p>
        </w:tc>
        <w:tc>
          <w:tcPr>
            <w:tcW w:w="5784" w:type="dxa"/>
          </w:tcPr>
          <w:p w14:paraId="02A3BBF2" w14:textId="77777777" w:rsidR="001F340B" w:rsidRDefault="00A73F00">
            <w:pPr>
              <w:pBdr>
                <w:top w:val="nil"/>
                <w:left w:val="nil"/>
                <w:bottom w:val="nil"/>
                <w:right w:val="nil"/>
                <w:between w:val="nil"/>
              </w:pBdr>
              <w:spacing w:after="0" w:line="240" w:lineRule="auto"/>
              <w:rPr>
                <w:rFonts w:ascii="Arial" w:eastAsia="Arial" w:hAnsi="Arial" w:cs="Arial"/>
                <w:color w:val="EE0000"/>
                <w:sz w:val="20"/>
                <w:szCs w:val="20"/>
              </w:rPr>
            </w:pPr>
            <w:r>
              <w:rPr>
                <w:rFonts w:ascii="Arial" w:eastAsia="Arial" w:hAnsi="Arial" w:cs="Arial"/>
                <w:sz w:val="20"/>
                <w:szCs w:val="20"/>
              </w:rPr>
              <w:t>Applied</w:t>
            </w:r>
          </w:p>
        </w:tc>
      </w:tr>
      <w:tr w:rsidR="001F340B" w14:paraId="02A3BBF6" w14:textId="77777777">
        <w:trPr>
          <w:trHeight w:val="576"/>
        </w:trPr>
        <w:tc>
          <w:tcPr>
            <w:tcW w:w="2990" w:type="dxa"/>
          </w:tcPr>
          <w:p w14:paraId="02A3BBF4"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HNRDA</w:t>
            </w:r>
          </w:p>
        </w:tc>
        <w:tc>
          <w:tcPr>
            <w:tcW w:w="5784" w:type="dxa"/>
          </w:tcPr>
          <w:p w14:paraId="02A3BBF5"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Health-National Unified Health Research Agenda (NUHRA)</w:t>
            </w:r>
          </w:p>
        </w:tc>
      </w:tr>
      <w:tr w:rsidR="001F340B" w14:paraId="02A3BBF9" w14:textId="77777777">
        <w:trPr>
          <w:trHeight w:val="576"/>
        </w:trPr>
        <w:tc>
          <w:tcPr>
            <w:tcW w:w="2990" w:type="dxa"/>
          </w:tcPr>
          <w:p w14:paraId="02A3BBF7"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HNRDA Item</w:t>
            </w:r>
          </w:p>
        </w:tc>
        <w:tc>
          <w:tcPr>
            <w:tcW w:w="5784" w:type="dxa"/>
          </w:tcPr>
          <w:p w14:paraId="02A3BBF8"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ICT for Health Program</w:t>
            </w:r>
          </w:p>
        </w:tc>
      </w:tr>
      <w:tr w:rsidR="001F340B" w14:paraId="02A3BBFF" w14:textId="77777777">
        <w:trPr>
          <w:trHeight w:val="576"/>
        </w:trPr>
        <w:tc>
          <w:tcPr>
            <w:tcW w:w="2990" w:type="dxa"/>
          </w:tcPr>
          <w:p w14:paraId="02A3BBFA"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SDG Addressed:</w:t>
            </w:r>
          </w:p>
        </w:tc>
        <w:tc>
          <w:tcPr>
            <w:tcW w:w="5784" w:type="dxa"/>
          </w:tcPr>
          <w:p w14:paraId="02A3BBFB"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Good Health and Well-Being</w:t>
            </w:r>
          </w:p>
          <w:p w14:paraId="02A3BBFC"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Industry, Innovation and Infrastructure</w:t>
            </w:r>
          </w:p>
          <w:p w14:paraId="02A3BBFD"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Sustainable Cities and Communities</w:t>
            </w:r>
          </w:p>
          <w:p w14:paraId="02A3BBFE"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Partnerships to achieve the Goal</w:t>
            </w:r>
          </w:p>
        </w:tc>
      </w:tr>
      <w:tr w:rsidR="001F340B" w14:paraId="02A3BC02" w14:textId="77777777">
        <w:trPr>
          <w:trHeight w:val="576"/>
        </w:trPr>
        <w:tc>
          <w:tcPr>
            <w:tcW w:w="2990" w:type="dxa"/>
          </w:tcPr>
          <w:p w14:paraId="02A3BC00"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8-Point Socio-Economic Agenda</w:t>
            </w:r>
          </w:p>
        </w:tc>
        <w:tc>
          <w:tcPr>
            <w:tcW w:w="5784" w:type="dxa"/>
          </w:tcPr>
          <w:p w14:paraId="02A3BC01"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Healthcare</w:t>
            </w:r>
          </w:p>
        </w:tc>
      </w:tr>
      <w:tr w:rsidR="001F340B" w14:paraId="02A3BC05" w14:textId="77777777">
        <w:trPr>
          <w:trHeight w:val="576"/>
        </w:trPr>
        <w:tc>
          <w:tcPr>
            <w:tcW w:w="2990" w:type="dxa"/>
          </w:tcPr>
          <w:p w14:paraId="02A3BC03"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DOST Portfolio:</w:t>
            </w:r>
          </w:p>
        </w:tc>
        <w:tc>
          <w:tcPr>
            <w:tcW w:w="5784" w:type="dxa"/>
          </w:tcPr>
          <w:p w14:paraId="02A3BC04"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Research and Development</w:t>
            </w:r>
          </w:p>
        </w:tc>
      </w:tr>
      <w:tr w:rsidR="001F340B" w14:paraId="02A3BC08" w14:textId="77777777">
        <w:trPr>
          <w:trHeight w:val="576"/>
        </w:trPr>
        <w:tc>
          <w:tcPr>
            <w:tcW w:w="2990" w:type="dxa"/>
          </w:tcPr>
          <w:p w14:paraId="02A3BC06"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DOST Pillars</w:t>
            </w:r>
          </w:p>
        </w:tc>
        <w:tc>
          <w:tcPr>
            <w:tcW w:w="5784" w:type="dxa"/>
          </w:tcPr>
          <w:p w14:paraId="02A3BC07"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Human Well-being Promoted</w:t>
            </w:r>
          </w:p>
        </w:tc>
      </w:tr>
      <w:tr w:rsidR="001F340B" w14:paraId="02A3BC0B" w14:textId="77777777">
        <w:trPr>
          <w:trHeight w:val="576"/>
        </w:trPr>
        <w:tc>
          <w:tcPr>
            <w:tcW w:w="2990" w:type="dxa"/>
          </w:tcPr>
          <w:p w14:paraId="02A3BC09" w14:textId="77777777" w:rsidR="001F340B" w:rsidRDefault="00A73F00">
            <w:pPr>
              <w:numPr>
                <w:ilvl w:val="0"/>
                <w:numId w:val="1"/>
              </w:numPr>
              <w:pBdr>
                <w:top w:val="nil"/>
                <w:left w:val="nil"/>
                <w:bottom w:val="nil"/>
                <w:right w:val="nil"/>
                <w:between w:val="nil"/>
              </w:pBdr>
              <w:spacing w:after="0" w:line="240" w:lineRule="auto"/>
              <w:ind w:left="345"/>
              <w:rPr>
                <w:rFonts w:ascii="Arial" w:eastAsia="Arial" w:hAnsi="Arial" w:cs="Arial"/>
                <w:b/>
                <w:bCs/>
                <w:color w:val="000000"/>
                <w:sz w:val="20"/>
                <w:szCs w:val="20"/>
              </w:rPr>
            </w:pPr>
            <w:r>
              <w:rPr>
                <w:rFonts w:ascii="Arial" w:eastAsia="Arial" w:hAnsi="Arial" w:cs="Arial"/>
                <w:b/>
                <w:bCs/>
                <w:color w:val="000000"/>
                <w:sz w:val="20"/>
                <w:szCs w:val="20"/>
              </w:rPr>
              <w:t>Priority Areas</w:t>
            </w:r>
          </w:p>
        </w:tc>
        <w:tc>
          <w:tcPr>
            <w:tcW w:w="5784" w:type="dxa"/>
          </w:tcPr>
          <w:p w14:paraId="02A3BC0A" w14:textId="77777777" w:rsidR="001F340B" w:rsidRDefault="00A73F00">
            <w:pPr>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Health and Well-being</w:t>
            </w:r>
          </w:p>
        </w:tc>
      </w:tr>
    </w:tbl>
    <w:p w14:paraId="02A3BC0C" w14:textId="77777777" w:rsidR="001F340B" w:rsidRDefault="001F340B">
      <w:pPr>
        <w:tabs>
          <w:tab w:val="left" w:pos="7589"/>
          <w:tab w:val="left" w:pos="9279"/>
        </w:tabs>
        <w:spacing w:after="0" w:line="240" w:lineRule="auto"/>
        <w:jc w:val="both"/>
        <w:rPr>
          <w:rFonts w:ascii="Arial" w:eastAsia="Arial" w:hAnsi="Arial" w:cs="Arial"/>
          <w:sz w:val="20"/>
          <w:szCs w:val="20"/>
        </w:rPr>
      </w:pPr>
    </w:p>
    <w:p w14:paraId="02A3BC0D" w14:textId="77777777" w:rsidR="001F340B" w:rsidRDefault="001F340B">
      <w:pPr>
        <w:tabs>
          <w:tab w:val="left" w:pos="7589"/>
          <w:tab w:val="left" w:pos="9279"/>
        </w:tabs>
        <w:spacing w:after="0" w:line="240" w:lineRule="auto"/>
        <w:jc w:val="both"/>
        <w:rPr>
          <w:rFonts w:ascii="Arial" w:eastAsia="Arial" w:hAnsi="Arial" w:cs="Arial"/>
          <w:sz w:val="20"/>
          <w:szCs w:val="20"/>
        </w:rPr>
      </w:pPr>
    </w:p>
    <w:p w14:paraId="02A3BC0E" w14:textId="77777777" w:rsidR="001F340B" w:rsidRDefault="00A73F00">
      <w:pPr>
        <w:numPr>
          <w:ilvl w:val="0"/>
          <w:numId w:val="2"/>
        </w:numPr>
        <w:pBdr>
          <w:top w:val="nil"/>
          <w:left w:val="nil"/>
          <w:bottom w:val="nil"/>
          <w:right w:val="nil"/>
          <w:between w:val="nil"/>
        </w:pBdr>
        <w:tabs>
          <w:tab w:val="left" w:pos="7589"/>
          <w:tab w:val="left" w:pos="9279"/>
        </w:tabs>
        <w:spacing w:after="0" w:line="240" w:lineRule="auto"/>
        <w:ind w:left="270" w:hanging="270"/>
        <w:jc w:val="both"/>
        <w:rPr>
          <w:rFonts w:ascii="Arial" w:eastAsia="Arial" w:hAnsi="Arial" w:cs="Arial"/>
          <w:color w:val="000000"/>
          <w:sz w:val="20"/>
          <w:szCs w:val="20"/>
        </w:rPr>
      </w:pPr>
      <w:r>
        <w:rPr>
          <w:rFonts w:ascii="Arial" w:eastAsia="Arial" w:hAnsi="Arial" w:cs="Arial"/>
          <w:color w:val="000000"/>
          <w:sz w:val="20"/>
          <w:szCs w:val="20"/>
        </w:rPr>
        <w:t>EXECUTIVE SUMMARY</w:t>
      </w:r>
    </w:p>
    <w:tbl>
      <w:tblPr>
        <w:tblStyle w:val="a0"/>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19" w14:textId="77777777">
        <w:tc>
          <w:tcPr>
            <w:tcW w:w="8746" w:type="dxa"/>
          </w:tcPr>
          <w:p w14:paraId="02A3BC0F" w14:textId="77777777"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Infectious diseases continue to pose significant public health challenges in the Philippines. Periodic outbreaks of both endemic and emerging diseases place considerable strain on healthcare systems and threaten the well-being of communities. Rapid urbanization, increased population mobility, environmental changes, and evolving pathogens have made disease monitoring and response more complex. Although the Department of Health (DOH) operates national disease surveillance systems, many monitoring processes still rely on retrospective </w:t>
            </w:r>
            <w:r>
              <w:rPr>
                <w:rFonts w:ascii="Arial" w:eastAsia="Arial" w:hAnsi="Arial" w:cs="Arial"/>
                <w:color w:val="000000"/>
                <w:sz w:val="20"/>
                <w:szCs w:val="20"/>
              </w:rPr>
              <w:lastRenderedPageBreak/>
              <w:t>reporting and manual data analysis. These limitations can delay the detection of disease trends and reduce the ability of health authorities to respond quickly to potential outbreaks.</w:t>
            </w:r>
          </w:p>
          <w:p w14:paraId="02A3BC10" w14:textId="77777777"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r>
              <w:rPr>
                <w:rFonts w:ascii="Arial" w:eastAsia="Arial" w:hAnsi="Arial" w:cs="Arial"/>
                <w:color w:val="000000"/>
                <w:sz w:val="20"/>
                <w:szCs w:val="20"/>
              </w:rPr>
              <w:t>Recent developments in artificial intelligence (AI) and predictive analytics offer promising opportunities to strengthen disease surveillance and improve outbreak preparedness. AI technologies can analyze large volumes of epidemiological data and related indicators to identify patterns, detect emerging trends, and forecast disease outbreaks before they escalate. Beyond traditional surveillance data, AI systems can also integrate diverse information sources such as social media signals, crowdsourced health reports, clinical records, workplace health indicators, and health information systems. By combining multiple data streams, AI-driven analytics can provide a more comprehensive and timely understanding of disease dynamics, enabling earlier detection of health threats and more informed public health responses.</w:t>
            </w:r>
          </w:p>
          <w:p w14:paraId="02A3BC11" w14:textId="77777777"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r>
              <w:rPr>
                <w:rFonts w:ascii="Arial" w:eastAsia="Arial" w:hAnsi="Arial" w:cs="Arial"/>
                <w:color w:val="000000"/>
                <w:sz w:val="20"/>
                <w:szCs w:val="20"/>
              </w:rPr>
              <w:t>In Region I (</w:t>
            </w:r>
            <w:proofErr w:type="spellStart"/>
            <w:r>
              <w:rPr>
                <w:rFonts w:ascii="Arial" w:eastAsia="Arial" w:hAnsi="Arial" w:cs="Arial"/>
                <w:color w:val="000000"/>
                <w:sz w:val="20"/>
                <w:szCs w:val="20"/>
              </w:rPr>
              <w:t>Ilocos</w:t>
            </w:r>
            <w:proofErr w:type="spellEnd"/>
            <w:r>
              <w:rPr>
                <w:rFonts w:ascii="Arial" w:eastAsia="Arial" w:hAnsi="Arial" w:cs="Arial"/>
                <w:color w:val="000000"/>
                <w:sz w:val="20"/>
                <w:szCs w:val="20"/>
              </w:rPr>
              <w:t xml:space="preserve"> Region), disease surveillance is conducted through coordination among the DOH Center for Health Development, provincial health offices, municipal health offices, and public hospitals. These institutions routinely collect and report epidemiological data as part of the national surveillance system. However, there are currently limited tools that utilize advanced analytics to automatically analyze disease patterns, forecast outbreaks, and assess population health risks in real time. Without predictive capabilities, public health officials may find it difficult to anticipate disease surges and implement preventive measures early. This highlights the need for innovative digital solutions that can strengthen surveillance systems and support faster, evidence-based decision-making.</w:t>
            </w:r>
          </w:p>
          <w:p w14:paraId="02A3BC12" w14:textId="055A26EB" w:rsidR="001F340B" w:rsidRDefault="00A73F00">
            <w:pPr>
              <w:spacing w:before="240" w:after="240" w:line="240" w:lineRule="auto"/>
              <w:ind w:firstLine="0"/>
              <w:jc w:val="both"/>
              <w:rPr>
                <w:rFonts w:ascii="Arial" w:eastAsia="Arial" w:hAnsi="Arial" w:cs="Arial"/>
                <w:sz w:val="20"/>
                <w:szCs w:val="20"/>
              </w:rPr>
            </w:pPr>
            <w:r>
              <w:rPr>
                <w:rFonts w:ascii="Arial" w:eastAsia="Arial" w:hAnsi="Arial" w:cs="Arial"/>
                <w:sz w:val="20"/>
                <w:szCs w:val="20"/>
              </w:rPr>
              <w:t xml:space="preserve">To address these challenges, this project proposes the development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an AI-powered public health surveillance and predictive analytics system designed to enhance disease monitoring in Region I. The initial implementation of the project will focus on three priority infectious diseases in the region: dengue fever, </w:t>
            </w:r>
            <w:r w:rsidR="00CC42D6">
              <w:rPr>
                <w:rFonts w:ascii="Arial" w:eastAsia="Arial" w:hAnsi="Arial" w:cs="Arial"/>
                <w:sz w:val="20"/>
                <w:szCs w:val="20"/>
              </w:rPr>
              <w:t>measles</w:t>
            </w:r>
            <w:r>
              <w:rPr>
                <w:rFonts w:ascii="Arial" w:eastAsia="Arial" w:hAnsi="Arial" w:cs="Arial"/>
                <w:sz w:val="20"/>
                <w:szCs w:val="20"/>
              </w:rPr>
              <w:t>, and influenza-like illnesses (ILI). These diseases were selected because of their recurring incidence, outbreak potential, seasonal behavior, public health impact, and availability of epidemiological and environmental data suitable for predictive analytics.</w:t>
            </w:r>
          </w:p>
          <w:p w14:paraId="02A3BC13" w14:textId="77777777" w:rsidR="001F340B" w:rsidRDefault="00A73F00">
            <w:pPr>
              <w:spacing w:before="240" w:after="240" w:line="240" w:lineRule="auto"/>
              <w:ind w:firstLine="0"/>
              <w:jc w:val="both"/>
              <w:rPr>
                <w:rFonts w:ascii="Arial" w:eastAsia="Arial" w:hAnsi="Arial" w:cs="Arial"/>
                <w:sz w:val="20"/>
                <w:szCs w:val="20"/>
              </w:rPr>
            </w:pP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prioritize official disease surveillance records, clinical or facility-based reports, environmental indicators, geographic data, and population data as core data sources. Other digital health-related sources, such as social media signals, crowdsourced reports, workplace health indicators, and existing health information systems, may be explored as supplementary sources when they are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02A3BC14" w14:textId="77777777" w:rsidR="001F340B" w:rsidRDefault="00A73F00">
            <w:pPr>
              <w:spacing w:before="240" w:after="240" w:line="240" w:lineRule="auto"/>
              <w:ind w:firstLine="0"/>
              <w:jc w:val="both"/>
              <w:rPr>
                <w:rFonts w:ascii="Arial" w:eastAsia="Arial" w:hAnsi="Arial" w:cs="Arial"/>
                <w:sz w:val="20"/>
                <w:szCs w:val="20"/>
              </w:rPr>
            </w:pPr>
            <w:r>
              <w:rPr>
                <w:rFonts w:ascii="Arial" w:eastAsia="Arial" w:hAnsi="Arial" w:cs="Arial"/>
                <w:sz w:val="20"/>
                <w:szCs w:val="20"/>
              </w:rPr>
              <w:t xml:space="preserve">Using machine learning and predictive analytics techniques,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analyze historical and regularly updated disease-related data to detect emerging patterns, forecast possible disease increases, and generate early warning alerts. The system will provide dashboards, maps, reports, and risk indicators to support healthcare providers and public health officials in interpreting surveillance data and identifying areas that may require closer monitoring. The system will serve as a decision-support tool and will not replace the judgment of authorized public health officials or healthcare professionals.</w:t>
            </w:r>
          </w:p>
          <w:p w14:paraId="02A3BC15" w14:textId="77777777"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Specifically, the project will consist of three interrelated studies aimed at developing and validating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w:t>
            </w:r>
            <w:r w:rsidRPr="002D020C">
              <w:rPr>
                <w:rFonts w:ascii="Arial" w:eastAsia="Arial" w:hAnsi="Arial" w:cs="Arial"/>
                <w:sz w:val="20"/>
                <w:szCs w:val="20"/>
              </w:rPr>
              <w:t xml:space="preserve">The first study will focus on the development of machine learning models for detecting disease trends and forecasting potential outbreaks using epidemiological data and other relevant information sources. The second study will involve the development of the </w:t>
            </w:r>
            <w:proofErr w:type="spellStart"/>
            <w:r w:rsidRPr="002D020C">
              <w:rPr>
                <w:rFonts w:ascii="Arial" w:eastAsia="Arial" w:hAnsi="Arial" w:cs="Arial"/>
                <w:sz w:val="20"/>
                <w:szCs w:val="20"/>
              </w:rPr>
              <w:t>BantayHealthAI</w:t>
            </w:r>
            <w:proofErr w:type="spellEnd"/>
            <w:r w:rsidRPr="002D020C">
              <w:rPr>
                <w:rFonts w:ascii="Arial" w:eastAsia="Arial" w:hAnsi="Arial" w:cs="Arial"/>
                <w:sz w:val="20"/>
                <w:szCs w:val="20"/>
              </w:rPr>
              <w:t xml:space="preserve"> platform, including an interactive surveillance dashboard that integrates multiple data sources and provides real-time disease monitoring, visualization of trends, and early warning alerts. The third study will focus on the validation and pilot implementation of the </w:t>
            </w:r>
            <w:proofErr w:type="spellStart"/>
            <w:r w:rsidRPr="002D020C">
              <w:rPr>
                <w:rFonts w:ascii="Arial" w:eastAsia="Arial" w:hAnsi="Arial" w:cs="Arial"/>
                <w:sz w:val="20"/>
                <w:szCs w:val="20"/>
              </w:rPr>
              <w:t>BantayHealthAI</w:t>
            </w:r>
            <w:proofErr w:type="spellEnd"/>
            <w:r w:rsidRPr="002D020C">
              <w:rPr>
                <w:rFonts w:ascii="Arial" w:eastAsia="Arial" w:hAnsi="Arial" w:cs="Arial"/>
                <w:sz w:val="20"/>
                <w:szCs w:val="20"/>
              </w:rPr>
              <w:t xml:space="preserve"> system in Region I to evaluate the performance of the predictive models and assess the usefulness of the platform in supporting disease surveillance, evaluating population health risks, and aiding clinical and public health decision-making.</w:t>
            </w:r>
          </w:p>
          <w:p w14:paraId="02A3BC16" w14:textId="3DA29080"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expected outputs of the project include the development of an interactive AI-powered surveillance platform with a technology readiness level (TRL) of </w:t>
            </w:r>
            <w:r w:rsidR="000B0704">
              <w:rPr>
                <w:rFonts w:ascii="Arial" w:eastAsia="Arial" w:hAnsi="Arial" w:cs="Arial"/>
                <w:color w:val="000000"/>
                <w:sz w:val="20"/>
                <w:szCs w:val="20"/>
              </w:rPr>
              <w:t>5-6</w:t>
            </w:r>
            <w:r>
              <w:rPr>
                <w:rFonts w:ascii="Arial" w:eastAsia="Arial" w:hAnsi="Arial" w:cs="Arial"/>
                <w:color w:val="000000"/>
                <w:sz w:val="20"/>
                <w:szCs w:val="20"/>
              </w:rPr>
              <w:t xml:space="preserve">, innovative AI algorithms for </w:t>
            </w:r>
            <w:r>
              <w:rPr>
                <w:rFonts w:ascii="Arial" w:eastAsia="Arial" w:hAnsi="Arial" w:cs="Arial"/>
                <w:color w:val="000000"/>
                <w:sz w:val="20"/>
                <w:szCs w:val="20"/>
              </w:rPr>
              <w:lastRenderedPageBreak/>
              <w:t xml:space="preserve">disease trend detection and outbreak forecasting, predictive models capable of generating early warning alerts for dengue, </w:t>
            </w:r>
            <w:r w:rsidR="00716926">
              <w:rPr>
                <w:rFonts w:ascii="Arial" w:eastAsia="Arial" w:hAnsi="Arial" w:cs="Arial"/>
                <w:sz w:val="20"/>
                <w:szCs w:val="20"/>
              </w:rPr>
              <w:t>measles</w:t>
            </w:r>
            <w:r>
              <w:rPr>
                <w:rFonts w:ascii="Arial" w:eastAsia="Arial" w:hAnsi="Arial" w:cs="Arial"/>
                <w:color w:val="000000"/>
                <w:sz w:val="20"/>
                <w:szCs w:val="20"/>
              </w:rPr>
              <w:t>, influenza-like illnesses, and other infectious diseases, a decision-support component for public health officials and healthcare providers, and research publications. The project will also produce policy recommendations and guidelines that can guide the implementation of AI-assisted public health interventions within regional health systems.</w:t>
            </w:r>
          </w:p>
          <w:p w14:paraId="02A3BC17" w14:textId="77777777" w:rsidR="001F340B" w:rsidRDefault="00A73F00">
            <w:pPr>
              <w:pBdr>
                <w:top w:val="nil"/>
                <w:left w:val="nil"/>
                <w:bottom w:val="nil"/>
                <w:right w:val="nil"/>
                <w:between w:val="nil"/>
              </w:pBdr>
              <w:spacing w:line="240" w:lineRule="auto"/>
              <w:ind w:hanging="2"/>
              <w:jc w:val="both"/>
              <w:rPr>
                <w:rFonts w:ascii="Arial" w:eastAsia="Arial" w:hAnsi="Arial" w:cs="Arial"/>
                <w:color w:val="000000"/>
                <w:sz w:val="20"/>
                <w:szCs w:val="20"/>
              </w:rPr>
            </w:pP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will be implemented and validated in Region I through collaboration with the DOH Center for Health Development, provincial health offices, municipal health offices, and selected public hospitals. The pilot implementation will allow the research team to evaluate the performance of the AI models and assess how effectively the system supports real-time disease monitoring and outbreak preparedness at the regional level. Lessons learned from this pilot implementation will help inform future improvements and may support the eventual expansion of the system to other regions in the Philippines.</w:t>
            </w:r>
          </w:p>
          <w:p w14:paraId="02A3BC18" w14:textId="77777777" w:rsidR="001F340B" w:rsidRDefault="00A73F00">
            <w:pPr>
              <w:tabs>
                <w:tab w:val="left" w:pos="7589"/>
                <w:tab w:val="left" w:pos="9279"/>
              </w:tabs>
              <w:spacing w:after="0" w:line="240" w:lineRule="auto"/>
              <w:ind w:hanging="2"/>
              <w:jc w:val="both"/>
              <w:rPr>
                <w:rFonts w:ascii="Arial" w:eastAsia="Arial" w:hAnsi="Arial" w:cs="Arial"/>
                <w:sz w:val="20"/>
                <w:szCs w:val="20"/>
              </w:rPr>
            </w:pPr>
            <w:r>
              <w:rPr>
                <w:rFonts w:ascii="Arial" w:eastAsia="Arial" w:hAnsi="Arial" w:cs="Arial"/>
                <w:color w:val="000000"/>
                <w:sz w:val="20"/>
                <w:szCs w:val="20"/>
              </w:rPr>
              <w:t xml:space="preserve">The development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supports the national agenda on digital health transformation and the use of emerging technologies to strengthen health systems. The project directly responds to the priority research topic of the Department of Science and Technology – Philippine Council for Health Research and Development (DOST-PCHRD) on the development of AI-powered public health surveillance and predictive analytics for disease monitoring. By integrating artificial intelligence into disease surveillance systems, the project aims to demonstrate how predictive analytics can improve public health intelligence and strengthen preparedness for future disease outbreaks.</w:t>
            </w:r>
          </w:p>
        </w:tc>
      </w:tr>
    </w:tbl>
    <w:p w14:paraId="02A3BC1A"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1B" w14:textId="77777777" w:rsidR="001F340B" w:rsidRDefault="00A73F00">
      <w:pPr>
        <w:numPr>
          <w:ilvl w:val="0"/>
          <w:numId w:val="2"/>
        </w:numPr>
        <w:pBdr>
          <w:top w:val="nil"/>
          <w:left w:val="nil"/>
          <w:bottom w:val="nil"/>
          <w:right w:val="nil"/>
          <w:between w:val="nil"/>
        </w:pBdr>
        <w:tabs>
          <w:tab w:val="left" w:pos="7589"/>
          <w:tab w:val="left" w:pos="9279"/>
        </w:tabs>
        <w:spacing w:after="0" w:line="240" w:lineRule="auto"/>
        <w:ind w:left="270" w:hanging="270"/>
        <w:jc w:val="both"/>
        <w:rPr>
          <w:rFonts w:ascii="Arial" w:eastAsia="Arial" w:hAnsi="Arial" w:cs="Arial"/>
          <w:color w:val="000000"/>
          <w:sz w:val="20"/>
          <w:szCs w:val="20"/>
        </w:rPr>
      </w:pPr>
      <w:r>
        <w:rPr>
          <w:rFonts w:ascii="Arial" w:eastAsia="Arial" w:hAnsi="Arial" w:cs="Arial"/>
          <w:color w:val="000000"/>
          <w:sz w:val="20"/>
          <w:szCs w:val="20"/>
        </w:rPr>
        <w:t>INTRODUCTION</w:t>
      </w:r>
    </w:p>
    <w:tbl>
      <w:tblPr>
        <w:tblStyle w:val="a1"/>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2F" w14:textId="77777777">
        <w:tc>
          <w:tcPr>
            <w:tcW w:w="8746" w:type="dxa"/>
          </w:tcPr>
          <w:p w14:paraId="02A3BC1C" w14:textId="678212EA"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Infectious diseases remain a major public health concern in the Philippines, especially in areas where environmental conditions, rapid urbanization, population movement, and unequal access to healthcare contribute to the spread of disease. Illnesses such as dengue fever, </w:t>
            </w:r>
            <w:r w:rsidR="0024527A">
              <w:rPr>
                <w:rFonts w:ascii="Arial" w:eastAsia="Arial" w:hAnsi="Arial" w:cs="Arial"/>
                <w:sz w:val="20"/>
                <w:szCs w:val="20"/>
              </w:rPr>
              <w:t>measles</w:t>
            </w:r>
            <w:r>
              <w:rPr>
                <w:rFonts w:ascii="Arial" w:eastAsia="Arial" w:hAnsi="Arial" w:cs="Arial"/>
                <w:color w:val="000000"/>
                <w:sz w:val="20"/>
                <w:szCs w:val="20"/>
              </w:rPr>
              <w:t>, and influenza-like illnesses (ILI) continue to affect thousands of Filipinos each year, placing pressure on healthcare systems and disrupting communities and livelihoods. During periods of heavy rainfall, flooding, and seasonal climate changes, the risk of outbreaks often increases, making timely disease monitoring and rapid response more important than ever.</w:t>
            </w:r>
          </w:p>
          <w:p w14:paraId="02A3BC1D"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1E"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In Region I (</w:t>
            </w:r>
            <w:proofErr w:type="spellStart"/>
            <w:r>
              <w:rPr>
                <w:rFonts w:ascii="Arial" w:eastAsia="Arial" w:hAnsi="Arial" w:cs="Arial"/>
                <w:color w:val="000000"/>
                <w:sz w:val="20"/>
                <w:szCs w:val="20"/>
              </w:rPr>
              <w:t>Ilocos</w:t>
            </w:r>
            <w:proofErr w:type="spellEnd"/>
            <w:r>
              <w:rPr>
                <w:rFonts w:ascii="Arial" w:eastAsia="Arial" w:hAnsi="Arial" w:cs="Arial"/>
                <w:color w:val="000000"/>
                <w:sz w:val="20"/>
                <w:szCs w:val="20"/>
              </w:rPr>
              <w:t xml:space="preserve"> Region), disease surveillance is carried out through the coordinated efforts of the Department of Health–Center for Health Development (DOH-CHD), provincial and municipal health offices, rural health units, and public hospitals. These institutions regularly gather and report epidemiological data as part of the country’s national disease surveillance program. However, many existing monitoring processes still rely on retrospective reporting, manual consolidation of records, and descriptive analysis. While these systems are useful for documenting reported cases, they often provide limited support for real-time outbreak forecasting and predictive decision-making. As a result, public health authorities may face challenges in identifying emerging disease patterns early enough to implement timely interventions.</w:t>
            </w:r>
          </w:p>
          <w:p w14:paraId="02A3BC1F"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0" w14:textId="6E3362CE" w:rsidR="001F340B" w:rsidRDefault="006B40F5">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sidRPr="006B40F5">
              <w:rPr>
                <w:rFonts w:ascii="Arial" w:eastAsia="Arial" w:hAnsi="Arial" w:cs="Arial"/>
                <w:color w:val="000000"/>
                <w:sz w:val="20"/>
                <w:szCs w:val="20"/>
              </w:rPr>
              <w:t>Among the infectious diseases monitored by the Department of Health, dengue fever remains one of the most persistent and widespread vector-borne diseases in the country. Reports from the DOH Epidemiology Bureau continue to show increasing dengue cases in several regions, particularly during the rainy season when mosquito breeding conditions become more favorable (DOH, 2024). Measles also remains a significant public health concern due to its high transmissibility and the continued occurrence of outbreaks in areas with declining or incomplete immunization coverage. At the same time, influenza-like illnesses and other respiratory infections continue to require close monitoring because respiratory viruses can spread rapidly within communities and healthcare facilities. The COVID-19 pandemic further highlighted the importance of having responsive and real-time disease surveillance systems that can support faster public health action and outbreak preparedness (WHO, 2023).</w:t>
            </w:r>
          </w:p>
          <w:p w14:paraId="02A3BC21"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2" w14:textId="18EDFD2B"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selection of dengue fever, </w:t>
            </w:r>
            <w:r w:rsidR="00304F19">
              <w:rPr>
                <w:rFonts w:ascii="Arial" w:eastAsia="Arial" w:hAnsi="Arial" w:cs="Arial"/>
                <w:color w:val="000000"/>
                <w:sz w:val="20"/>
                <w:szCs w:val="20"/>
              </w:rPr>
              <w:t>measles</w:t>
            </w:r>
            <w:r>
              <w:rPr>
                <w:rFonts w:ascii="Arial" w:eastAsia="Arial" w:hAnsi="Arial" w:cs="Arial"/>
                <w:color w:val="000000"/>
                <w:sz w:val="20"/>
                <w:szCs w:val="20"/>
              </w:rPr>
              <w:t xml:space="preserve">, and influenza-like illnesses as the initial focus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is based on surveillance reports and epidemiological monitoring conducted by the Department of Health–Center for Health Development Region I and the DOH Epidemiology Bureau. These diseases were identified as among the most commonly monitored and reported communicable diseases in the region because of their recurring incidence, seasonal patterns, outbreak potential, and impact on healthcare services. In addition, the availability of </w:t>
            </w:r>
            <w:r>
              <w:rPr>
                <w:rFonts w:ascii="Arial" w:eastAsia="Arial" w:hAnsi="Arial" w:cs="Arial"/>
                <w:color w:val="000000"/>
                <w:sz w:val="20"/>
                <w:szCs w:val="20"/>
              </w:rPr>
              <w:lastRenderedPageBreak/>
              <w:t>epidemiological, environmental, and clinical datasets makes these diseases suitable for the development of predictive analytics and AI-driven early warning models.</w:t>
            </w:r>
          </w:p>
          <w:p w14:paraId="02A3BC23"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4"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Recent advances in artificial intelligence (AI), machine learning, and predictive analytics offer new opportunities to strengthen disease surveillance and outbreak preparedness. AI technologies are capable of processing large and complex datasets, identifying hidden patterns, detecting anomalies, and forecasting disease trends using both historical and real-time information. In recent years, AI has increasingly been explored in public health applications such as epidemic forecasting, digital surveillance, decision support systems, and early warning mechanisms (Esteva et al., 2021; Mahmood et al., 2024). These technologies can help public health authorities move from reactive responses toward more proactive and data-driven interventions.</w:t>
            </w:r>
          </w:p>
          <w:p w14:paraId="02A3BC25"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6"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Modern surveillance systems are also evolving beyond traditional epidemiological reporting. AI-assisted platforms can now integrate multiple sources of information, including clinical records, environmental indicators, health information systems, workplace health data, crowdsourced reports, and even social media signals. Combining these diverse datasets can provide a more complete and timely picture of disease activity within communities. Studies on digital epidemiology and event-based surveillance have shown that integrating multiple data streams can improve outbreak detection and strengthen public health situational awareness (</w:t>
            </w:r>
            <w:proofErr w:type="spellStart"/>
            <w:r>
              <w:rPr>
                <w:rFonts w:ascii="Arial" w:eastAsia="Arial" w:hAnsi="Arial" w:cs="Arial"/>
                <w:color w:val="000000"/>
                <w:sz w:val="20"/>
                <w:szCs w:val="20"/>
              </w:rPr>
              <w:t>Paireau</w:t>
            </w:r>
            <w:proofErr w:type="spellEnd"/>
            <w:r>
              <w:rPr>
                <w:rFonts w:ascii="Arial" w:eastAsia="Arial" w:hAnsi="Arial" w:cs="Arial"/>
                <w:color w:val="000000"/>
                <w:sz w:val="20"/>
                <w:szCs w:val="20"/>
              </w:rPr>
              <w:t xml:space="preserve"> et al., 2022; WHO, 2023). In the Philippines, the Department of Science and Technology–Philippine Council for Health Research and Development (DOST-PCHRD) continues to promote digital health transformation and intelligent health technologies that support evidence-based healthcare and public health resilience.</w:t>
            </w:r>
          </w:p>
          <w:p w14:paraId="02A3BC27"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8" w14:textId="0EDBD2D3"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In response to these challenges and opportunities, this project proposes the development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An AI-Powered Public Health Surveillance and Predictive Analytics System for Disease Monitoring in Region I. The project aims to develop an integrated surveillance platform capable of monitoring disease trends, forecasting potential outbreaks, generating early warning alerts, and supporting evidence-based public health decision-making. The initial implementation of the system will focus on dengue fever, </w:t>
            </w:r>
            <w:r w:rsidR="0050789B">
              <w:rPr>
                <w:rFonts w:ascii="Arial" w:eastAsia="Arial" w:hAnsi="Arial" w:cs="Arial"/>
                <w:color w:val="000000"/>
                <w:sz w:val="20"/>
                <w:szCs w:val="20"/>
              </w:rPr>
              <w:t>measles</w:t>
            </w:r>
            <w:r>
              <w:rPr>
                <w:rFonts w:ascii="Arial" w:eastAsia="Arial" w:hAnsi="Arial" w:cs="Arial"/>
                <w:color w:val="000000"/>
                <w:sz w:val="20"/>
                <w:szCs w:val="20"/>
              </w:rPr>
              <w:t>, and influenza-like illnesses, given their significance for regional disease surveillance and their ongoing impact on public health.</w:t>
            </w:r>
          </w:p>
          <w:p w14:paraId="02A3BC29"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A"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will integrate multiple health-related data sources, including epidemiological records, clinical reports, environmental indicators, health information systems, workplace health data, crowdsourced reports, and social media signals. Using machine learning and predictive analytics techniques, the system is expected to identify disease patterns, forecast potential outbreaks, assess population health risks, and provide real-time visualization of disease trends. Rather than replacing existing surveillance systems,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is designed to function as a decision-support tool that can enhance the ability of healthcare providers and public health officials to interpret data, identify risks earlier, and implement more timely interventions.</w:t>
            </w:r>
          </w:p>
          <w:p w14:paraId="02A3BC2B"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p>
          <w:p w14:paraId="02A3BC2C"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prioritize official disease surveillance, clinical, environmental, geographic, and population datasets as core data sources. Other digital health-related sources, such as social media signals, crowdsourced reports, workplace health indicators, and existing health information systems, may be included as supplementary data sources when available, ethically approved, and technically compatible with the platform. These supplementary sources will support situational awareness and exploratory analysis, while official surveillance data will remain the primary basis for model development, outbreak risk classification, and public health decision-support outputs.</w:t>
            </w:r>
          </w:p>
          <w:p w14:paraId="02A3BC2D"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2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development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supports the national agenda on digital health transformation and aligns with the strategic priorities of the Department of Science and Technology – Philippine Council for Health Research and Development on AI-assisted public health surveillance and predictive analytics. By piloting the system in Region I, the study aims to provide practical evidence on the feasibility, usefulness, and effectiveness of AI-powered disease surveillance in the Philippine setting. The project’s expected outputs, including predictive models, an interactive surveillance dashboard, early warning mechanisms, policy recommendations, and research publications, may contribute to more proactive, data-driven, and resilient public health decision-making in the country.</w:t>
            </w:r>
          </w:p>
        </w:tc>
      </w:tr>
    </w:tbl>
    <w:p w14:paraId="02A3BC30"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31"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40A311A3" w14:textId="77777777" w:rsidR="000B0704" w:rsidRDefault="000B0704">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32" w14:textId="77777777" w:rsidR="001F340B" w:rsidRDefault="00A73F00">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r>
        <w:rPr>
          <w:rFonts w:ascii="Arial" w:eastAsia="Arial" w:hAnsi="Arial" w:cs="Arial"/>
          <w:color w:val="000000"/>
          <w:sz w:val="20"/>
          <w:szCs w:val="20"/>
        </w:rPr>
        <w:lastRenderedPageBreak/>
        <w:t>SCIENTIFIC BASIS/ THEORETICAL FRAMEWORK</w:t>
      </w:r>
    </w:p>
    <w:tbl>
      <w:tblPr>
        <w:tblStyle w:val="a2"/>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4A" w14:textId="77777777">
        <w:tc>
          <w:tcPr>
            <w:tcW w:w="8746" w:type="dxa"/>
          </w:tcPr>
          <w:p w14:paraId="02A3BC3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This study is guided by an integrated theoretical framework that brings together concepts from public health surveillance, early warning systems, predictive analytics, information systems success, and technology acceptance in healthcare. These perspectives provide a strong foundation for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because the project is not only focused on developing an AI-powered surveillance platform, but also on ensuring that the system can effectively support healthcare providers and public health officials in monitoring diseases, forecasting outbreaks, assessing risks, and making timely decisions in Region I.</w:t>
            </w:r>
          </w:p>
          <w:p w14:paraId="02A3BC3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At the heart of the framework is public health surveillance theory, which highlights the importance of continuously collecting, analyzing, interpreting, and sharing health-related information to support public health action. According to the World Health Organization (WHO, 2024), surveillance systems are essential for detecting disease events, monitoring trends, guiding interventions, and improving outbreak preparedness and response. In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surveillance goes beyond simply recording reported cases. The system is designed to transform epidemiological, clinical, environmental, and community-related data into timely and actionable insights that can help health authorities respond more effectively to emerging health threats.</w:t>
            </w:r>
          </w:p>
          <w:p w14:paraId="02A3BC3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7" w14:textId="23DF10A6"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This perspective is especially important for dengue fever, </w:t>
            </w:r>
            <w:r w:rsidR="0050789B">
              <w:rPr>
                <w:rFonts w:ascii="Arial" w:eastAsia="Arial" w:hAnsi="Arial" w:cs="Arial"/>
                <w:color w:val="000000"/>
                <w:sz w:val="20"/>
                <w:szCs w:val="20"/>
              </w:rPr>
              <w:t>measles</w:t>
            </w:r>
            <w:r>
              <w:rPr>
                <w:rFonts w:ascii="Arial" w:eastAsia="Arial" w:hAnsi="Arial" w:cs="Arial"/>
                <w:color w:val="000000"/>
                <w:sz w:val="20"/>
                <w:szCs w:val="20"/>
              </w:rPr>
              <w:t>, and influenza-like illnesses, which are the initial focus of the proposed system. These diseases require continuous monitoring because their spread is often influenced by seasonal conditions, environmental exposure, population movement, and community-level risk factors. Surveillance reports from the Department of Health–Center for Health Development Region I and the DOH Epidemiology Bureau consistently identify these diseases among the most frequently monitored communicable diseases in the region because of their recurring outbreaks and impact on healthcare services.</w:t>
            </w:r>
          </w:p>
          <w:p w14:paraId="02A3BC3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The framework also draws from early warning systems theory, which emphasizes the importance of identifying unusual disease activity and emerging risks before they develop into larger public health emergencies. Traditional surveillance systems often face challenges such as delayed reporting, fragmented data sources, and manual data consolidation, all of which can slow down outbreak detection and response. WHO (2024) stresses that surveillance and alert systems play a critical role in detecting and responding to public health threats. Recent studies further suggest that artificial intelligence and digital surveillance technologies can improve the speed and sensitivity of outbreak detection systems (Villanueva-Miranda et al., 2025).</w:t>
            </w:r>
          </w:p>
          <w:p w14:paraId="02A3BC3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In the context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this means integrating and analyzing multiple sources of information, including epidemiological reports, clinical records, environmental indicators, health information systems, workplace health indicators, crowdsourced reports, and social media signals. The framework assumes that disease outbreaks often produce early signals across different data sources before they become fully visible in routine surveillance reports. By analyzing these signals together, the system can support earlier identification of disease trends and emerging public health risks.</w:t>
            </w:r>
          </w:p>
          <w:p w14:paraId="02A3BC3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study is also grounded in predictive analytics in public health. Predictive analytics involves using statistical methods, machine learning, and pattern recognition techniques to analyze historical and real-time data in order to estimate future events and trends. In public health, predictive analytics helps shift surveillance from a reactive process toward a more proactive and decision-oriented approach. For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predictive analytics provides the foundation for forecasting disease trends, identifying possible outbreaks, assessing population health risks, and highlighting areas that may require closer monitoring.</w:t>
            </w:r>
          </w:p>
          <w:p w14:paraId="02A3BC3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3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Artificial intelligence further strengthens this capability by allowing the system to process large, complex, and diverse datasets more efficiently than traditional manual approaches. AI techniques can support pattern detection, anomaly identification, risk classification, and outbreak forecasting across multiple health-related data sources. Recent studies suggest that AI technologies can improve outbreak preparedness and support faster public health response when combined with epidemiological expertise and existing healthcare workflows (Mahmood et al., 2024; Villanueva-Miranda et al., 2025). In the Philippine setting, this direction also aligns with the national push for digital health transformation and the growing use of intelligent healthcare technologies promoted by the Department of Science and Technology–Philippine Council for Health Research and Development (DOST-PCHRD).</w:t>
            </w:r>
          </w:p>
          <w:p w14:paraId="02A3BC4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4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Aside from technical performance, the framework also recognizes the importance of evaluating how effective and useful the system will be in real-world settings. For this reason, the study incorporates the Information Systems Success Model, which explains that the success of an information system depends on factors such as system quality, information quality, service quality, user satisfaction, and overall benefits. Jeyaraj (2020) emphasized that these dimensions remain important in evaluating modern information systems, including healthcare technologies.</w:t>
            </w:r>
          </w:p>
          <w:p w14:paraId="02A3BC4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4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In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system quality refers to the reliability, usability, accessibility, responsiveness, and technical stability of the platform. Information quality refers to the accuracy, timeliness, completeness, and clarity of the forecasts, dashboards, visualizations, and early warning alerts generated by the system. Service quality includes the training, technical support, and assistance provided during implementation. These dimensions are important because even a technically advanced AI system may have limited value if users cannot easily understand, access, or apply the information it provides.</w:t>
            </w:r>
          </w:p>
          <w:p w14:paraId="02A3BC4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4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framework also considers how healthcare personnel and public health officials may accept and use the system in practice. To address this, the study draws from the Technology Acceptance Model (TAM) and the Unified Theory of Acceptance and Use of Technology (UTAUT). Recent studies continue to show that factors such as perceived usefulness, ease of use, trust, facilitating conditions, and organizational readiness strongly influence the adoption of healthcare technologies (AlQudah et al., 2021; </w:t>
            </w:r>
            <w:proofErr w:type="spellStart"/>
            <w:r>
              <w:rPr>
                <w:rFonts w:ascii="Arial" w:eastAsia="Arial" w:hAnsi="Arial" w:cs="Arial"/>
                <w:color w:val="000000"/>
                <w:sz w:val="20"/>
                <w:szCs w:val="20"/>
              </w:rPr>
              <w:t>Rouidi</w:t>
            </w:r>
            <w:proofErr w:type="spellEnd"/>
            <w:r>
              <w:rPr>
                <w:rFonts w:ascii="Arial" w:eastAsia="Arial" w:hAnsi="Arial" w:cs="Arial"/>
                <w:color w:val="000000"/>
                <w:sz w:val="20"/>
                <w:szCs w:val="20"/>
              </w:rPr>
              <w:t xml:space="preserve"> et al., 2022).</w:t>
            </w:r>
          </w:p>
          <w:p w14:paraId="02A3BC4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4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In this study, perceived usefulness refers to the extent to which users believe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can improve disease monitoring, outbreak forecasting, risk assessment, and public health response. Perceived ease of use refers to how understandable, manageable, and user-friendly the platform is for healthcare personnel and public health officials. Facilitating conditions may include technical support, internet connectivity, training, data availability, and institutional readiness. These factors are critical because a system can only create a meaningful public health impact if it is accepted, trusted, and effectively used by the people responsible for disease surveillance and response.</w:t>
            </w:r>
          </w:p>
          <w:p w14:paraId="02A3BC4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4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These theoretical perspectives provide a comprehensive foundation for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Public health surveillance and early warning theories explain the importance of timely disease monitoring and outbreak detection, while predictive analytics and artificial intelligence provide the technical basis for forecasting disease trends and identifying emerging risks. The Information Systems Success Model supports the evaluation of the platform’s effectiveness and information quality, while TAM and UTAUT explain the factors that may influence user acceptance and system utilization. Collectively, these theories position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as an AI-assisted decision-support system designed to strengthen disease surveillance, improve outbreak preparedness, and support evidence-based public health action in Region I.</w:t>
            </w:r>
          </w:p>
        </w:tc>
      </w:tr>
    </w:tbl>
    <w:p w14:paraId="02A3BC4B" w14:textId="77777777" w:rsidR="001F340B" w:rsidRDefault="001F340B">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
    <w:p w14:paraId="02A3BC4C"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4D" w14:textId="77777777" w:rsidR="001F340B" w:rsidRDefault="00A73F00">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r>
        <w:rPr>
          <w:rFonts w:ascii="Arial" w:eastAsia="Arial" w:hAnsi="Arial" w:cs="Arial"/>
          <w:color w:val="000000"/>
          <w:sz w:val="20"/>
          <w:szCs w:val="20"/>
        </w:rPr>
        <w:t>GENERAL OBJECTIVES</w:t>
      </w:r>
    </w:p>
    <w:tbl>
      <w:tblPr>
        <w:tblStyle w:val="a3"/>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4F" w14:textId="77777777">
        <w:tc>
          <w:tcPr>
            <w:tcW w:w="8746" w:type="dxa"/>
          </w:tcPr>
          <w:p w14:paraId="02A3BC4E" w14:textId="035F49BF"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To develop and validate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an AI-powered public health surveillance and predictive analytics system for real-time monitoring, early detection, risk assessment, and outbreak forecasting of priority infectious diseases, particularly dengue fever, </w:t>
            </w:r>
            <w:r w:rsidR="0050789B">
              <w:rPr>
                <w:rFonts w:ascii="Arial" w:eastAsia="Arial" w:hAnsi="Arial" w:cs="Arial"/>
                <w:color w:val="000000"/>
                <w:sz w:val="20"/>
                <w:szCs w:val="20"/>
              </w:rPr>
              <w:t>measles</w:t>
            </w:r>
            <w:r>
              <w:rPr>
                <w:rFonts w:ascii="Arial" w:eastAsia="Arial" w:hAnsi="Arial" w:cs="Arial"/>
                <w:color w:val="000000"/>
                <w:sz w:val="20"/>
                <w:szCs w:val="20"/>
              </w:rPr>
              <w:t>, and influenza-like illnesses, in Region I through the integration of epidemiological, clinical, environmental, and multi-source health-related data.</w:t>
            </w:r>
          </w:p>
        </w:tc>
      </w:tr>
    </w:tbl>
    <w:p w14:paraId="02A3BC50"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51" w14:textId="77777777" w:rsidR="001F340B" w:rsidRDefault="00A73F00">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r>
        <w:rPr>
          <w:rFonts w:ascii="Arial" w:eastAsia="Arial" w:hAnsi="Arial" w:cs="Arial"/>
          <w:color w:val="000000"/>
          <w:sz w:val="20"/>
          <w:szCs w:val="20"/>
        </w:rPr>
        <w:t>SPECIFIC OBJECTIVES</w:t>
      </w:r>
    </w:p>
    <w:tbl>
      <w:tblPr>
        <w:tblStyle w:val="a4"/>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80" w14:textId="77777777">
        <w:tc>
          <w:tcPr>
            <w:tcW w:w="8746" w:type="dxa"/>
          </w:tcPr>
          <w:p w14:paraId="02A3BC5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Study 1: Development of Machine Learning Models for Disease Trend Detection and Outbreak Forecasting</w:t>
            </w:r>
          </w:p>
          <w:p w14:paraId="02A3BC5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54" w14:textId="1153EB17" w:rsidR="001F340B" w:rsidRPr="000B0704" w:rsidRDefault="00A73F00">
            <w:pPr>
              <w:numPr>
                <w:ilvl w:val="0"/>
                <w:numId w:val="4"/>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 xml:space="preserve">To collect, preprocess, standardize, and integrate authorized epidemiological, clinical, environmental, geographic, and approved supplementary health-related datasets associated with dengue fever, </w:t>
            </w:r>
            <w:r w:rsidR="0050789B">
              <w:rPr>
                <w:rFonts w:ascii="Arial" w:eastAsia="Arial" w:hAnsi="Arial" w:cs="Arial"/>
                <w:sz w:val="20"/>
                <w:szCs w:val="20"/>
              </w:rPr>
              <w:t>measles</w:t>
            </w:r>
            <w:r w:rsidRPr="000B0704">
              <w:rPr>
                <w:rFonts w:ascii="Arial" w:eastAsia="Arial" w:hAnsi="Arial" w:cs="Arial"/>
                <w:sz w:val="20"/>
                <w:szCs w:val="20"/>
              </w:rPr>
              <w:t>, and influenza-like illnesses in Region I;</w:t>
            </w:r>
          </w:p>
          <w:p w14:paraId="02A3BC55" w14:textId="77777777" w:rsidR="001F340B" w:rsidRPr="000B0704" w:rsidRDefault="00A73F00">
            <w:pPr>
              <w:numPr>
                <w:ilvl w:val="0"/>
                <w:numId w:val="4"/>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analyze temporal, spatial, seasonal, and environmental patterns associated with the target diseases in order to identify relevant predictors and outbreak-related indicators;</w:t>
            </w:r>
          </w:p>
          <w:p w14:paraId="02A3BC56" w14:textId="77777777" w:rsidR="001F340B" w:rsidRPr="000B0704" w:rsidRDefault="00A73F00">
            <w:pPr>
              <w:numPr>
                <w:ilvl w:val="0"/>
                <w:numId w:val="4"/>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develop disease-specific forecasting and outbreak risk classification models for detecting disease trends, estimating case increases, and identifying possible outbreak signals; and</w:t>
            </w:r>
          </w:p>
          <w:p w14:paraId="02A3BC57" w14:textId="77777777" w:rsidR="001F340B" w:rsidRPr="000B0704" w:rsidRDefault="00A73F00">
            <w:pPr>
              <w:numPr>
                <w:ilvl w:val="0"/>
                <w:numId w:val="4"/>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lastRenderedPageBreak/>
              <w:t xml:space="preserve">To evaluate the forecasting and classification performance of the developed models using appropriate metrics and identify the most suitable models for integration into the </w:t>
            </w:r>
            <w:proofErr w:type="spellStart"/>
            <w:r w:rsidRPr="000B0704">
              <w:rPr>
                <w:rFonts w:ascii="Arial" w:eastAsia="Arial" w:hAnsi="Arial" w:cs="Arial"/>
                <w:sz w:val="20"/>
                <w:szCs w:val="20"/>
              </w:rPr>
              <w:t>BantayHealthAI</w:t>
            </w:r>
            <w:proofErr w:type="spellEnd"/>
            <w:r w:rsidRPr="000B0704">
              <w:rPr>
                <w:rFonts w:ascii="Arial" w:eastAsia="Arial" w:hAnsi="Arial" w:cs="Arial"/>
                <w:sz w:val="20"/>
                <w:szCs w:val="20"/>
              </w:rPr>
              <w:t xml:space="preserve"> platform.</w:t>
            </w:r>
          </w:p>
          <w:p w14:paraId="02A3BC5F" w14:textId="77777777" w:rsidR="001F340B" w:rsidRDefault="001F340B">
            <w:pPr>
              <w:tabs>
                <w:tab w:val="left" w:pos="7589"/>
                <w:tab w:val="left" w:pos="9279"/>
              </w:tabs>
              <w:spacing w:after="0" w:line="240" w:lineRule="auto"/>
              <w:ind w:firstLine="0"/>
              <w:jc w:val="both"/>
              <w:rPr>
                <w:rFonts w:ascii="Arial" w:eastAsia="Arial" w:hAnsi="Arial" w:cs="Arial"/>
                <w:sz w:val="20"/>
                <w:szCs w:val="20"/>
              </w:rPr>
            </w:pPr>
          </w:p>
          <w:p w14:paraId="02A3BC60" w14:textId="77777777" w:rsidR="001F340B" w:rsidRDefault="00A73F00">
            <w:pP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Study 2: Development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Surveillance and Predictive Analytics Platform</w:t>
            </w:r>
          </w:p>
          <w:p w14:paraId="02A3BC61" w14:textId="77777777" w:rsidR="001F340B" w:rsidRDefault="001F340B">
            <w:pPr>
              <w:tabs>
                <w:tab w:val="left" w:pos="7589"/>
                <w:tab w:val="left" w:pos="9279"/>
              </w:tabs>
              <w:spacing w:after="0" w:line="240" w:lineRule="auto"/>
              <w:ind w:firstLine="0"/>
              <w:jc w:val="both"/>
              <w:rPr>
                <w:rFonts w:ascii="Arial" w:eastAsia="Arial" w:hAnsi="Arial" w:cs="Arial"/>
                <w:sz w:val="20"/>
                <w:szCs w:val="20"/>
              </w:rPr>
            </w:pPr>
          </w:p>
          <w:p w14:paraId="02A3BC62" w14:textId="77777777" w:rsidR="001F340B" w:rsidRPr="000B0704" w:rsidRDefault="00A73F00">
            <w:pPr>
              <w:numPr>
                <w:ilvl w:val="0"/>
                <w:numId w:val="5"/>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 xml:space="preserve">To analyze the functional, non-functional, data, security, and user requirements of the </w:t>
            </w:r>
            <w:proofErr w:type="spellStart"/>
            <w:r w:rsidRPr="000B0704">
              <w:rPr>
                <w:rFonts w:ascii="Arial" w:eastAsia="Arial" w:hAnsi="Arial" w:cs="Arial"/>
                <w:sz w:val="20"/>
                <w:szCs w:val="20"/>
              </w:rPr>
              <w:t>BantayHealthAI</w:t>
            </w:r>
            <w:proofErr w:type="spellEnd"/>
            <w:r w:rsidRPr="000B0704">
              <w:rPr>
                <w:rFonts w:ascii="Arial" w:eastAsia="Arial" w:hAnsi="Arial" w:cs="Arial"/>
                <w:sz w:val="20"/>
                <w:szCs w:val="20"/>
              </w:rPr>
              <w:t xml:space="preserve"> platform based on the needs of public health and healthcare stakeholders;</w:t>
            </w:r>
          </w:p>
          <w:p w14:paraId="02A3BC63" w14:textId="77777777" w:rsidR="001F340B" w:rsidRPr="000B0704" w:rsidRDefault="00A73F00">
            <w:pPr>
              <w:numPr>
                <w:ilvl w:val="0"/>
                <w:numId w:val="5"/>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 xml:space="preserve">To design and develop the </w:t>
            </w:r>
            <w:proofErr w:type="spellStart"/>
            <w:r w:rsidRPr="000B0704">
              <w:rPr>
                <w:rFonts w:ascii="Arial" w:eastAsia="Arial" w:hAnsi="Arial" w:cs="Arial"/>
                <w:sz w:val="20"/>
                <w:szCs w:val="20"/>
              </w:rPr>
              <w:t>BantayHealthAI</w:t>
            </w:r>
            <w:proofErr w:type="spellEnd"/>
            <w:r w:rsidRPr="000B0704">
              <w:rPr>
                <w:rFonts w:ascii="Arial" w:eastAsia="Arial" w:hAnsi="Arial" w:cs="Arial"/>
                <w:sz w:val="20"/>
                <w:szCs w:val="20"/>
              </w:rPr>
              <w:t xml:space="preserve"> platform with core functions for data management, dashboard visualization, geospatial monitoring, predictive analytics, early warning alerts, reporting, system administration, and staged data integration;</w:t>
            </w:r>
          </w:p>
          <w:p w14:paraId="02A3BC64" w14:textId="77777777" w:rsidR="001F340B" w:rsidRPr="000B0704" w:rsidRDefault="00A73F00">
            <w:pPr>
              <w:numPr>
                <w:ilvl w:val="0"/>
                <w:numId w:val="5"/>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 xml:space="preserve">To integrate the disease-specific forecasting and outbreak risk classification models developed in Study 1 into the </w:t>
            </w:r>
            <w:proofErr w:type="spellStart"/>
            <w:r w:rsidRPr="000B0704">
              <w:rPr>
                <w:rFonts w:ascii="Arial" w:eastAsia="Arial" w:hAnsi="Arial" w:cs="Arial"/>
                <w:sz w:val="20"/>
                <w:szCs w:val="20"/>
              </w:rPr>
              <w:t>BantayHealthAI</w:t>
            </w:r>
            <w:proofErr w:type="spellEnd"/>
            <w:r w:rsidRPr="000B0704">
              <w:rPr>
                <w:rFonts w:ascii="Arial" w:eastAsia="Arial" w:hAnsi="Arial" w:cs="Arial"/>
                <w:sz w:val="20"/>
                <w:szCs w:val="20"/>
              </w:rPr>
              <w:t xml:space="preserve"> platform; and</w:t>
            </w:r>
          </w:p>
          <w:p w14:paraId="02A3BC65" w14:textId="77777777" w:rsidR="001F340B" w:rsidRPr="000B0704" w:rsidRDefault="00A73F00">
            <w:pPr>
              <w:numPr>
                <w:ilvl w:val="0"/>
                <w:numId w:val="5"/>
              </w:numPr>
              <w:pBdr>
                <w:top w:val="nil"/>
                <w:left w:val="nil"/>
                <w:bottom w:val="nil"/>
                <w:right w:val="nil"/>
                <w:between w:val="nil"/>
              </w:pBdr>
              <w:tabs>
                <w:tab w:val="left" w:pos="7589"/>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evaluate the platform in terms of functionality, usability, responsiveness, security, technical acceptability, and operational readiness.</w:t>
            </w:r>
          </w:p>
          <w:p w14:paraId="02A3BC70" w14:textId="77777777" w:rsidR="001F340B" w:rsidRDefault="001F340B">
            <w:pPr>
              <w:tabs>
                <w:tab w:val="left" w:pos="9279"/>
              </w:tabs>
              <w:spacing w:after="0" w:line="240" w:lineRule="auto"/>
              <w:ind w:firstLine="0"/>
              <w:jc w:val="both"/>
              <w:rPr>
                <w:rFonts w:ascii="Arial" w:eastAsia="Arial" w:hAnsi="Arial" w:cs="Arial"/>
                <w:sz w:val="20"/>
                <w:szCs w:val="20"/>
              </w:rPr>
            </w:pPr>
          </w:p>
          <w:p w14:paraId="02A3BC71" w14:textId="77777777" w:rsidR="001F340B" w:rsidRDefault="00A73F00">
            <w:pPr>
              <w:tabs>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Study 3:</w:t>
            </w:r>
            <w:r>
              <w:t xml:space="preserve"> </w:t>
            </w:r>
            <w:r>
              <w:rPr>
                <w:rFonts w:ascii="Arial" w:eastAsia="Arial" w:hAnsi="Arial" w:cs="Arial"/>
                <w:sz w:val="20"/>
                <w:szCs w:val="20"/>
              </w:rPr>
              <w:t xml:space="preserve">Validation and Pilot Implementation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in Region I</w:t>
            </w:r>
          </w:p>
          <w:p w14:paraId="02A3BC72" w14:textId="77777777" w:rsidR="001F340B" w:rsidRDefault="001F340B">
            <w:pPr>
              <w:tabs>
                <w:tab w:val="left" w:pos="9279"/>
              </w:tabs>
              <w:spacing w:after="0" w:line="240" w:lineRule="auto"/>
              <w:ind w:firstLine="0"/>
              <w:jc w:val="both"/>
              <w:rPr>
                <w:rFonts w:ascii="Arial" w:eastAsia="Arial" w:hAnsi="Arial" w:cs="Arial"/>
                <w:sz w:val="20"/>
                <w:szCs w:val="20"/>
              </w:rPr>
            </w:pPr>
          </w:p>
          <w:p w14:paraId="02A3BC73" w14:textId="77777777" w:rsidR="001F340B" w:rsidRPr="000B0704" w:rsidRDefault="00A73F00">
            <w:pPr>
              <w:numPr>
                <w:ilvl w:val="0"/>
                <w:numId w:val="6"/>
              </w:numPr>
              <w:pBdr>
                <w:top w:val="nil"/>
                <w:left w:val="nil"/>
                <w:bottom w:val="nil"/>
                <w:right w:val="nil"/>
                <w:between w:val="nil"/>
              </w:pBdr>
              <w:tabs>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 xml:space="preserve">To pilot implement </w:t>
            </w:r>
            <w:proofErr w:type="spellStart"/>
            <w:r w:rsidRPr="000B0704">
              <w:rPr>
                <w:rFonts w:ascii="Arial" w:eastAsia="Arial" w:hAnsi="Arial" w:cs="Arial"/>
                <w:sz w:val="20"/>
                <w:szCs w:val="20"/>
              </w:rPr>
              <w:t>BantayHealthAI</w:t>
            </w:r>
            <w:proofErr w:type="spellEnd"/>
            <w:r w:rsidRPr="000B0704">
              <w:rPr>
                <w:rFonts w:ascii="Arial" w:eastAsia="Arial" w:hAnsi="Arial" w:cs="Arial"/>
                <w:sz w:val="20"/>
                <w:szCs w:val="20"/>
              </w:rPr>
              <w:t xml:space="preserve"> in selected public health and healthcare settings in Region I in collaboration with relevant institutional partners;</w:t>
            </w:r>
          </w:p>
          <w:p w14:paraId="02A3BC74" w14:textId="77777777" w:rsidR="001F340B" w:rsidRPr="000B0704" w:rsidRDefault="00A73F00">
            <w:pPr>
              <w:numPr>
                <w:ilvl w:val="0"/>
                <w:numId w:val="6"/>
              </w:numPr>
              <w:pBdr>
                <w:top w:val="nil"/>
                <w:left w:val="nil"/>
                <w:bottom w:val="nil"/>
                <w:right w:val="nil"/>
                <w:between w:val="nil"/>
              </w:pBdr>
              <w:tabs>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validate the predictive performance, reliability, and practical usefulness of the integrated forecasting and outbreak risk classification models using recent or real-world surveillance data;</w:t>
            </w:r>
          </w:p>
          <w:p w14:paraId="02A3BC75" w14:textId="77777777" w:rsidR="001F340B" w:rsidRPr="000B0704" w:rsidRDefault="00A73F00">
            <w:pPr>
              <w:numPr>
                <w:ilvl w:val="0"/>
                <w:numId w:val="6"/>
              </w:numPr>
              <w:pBdr>
                <w:top w:val="nil"/>
                <w:left w:val="nil"/>
                <w:bottom w:val="nil"/>
                <w:right w:val="nil"/>
                <w:between w:val="nil"/>
              </w:pBdr>
              <w:tabs>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evaluate the effectiveness, usability, acceptability, user satisfaction, operational performance, and technical functionality of the platform during pilot deployment; and</w:t>
            </w:r>
          </w:p>
          <w:p w14:paraId="02A3BC76" w14:textId="77777777" w:rsidR="001F340B" w:rsidRPr="000B0704" w:rsidRDefault="00A73F00">
            <w:pPr>
              <w:numPr>
                <w:ilvl w:val="0"/>
                <w:numId w:val="6"/>
              </w:numPr>
              <w:pBdr>
                <w:top w:val="nil"/>
                <w:left w:val="nil"/>
                <w:bottom w:val="nil"/>
                <w:right w:val="nil"/>
                <w:between w:val="nil"/>
              </w:pBdr>
              <w:tabs>
                <w:tab w:val="left" w:pos="9279"/>
              </w:tabs>
              <w:spacing w:after="0" w:line="240" w:lineRule="auto"/>
              <w:jc w:val="both"/>
              <w:rPr>
                <w:rFonts w:ascii="Arial" w:eastAsia="Arial" w:hAnsi="Arial" w:cs="Arial"/>
                <w:sz w:val="20"/>
                <w:szCs w:val="20"/>
              </w:rPr>
            </w:pPr>
            <w:r w:rsidRPr="000B0704">
              <w:rPr>
                <w:rFonts w:ascii="Arial" w:eastAsia="Arial" w:hAnsi="Arial" w:cs="Arial"/>
                <w:sz w:val="20"/>
                <w:szCs w:val="20"/>
              </w:rPr>
              <w:t>To document implementation challenges and formulate policy recommendations and implementation guidelines for future improvement, scaling, and integration into public health surveillance workflows.</w:t>
            </w:r>
          </w:p>
          <w:p w14:paraId="02A3BC7F" w14:textId="71947C2A" w:rsidR="001F340B" w:rsidRDefault="001F340B" w:rsidP="000B0704">
            <w:pPr>
              <w:pBdr>
                <w:top w:val="nil"/>
                <w:left w:val="nil"/>
                <w:bottom w:val="nil"/>
                <w:right w:val="nil"/>
                <w:between w:val="nil"/>
              </w:pBdr>
              <w:tabs>
                <w:tab w:val="left" w:pos="9279"/>
              </w:tabs>
              <w:spacing w:after="0" w:line="240" w:lineRule="auto"/>
              <w:ind w:firstLine="0"/>
              <w:jc w:val="both"/>
              <w:rPr>
                <w:rFonts w:ascii="Arial" w:eastAsia="Arial" w:hAnsi="Arial" w:cs="Arial"/>
                <w:color w:val="000000"/>
                <w:sz w:val="20"/>
                <w:szCs w:val="20"/>
              </w:rPr>
            </w:pPr>
          </w:p>
        </w:tc>
      </w:tr>
    </w:tbl>
    <w:p w14:paraId="02A3BC81"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82" w14:textId="77777777" w:rsidR="001F340B" w:rsidRDefault="00A73F00">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r>
        <w:rPr>
          <w:rFonts w:ascii="Arial" w:eastAsia="Arial" w:hAnsi="Arial" w:cs="Arial"/>
          <w:color w:val="000000"/>
          <w:sz w:val="20"/>
          <w:szCs w:val="20"/>
        </w:rPr>
        <w:t>RATIONALE/ SIGNIFICANCE</w:t>
      </w:r>
    </w:p>
    <w:tbl>
      <w:tblPr>
        <w:tblStyle w:val="a5"/>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8E" w14:textId="77777777">
        <w:tc>
          <w:tcPr>
            <w:tcW w:w="8746" w:type="dxa"/>
          </w:tcPr>
          <w:p w14:paraId="2E3E6188"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r w:rsidRPr="006242AA">
              <w:rPr>
                <w:rFonts w:ascii="Arial" w:eastAsia="Arial" w:hAnsi="Arial" w:cs="Arial"/>
                <w:color w:val="000000"/>
                <w:sz w:val="20"/>
                <w:szCs w:val="20"/>
              </w:rPr>
              <w:t>Infectious diseases such as dengue fever, measles, and influenza-like illnesses continue to pose significant public health challenges in Region I and throughout the Philippines. These diseases can spread rapidly, strain healthcare resources, and disrupt communities, highlighting the need for effective disease surveillance and outbreak preparedness. Although the Department of Health and local healthcare institutions maintain surveillance systems, many monitoring activities still rely on retrospective reporting and manual analysis, which may limit the timely detection of disease trends and emerging outbreaks.</w:t>
            </w:r>
          </w:p>
          <w:p w14:paraId="2A307420"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
          <w:p w14:paraId="1FE3C1AC"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r w:rsidRPr="006242AA">
              <w:rPr>
                <w:rFonts w:ascii="Arial" w:eastAsia="Arial" w:hAnsi="Arial" w:cs="Arial"/>
                <w:color w:val="000000"/>
                <w:sz w:val="20"/>
                <w:szCs w:val="20"/>
              </w:rPr>
              <w:t>Recent advances in artificial intelligence (AI), machine learning, and predictive analytics provide opportunities to enhance public health surveillance. These technologies can analyze large and diverse datasets, identify disease patterns, detect early warning signals, and forecast potential outbreaks using historical and real-time information. By integrating epidemiological records, clinical reports, environmental indicators, and other relevant health-related data, AI-assisted systems can support more timely and comprehensive disease monitoring.</w:t>
            </w:r>
          </w:p>
          <w:p w14:paraId="7F89B959"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
          <w:p w14:paraId="619891AD"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roofErr w:type="spellStart"/>
            <w:r w:rsidRPr="006242AA">
              <w:rPr>
                <w:rFonts w:ascii="Arial" w:eastAsia="Arial" w:hAnsi="Arial" w:cs="Arial"/>
                <w:color w:val="000000"/>
                <w:sz w:val="20"/>
                <w:szCs w:val="20"/>
              </w:rPr>
              <w:t>BantayHealthAI</w:t>
            </w:r>
            <w:proofErr w:type="spellEnd"/>
            <w:r w:rsidRPr="006242AA">
              <w:rPr>
                <w:rFonts w:ascii="Arial" w:eastAsia="Arial" w:hAnsi="Arial" w:cs="Arial"/>
                <w:color w:val="000000"/>
                <w:sz w:val="20"/>
                <w:szCs w:val="20"/>
              </w:rPr>
              <w:t xml:space="preserve"> is significant because it seeks to strengthen disease surveillance in Region I through the development of an AI-powered surveillance and predictive analytics platform. The system will support healthcare providers and public health officials in monitoring disease trends, identifying risks, generating early warning alerts, and facilitating evidence-based interventions. The project focuses on dengue fever, measles, and influenza-like illnesses because of their recurring incidence, outbreak potential, and public health impact in the region.</w:t>
            </w:r>
          </w:p>
          <w:p w14:paraId="35198DEA" w14:textId="77777777" w:rsidR="006242AA" w:rsidRPr="006242AA" w:rsidRDefault="006242AA" w:rsidP="006242AA">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
          <w:p w14:paraId="02A3BC8D" w14:textId="30660B59" w:rsidR="001F340B" w:rsidRDefault="006242AA" w:rsidP="006242AA">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6242AA">
              <w:rPr>
                <w:rFonts w:ascii="Arial" w:eastAsia="Arial" w:hAnsi="Arial" w:cs="Arial"/>
                <w:color w:val="000000"/>
                <w:sz w:val="20"/>
                <w:szCs w:val="20"/>
              </w:rPr>
              <w:t xml:space="preserve">Aligned with the national agenda on digital health transformation and DOST-PCHRD priorities, </w:t>
            </w:r>
            <w:proofErr w:type="spellStart"/>
            <w:r w:rsidRPr="006242AA">
              <w:rPr>
                <w:rFonts w:ascii="Arial" w:eastAsia="Arial" w:hAnsi="Arial" w:cs="Arial"/>
                <w:color w:val="000000"/>
                <w:sz w:val="20"/>
                <w:szCs w:val="20"/>
              </w:rPr>
              <w:t>BantayHealthAI</w:t>
            </w:r>
            <w:proofErr w:type="spellEnd"/>
            <w:r w:rsidRPr="006242AA">
              <w:rPr>
                <w:rFonts w:ascii="Arial" w:eastAsia="Arial" w:hAnsi="Arial" w:cs="Arial"/>
                <w:color w:val="000000"/>
                <w:sz w:val="20"/>
                <w:szCs w:val="20"/>
              </w:rPr>
              <w:t xml:space="preserve"> aims to provide practical evidence on the feasibility and usefulness of AI-assisted disease surveillance. Its outputs, including predictive models, interactive dashboards, and early warning mechanisms, may contribute to more proactive, timely, and data-driven public health decision-making in the Philippines.</w:t>
            </w:r>
          </w:p>
        </w:tc>
      </w:tr>
    </w:tbl>
    <w:p w14:paraId="02A3BC8F"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C90"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C91"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lastRenderedPageBreak/>
        <w:t>REVIEW OF RELATED LITERATURE</w:t>
      </w:r>
    </w:p>
    <w:tbl>
      <w:tblPr>
        <w:tblStyle w:val="a6"/>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CA1" w14:textId="77777777">
        <w:tc>
          <w:tcPr>
            <w:tcW w:w="8746" w:type="dxa"/>
          </w:tcPr>
          <w:p w14:paraId="56CF1235" w14:textId="45064D85" w:rsidR="00C27A2D" w:rsidRDefault="0005650C">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05650C">
              <w:rPr>
                <w:rFonts w:ascii="Arial" w:eastAsia="Arial" w:hAnsi="Arial" w:cs="Arial"/>
                <w:color w:val="000000"/>
                <w:sz w:val="20"/>
                <w:szCs w:val="20"/>
              </w:rPr>
              <w:t>Disease surveillance remains a critical component of public health systems because it supports early outbreak detection, monitoring of disease trends, risk assessment, and evidence-based decision-making. In the Philippines, disease surveillance is supported by the Department of Health (DOH), the Epidemiology Bureau, regional epidemiology and surveillance units, and national disease monitoring systems. These systems provide the basis for identifying priority diseases, monitoring outbreaks, and planning public health interventions.</w:t>
            </w:r>
          </w:p>
          <w:p w14:paraId="3160973F" w14:textId="77777777" w:rsidR="0005650C" w:rsidRDefault="0005650C">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7A1715B6" w14:textId="412D95B1" w:rsidR="0005650C"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9A6D56">
              <w:rPr>
                <w:rFonts w:ascii="Arial" w:eastAsia="Arial" w:hAnsi="Arial" w:cs="Arial"/>
                <w:color w:val="000000"/>
                <w:sz w:val="20"/>
                <w:szCs w:val="20"/>
              </w:rPr>
              <w:t xml:space="preserve">Dengue fever remains one of the most closely monitored infectious diseases in the Philippines because of its recurring outbreaks, seasonal behavior, and strong association with rainfall and environmental conditions. The DOH reported 90,119 dengue cases nationwide from January 1 to June 29, 2024, with 233 deaths, representing a 19% increase compared with the same period in 2023. In Region I, DOH data reported by the Philippine News Agency showed that dengue cases reached 4,255 as of August 17, 2024, compared with 3,702 cases during the same period in 2023. These figures show that dengue remains a continuing surveillance priority in the </w:t>
            </w:r>
            <w:proofErr w:type="spellStart"/>
            <w:r w:rsidRPr="009A6D56">
              <w:rPr>
                <w:rFonts w:ascii="Arial" w:eastAsia="Arial" w:hAnsi="Arial" w:cs="Arial"/>
                <w:color w:val="000000"/>
                <w:sz w:val="20"/>
                <w:szCs w:val="20"/>
              </w:rPr>
              <w:t>Ilocos</w:t>
            </w:r>
            <w:proofErr w:type="spellEnd"/>
            <w:r w:rsidRPr="009A6D56">
              <w:rPr>
                <w:rFonts w:ascii="Arial" w:eastAsia="Arial" w:hAnsi="Arial" w:cs="Arial"/>
                <w:color w:val="000000"/>
                <w:sz w:val="20"/>
                <w:szCs w:val="20"/>
              </w:rPr>
              <w:t xml:space="preserve"> Region and supports its inclusion as one of the initial target diseases of </w:t>
            </w:r>
            <w:proofErr w:type="spellStart"/>
            <w:r w:rsidRPr="009A6D56">
              <w:rPr>
                <w:rFonts w:ascii="Arial" w:eastAsia="Arial" w:hAnsi="Arial" w:cs="Arial"/>
                <w:color w:val="000000"/>
                <w:sz w:val="20"/>
                <w:szCs w:val="20"/>
              </w:rPr>
              <w:t>BantayHealthAI</w:t>
            </w:r>
            <w:proofErr w:type="spellEnd"/>
            <w:r w:rsidRPr="009A6D56">
              <w:rPr>
                <w:rFonts w:ascii="Arial" w:eastAsia="Arial" w:hAnsi="Arial" w:cs="Arial"/>
                <w:color w:val="000000"/>
                <w:sz w:val="20"/>
                <w:szCs w:val="20"/>
              </w:rPr>
              <w:t>.</w:t>
            </w:r>
          </w:p>
          <w:p w14:paraId="413C11E5" w14:textId="77777777"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390A1672" w14:textId="7A899900"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9A6D56">
              <w:rPr>
                <w:rFonts w:ascii="Arial" w:eastAsia="Arial" w:hAnsi="Arial" w:cs="Arial"/>
                <w:color w:val="000000"/>
                <w:sz w:val="20"/>
                <w:szCs w:val="20"/>
              </w:rPr>
              <w:t>Measles also remains a major public health concern because of its high transmissibility and its close relationship with immunization coverage. A 2024 review of the measles outbreak in the Philippines reported that first-dose measles-containing vaccine coverage declined to 57%–72% from 2020 to 2022, increasing the risk of measles resurgence among susceptible children. The DOH has also continued strengthening catch-up vaccination and school-based immunization programs, including vaccines for measles and rubella, to address immunity gaps. These findings support the need for strengthened measles surveillance and predictive tools that can help identify communities at risk of outbreaks.</w:t>
            </w:r>
          </w:p>
          <w:p w14:paraId="22CF7052" w14:textId="77777777"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34DD2924" w14:textId="6A53366F"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9A6D56">
              <w:rPr>
                <w:rFonts w:ascii="Arial" w:eastAsia="Arial" w:hAnsi="Arial" w:cs="Arial"/>
                <w:color w:val="000000"/>
                <w:sz w:val="20"/>
                <w:szCs w:val="20"/>
              </w:rPr>
              <w:t xml:space="preserve">Influenza-like illnesses remain important in public health surveillance because respiratory infections can spread rapidly in communities, schools, workplaces, and healthcare facilities. The Research Institute for Tropical Medicine, through the Philippine National Influenza Center, supports the country’s influenza surveillance by providing timely laboratory results, technical expertise, and surveillance support. RITM also reported that data from January 2023 to June 2024 showed influenza as the dominant virus in the country’s influenza-like illness surveillance. This supports the inclusion of ILI in </w:t>
            </w:r>
            <w:proofErr w:type="spellStart"/>
            <w:r w:rsidRPr="009A6D56">
              <w:rPr>
                <w:rFonts w:ascii="Arial" w:eastAsia="Arial" w:hAnsi="Arial" w:cs="Arial"/>
                <w:color w:val="000000"/>
                <w:sz w:val="20"/>
                <w:szCs w:val="20"/>
              </w:rPr>
              <w:t>BantayHealthAI</w:t>
            </w:r>
            <w:proofErr w:type="spellEnd"/>
            <w:r w:rsidRPr="009A6D56">
              <w:rPr>
                <w:rFonts w:ascii="Arial" w:eastAsia="Arial" w:hAnsi="Arial" w:cs="Arial"/>
                <w:color w:val="000000"/>
                <w:sz w:val="20"/>
                <w:szCs w:val="20"/>
              </w:rPr>
              <w:t xml:space="preserve"> because respiratory disease surveillance is essential for detecting unusual increases in cases and preparing for possible outbreaks.</w:t>
            </w:r>
          </w:p>
          <w:p w14:paraId="120699E4" w14:textId="77777777"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1D198A4E" w14:textId="4709D763"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9A6D56">
              <w:rPr>
                <w:rFonts w:ascii="Arial" w:eastAsia="Arial" w:hAnsi="Arial" w:cs="Arial"/>
                <w:color w:val="000000"/>
                <w:sz w:val="20"/>
                <w:szCs w:val="20"/>
              </w:rPr>
              <w:t xml:space="preserve">Artificial intelligence and predictive analytics are increasingly being used to strengthen infectious disease surveillance because they can process large and diverse datasets, identify hidden patterns, detect abnormal disease activity, and support earlier outbreak forecasting. Zeng et al. (2021) described AI-enabled public health surveillance as an emerging field that applies machine learning, deep learning, natural language processing, and other computational methods to outbreak detection, early warning, disease trend prediction, and epidemic monitoring. This is directly relevant to </w:t>
            </w:r>
            <w:proofErr w:type="spellStart"/>
            <w:r w:rsidRPr="009A6D56">
              <w:rPr>
                <w:rFonts w:ascii="Arial" w:eastAsia="Arial" w:hAnsi="Arial" w:cs="Arial"/>
                <w:color w:val="000000"/>
                <w:sz w:val="20"/>
                <w:szCs w:val="20"/>
              </w:rPr>
              <w:t>BantayHealthAI</w:t>
            </w:r>
            <w:proofErr w:type="spellEnd"/>
            <w:r w:rsidRPr="009A6D56">
              <w:rPr>
                <w:rFonts w:ascii="Arial" w:eastAsia="Arial" w:hAnsi="Arial" w:cs="Arial"/>
                <w:color w:val="000000"/>
                <w:sz w:val="20"/>
                <w:szCs w:val="20"/>
              </w:rPr>
              <w:t xml:space="preserve"> because the proposed system is designed not only to store and visualize disease data, but also to analyze patterns, generate forecasts, and provide decision-support information for public health action.</w:t>
            </w:r>
          </w:p>
          <w:p w14:paraId="44FED3D2" w14:textId="77777777"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49D0518C" w14:textId="202EB1C1"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9A6D56">
              <w:rPr>
                <w:rFonts w:ascii="Arial" w:eastAsia="Arial" w:hAnsi="Arial" w:cs="Arial"/>
                <w:color w:val="000000"/>
                <w:sz w:val="20"/>
                <w:szCs w:val="20"/>
              </w:rPr>
              <w:t xml:space="preserve">Recent studies also show that AI can strengthen early warning systems for infectious diseases. Villanueva-Miranda et al. (2025), in a systematic review of AI applications in infectious disease early warning systems, found that AI has considerable potential to improve outbreak preparedness by enhancing the speed, sensitivity, and analytical capacity of surveillance systems. However, the study emphasized that AI systems must address data limitations, explainability, ethical implementation, infrastructure, and collaboration with public health experts. These concerns are important for </w:t>
            </w:r>
            <w:proofErr w:type="spellStart"/>
            <w:r w:rsidRPr="009A6D56">
              <w:rPr>
                <w:rFonts w:ascii="Arial" w:eastAsia="Arial" w:hAnsi="Arial" w:cs="Arial"/>
                <w:color w:val="000000"/>
                <w:sz w:val="20"/>
                <w:szCs w:val="20"/>
              </w:rPr>
              <w:t>BantayHealthAI</w:t>
            </w:r>
            <w:proofErr w:type="spellEnd"/>
            <w:r w:rsidRPr="009A6D56">
              <w:rPr>
                <w:rFonts w:ascii="Arial" w:eastAsia="Arial" w:hAnsi="Arial" w:cs="Arial"/>
                <w:color w:val="000000"/>
                <w:sz w:val="20"/>
                <w:szCs w:val="20"/>
              </w:rPr>
              <w:t xml:space="preserve"> because the usefulness of the system will depend not only on model accuracy, but also on whether its forecasts and alerts can be understood and used by health personnel in real-world surveillance settings.</w:t>
            </w:r>
          </w:p>
          <w:p w14:paraId="3C7C502D" w14:textId="77777777" w:rsidR="009A6D56" w:rsidRDefault="009A6D56">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4AD5347E" w14:textId="21416AC8" w:rsidR="009A6D56" w:rsidRDefault="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CD5E1D">
              <w:rPr>
                <w:rFonts w:ascii="Arial" w:eastAsia="Arial" w:hAnsi="Arial" w:cs="Arial"/>
                <w:color w:val="000000"/>
                <w:sz w:val="20"/>
                <w:szCs w:val="20"/>
              </w:rPr>
              <w:t xml:space="preserve">Machine learning has also been applied in specific disease forecasting and risk prediction tasks. For dengue, studies have shown that disease prediction can be strengthened by combining epidemiological and environmental variables, especially in tropical settings where rainfall, temperature, mosquito breeding, and seasonal patterns influence transmission. This supports the inclusion of dengue as one of the initial target diseases of </w:t>
            </w:r>
            <w:proofErr w:type="spellStart"/>
            <w:r w:rsidRPr="00CD5E1D">
              <w:rPr>
                <w:rFonts w:ascii="Arial" w:eastAsia="Arial" w:hAnsi="Arial" w:cs="Arial"/>
                <w:color w:val="000000"/>
                <w:sz w:val="20"/>
                <w:szCs w:val="20"/>
              </w:rPr>
              <w:t>BantayHealthAI</w:t>
            </w:r>
            <w:proofErr w:type="spellEnd"/>
            <w:r w:rsidRPr="00CD5E1D">
              <w:rPr>
                <w:rFonts w:ascii="Arial" w:eastAsia="Arial" w:hAnsi="Arial" w:cs="Arial"/>
                <w:color w:val="000000"/>
                <w:sz w:val="20"/>
                <w:szCs w:val="20"/>
              </w:rPr>
              <w:t xml:space="preserve"> because dengue trends </w:t>
            </w:r>
            <w:r w:rsidRPr="00CD5E1D">
              <w:rPr>
                <w:rFonts w:ascii="Arial" w:eastAsia="Arial" w:hAnsi="Arial" w:cs="Arial"/>
                <w:color w:val="000000"/>
                <w:sz w:val="20"/>
                <w:szCs w:val="20"/>
              </w:rPr>
              <w:lastRenderedPageBreak/>
              <w:t>are strongly affected by temporal and environmental factors that can be modeled using predictive analytics.</w:t>
            </w:r>
          </w:p>
          <w:p w14:paraId="51B206BB" w14:textId="77777777" w:rsidR="00CD5E1D" w:rsidRDefault="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1D59BB8A" w14:textId="20503B6C" w:rsidR="00CD5E1D" w:rsidRDefault="00AD675A">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AD675A">
              <w:rPr>
                <w:rFonts w:ascii="Arial" w:eastAsia="Arial" w:hAnsi="Arial" w:cs="Arial"/>
                <w:color w:val="000000"/>
                <w:sz w:val="20"/>
                <w:szCs w:val="20"/>
              </w:rPr>
              <w:t>For measles, predictive analytics is particularly valuable because measles outbreaks are strongly associated with vaccination gaps, the accumulation of susceptible populations, and demographic risk factors. Studies have shown that declines in immunization coverage significantly increase the likelihood of measles transmission and outbreak occurrence, particularly in communities with low herd immunity (Santos et al., 2024; World Health Organization [WHO], 2024). Following disruptions in routine immunization services during and after the COVID-19 pandemic, the Philippines experienced increased vulnerability to measles resurgence due to reduced vaccination coverage and the growing number of susceptible children (Santos et al., 2024). Machine learning and predictive analytics models that incorporate historical case data, immunization coverage, population characteristics, and geographic patterns can help identify high-risk communities and support targeted disease prevention strategies (Li et al., 2024; Y</w:t>
            </w:r>
            <w:r w:rsidR="00837BC8">
              <w:rPr>
                <w:rFonts w:ascii="Arial" w:eastAsia="Arial" w:hAnsi="Arial" w:cs="Arial"/>
                <w:color w:val="000000"/>
                <w:sz w:val="20"/>
                <w:szCs w:val="20"/>
              </w:rPr>
              <w:t>il</w:t>
            </w:r>
            <w:r w:rsidRPr="00AD675A">
              <w:rPr>
                <w:rFonts w:ascii="Arial" w:eastAsia="Arial" w:hAnsi="Arial" w:cs="Arial"/>
                <w:color w:val="000000"/>
                <w:sz w:val="20"/>
                <w:szCs w:val="20"/>
              </w:rPr>
              <w:t>d</w:t>
            </w:r>
            <w:r w:rsidR="00837BC8">
              <w:rPr>
                <w:rFonts w:ascii="Arial" w:eastAsia="Arial" w:hAnsi="Arial" w:cs="Arial"/>
                <w:color w:val="000000"/>
                <w:sz w:val="20"/>
                <w:szCs w:val="20"/>
              </w:rPr>
              <w:t>i</w:t>
            </w:r>
            <w:r w:rsidRPr="00AD675A">
              <w:rPr>
                <w:rFonts w:ascii="Arial" w:eastAsia="Arial" w:hAnsi="Arial" w:cs="Arial"/>
                <w:color w:val="000000"/>
                <w:sz w:val="20"/>
                <w:szCs w:val="20"/>
              </w:rPr>
              <w:t>z et al., 2023). These findings support the use of AI-assisted surveillance systems for measles outbreak preparedness, risk assessment, and evidence-based public health interventions.</w:t>
            </w:r>
          </w:p>
          <w:p w14:paraId="036D94DB" w14:textId="77777777" w:rsidR="00AD675A" w:rsidRDefault="00AD675A">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3E8E4FE8" w14:textId="2C077EB5" w:rsidR="00CD5E1D" w:rsidRDefault="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CD5E1D">
              <w:rPr>
                <w:rFonts w:ascii="Arial" w:eastAsia="Arial" w:hAnsi="Arial" w:cs="Arial"/>
                <w:color w:val="000000"/>
                <w:sz w:val="20"/>
                <w:szCs w:val="20"/>
              </w:rPr>
              <w:t xml:space="preserve">For influenza-like illnesses, syndromic surveillance remains important because early respiratory disease signals may appear before laboratory confirmation is available. </w:t>
            </w:r>
            <w:proofErr w:type="spellStart"/>
            <w:r w:rsidRPr="00CD5E1D">
              <w:rPr>
                <w:rFonts w:ascii="Arial" w:eastAsia="Arial" w:hAnsi="Arial" w:cs="Arial"/>
                <w:color w:val="000000"/>
                <w:sz w:val="20"/>
                <w:szCs w:val="20"/>
              </w:rPr>
              <w:t>Otomaru</w:t>
            </w:r>
            <w:proofErr w:type="spellEnd"/>
            <w:r w:rsidRPr="00CD5E1D">
              <w:rPr>
                <w:rFonts w:ascii="Arial" w:eastAsia="Arial" w:hAnsi="Arial" w:cs="Arial"/>
                <w:color w:val="000000"/>
                <w:sz w:val="20"/>
                <w:szCs w:val="20"/>
              </w:rPr>
              <w:t xml:space="preserve"> et al. (2015) studied influenza-like illness surveillance in Leyte Island, Philippines, and showed that ILI surveillance captured multiple respiratory viruses, demonstrating its value in monitoring respiratory disease activity. This supports </w:t>
            </w:r>
            <w:proofErr w:type="spellStart"/>
            <w:r w:rsidRPr="00CD5E1D">
              <w:rPr>
                <w:rFonts w:ascii="Arial" w:eastAsia="Arial" w:hAnsi="Arial" w:cs="Arial"/>
                <w:color w:val="000000"/>
                <w:sz w:val="20"/>
                <w:szCs w:val="20"/>
              </w:rPr>
              <w:t>BantayHealthAI’s</w:t>
            </w:r>
            <w:proofErr w:type="spellEnd"/>
            <w:r w:rsidRPr="00CD5E1D">
              <w:rPr>
                <w:rFonts w:ascii="Arial" w:eastAsia="Arial" w:hAnsi="Arial" w:cs="Arial"/>
                <w:color w:val="000000"/>
                <w:sz w:val="20"/>
                <w:szCs w:val="20"/>
              </w:rPr>
              <w:t xml:space="preserve"> inclusion of clinical reports, workplace health indicators, crowdsourced reports, and other early signals for monitoring respiratory disease trends.</w:t>
            </w:r>
          </w:p>
          <w:p w14:paraId="25F6826B" w14:textId="77777777" w:rsidR="00CD5E1D" w:rsidRDefault="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69FB791B" w14:textId="116B923D" w:rsidR="00CD5E1D" w:rsidRDefault="00AD675A" w:rsidP="00CD5E1D">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r w:rsidRPr="00AD675A">
              <w:rPr>
                <w:rFonts w:ascii="Arial" w:eastAsia="Arial" w:hAnsi="Arial" w:cs="Arial"/>
                <w:color w:val="000000"/>
                <w:sz w:val="20"/>
                <w:szCs w:val="20"/>
              </w:rPr>
              <w:t xml:space="preserve">Several Philippine initiatives further demonstrate the value of digital surveillance and predictive analytics in supporting public health decision-making. One notable example is the Feasibility Analysis of Syndromic Surveillance Using </w:t>
            </w:r>
            <w:proofErr w:type="spellStart"/>
            <w:r w:rsidRPr="00AD675A">
              <w:rPr>
                <w:rFonts w:ascii="Arial" w:eastAsia="Arial" w:hAnsi="Arial" w:cs="Arial"/>
                <w:color w:val="000000"/>
                <w:sz w:val="20"/>
                <w:szCs w:val="20"/>
              </w:rPr>
              <w:t>Spatio</w:t>
            </w:r>
            <w:proofErr w:type="spellEnd"/>
            <w:r w:rsidRPr="00AD675A">
              <w:rPr>
                <w:rFonts w:ascii="Arial" w:eastAsia="Arial" w:hAnsi="Arial" w:cs="Arial"/>
                <w:color w:val="000000"/>
                <w:sz w:val="20"/>
                <w:szCs w:val="20"/>
              </w:rPr>
              <w:t xml:space="preserve">-Temporal Epidemiological Modeler for Early Detection of Diseases (FASSSTER), developed by Ateneo de Manila University in partnership with the Department of Health (DOH) and the Department of Science and Technology–Philippine Council for Health Research and Development (DOST-PCHRD). FASSSTER was designed as a web- and mobile-based platform that utilizes </w:t>
            </w:r>
            <w:proofErr w:type="spellStart"/>
            <w:r w:rsidRPr="00AD675A">
              <w:rPr>
                <w:rFonts w:ascii="Arial" w:eastAsia="Arial" w:hAnsi="Arial" w:cs="Arial"/>
                <w:color w:val="000000"/>
                <w:sz w:val="20"/>
                <w:szCs w:val="20"/>
              </w:rPr>
              <w:t>spatio</w:t>
            </w:r>
            <w:proofErr w:type="spellEnd"/>
            <w:r w:rsidRPr="00AD675A">
              <w:rPr>
                <w:rFonts w:ascii="Arial" w:eastAsia="Arial" w:hAnsi="Arial" w:cs="Arial"/>
                <w:color w:val="000000"/>
                <w:sz w:val="20"/>
                <w:szCs w:val="20"/>
              </w:rPr>
              <w:t>-temporal epidemiological modeling to support disease surveillance, outbreak forecasting, and scenario visualization for diseases such as dengue, typhoid fever, and measles (DOST-PCHRD, 2018). During the COVID-19 pandemic, the platform was further utilized to support disease monitoring and forecasting efforts and was recognized by the Department of Health as an important tool for evidence-based public health decision-making (Ateneo de Manila University, 2022). The success of FASSSTER demonstrates the feasibility of integrating epidemiological data, predictive modeling, and visualization technologies within the Philippine healthcare context. However, there remains a need for more localized and AI-assisted surveillance systems that can support regional disease monitoring, outbreak forecasting, risk assessment, and public health response, particularly at the regional and local government levels.</w:t>
            </w:r>
          </w:p>
          <w:p w14:paraId="4C9A5371" w14:textId="77777777" w:rsidR="00AD675A" w:rsidRPr="00CD5E1D" w:rsidRDefault="00AD675A" w:rsidP="00CD5E1D">
            <w:pPr>
              <w:pBdr>
                <w:top w:val="nil"/>
                <w:left w:val="nil"/>
                <w:bottom w:val="nil"/>
                <w:right w:val="nil"/>
                <w:between w:val="nil"/>
              </w:pBdr>
              <w:tabs>
                <w:tab w:val="left" w:pos="7589"/>
                <w:tab w:val="left" w:pos="9279"/>
              </w:tabs>
              <w:spacing w:after="0" w:line="240" w:lineRule="auto"/>
              <w:jc w:val="both"/>
              <w:rPr>
                <w:rFonts w:ascii="Arial" w:eastAsia="Arial" w:hAnsi="Arial" w:cs="Arial"/>
                <w:color w:val="000000"/>
                <w:sz w:val="20"/>
                <w:szCs w:val="20"/>
              </w:rPr>
            </w:pPr>
          </w:p>
          <w:p w14:paraId="0825AA63" w14:textId="3BC4AFBD" w:rsidR="00CD5E1D" w:rsidRDefault="00CD5E1D" w:rsidP="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CD5E1D">
              <w:rPr>
                <w:rFonts w:ascii="Arial" w:eastAsia="Arial" w:hAnsi="Arial" w:cs="Arial"/>
                <w:color w:val="000000"/>
                <w:sz w:val="20"/>
                <w:szCs w:val="20"/>
              </w:rPr>
              <w:t xml:space="preserve">Digital event monitoring and open-source intelligence also contribute to modern epidemic intelligence. These approaches can help identify early signals from online reports, public information, and community-level data. However, such sources should not replace official surveillance records. Instead, they should complement validated epidemiological data and improve situational awareness. This is consistent with the design of </w:t>
            </w:r>
            <w:proofErr w:type="spellStart"/>
            <w:r w:rsidRPr="00CD5E1D">
              <w:rPr>
                <w:rFonts w:ascii="Arial" w:eastAsia="Arial" w:hAnsi="Arial" w:cs="Arial"/>
                <w:color w:val="000000"/>
                <w:sz w:val="20"/>
                <w:szCs w:val="20"/>
              </w:rPr>
              <w:t>BantayHealthAI</w:t>
            </w:r>
            <w:proofErr w:type="spellEnd"/>
            <w:r w:rsidRPr="00CD5E1D">
              <w:rPr>
                <w:rFonts w:ascii="Arial" w:eastAsia="Arial" w:hAnsi="Arial" w:cs="Arial"/>
                <w:color w:val="000000"/>
                <w:sz w:val="20"/>
                <w:szCs w:val="20"/>
              </w:rPr>
              <w:t>, where official disease surveillance records will remain the primary basis for model development, while supplementary sources may be explored for additional context.</w:t>
            </w:r>
          </w:p>
          <w:p w14:paraId="1C1015CF" w14:textId="77777777" w:rsidR="00CD5E1D" w:rsidRDefault="00CD5E1D" w:rsidP="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E28E91B" w14:textId="3E1DFC94" w:rsidR="00CD5E1D" w:rsidRDefault="005B1048" w:rsidP="00CD5E1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5B1048">
              <w:rPr>
                <w:rFonts w:ascii="Arial" w:eastAsia="Arial" w:hAnsi="Arial" w:cs="Arial"/>
                <w:color w:val="000000"/>
                <w:sz w:val="20"/>
                <w:szCs w:val="20"/>
              </w:rPr>
              <w:t xml:space="preserve">Despite these developments, significant gaps remain. Many studies focus on individual disease prediction models, but fewer examine how predictive analytics, multi-source data integration, dashboard visualization, geospatial monitoring, early warning alerts, and user-centered decision support can be combined into one operational regional surveillance platform. There is also limited evidence on AI-powered disease surveillance systems specifically designed for regional public health implementation in the Philippine context. This gap strengthens the rationale for </w:t>
            </w:r>
            <w:proofErr w:type="spellStart"/>
            <w:r w:rsidRPr="005B1048">
              <w:rPr>
                <w:rFonts w:ascii="Arial" w:eastAsia="Arial" w:hAnsi="Arial" w:cs="Arial"/>
                <w:color w:val="000000"/>
                <w:sz w:val="20"/>
                <w:szCs w:val="20"/>
              </w:rPr>
              <w:t>BantayHealthAI</w:t>
            </w:r>
            <w:proofErr w:type="spellEnd"/>
            <w:r w:rsidRPr="005B1048">
              <w:rPr>
                <w:rFonts w:ascii="Arial" w:eastAsia="Arial" w:hAnsi="Arial" w:cs="Arial"/>
                <w:color w:val="000000"/>
                <w:sz w:val="20"/>
                <w:szCs w:val="20"/>
              </w:rPr>
              <w:t>, which aims to integrate epidemiological, clinical, environmental, demographic, workplace, crowdsourced, and digital health-related data into a practical AI-assisted surveillance and predictive analytics platform for dengue fever, measles, and influenza-like illnesses in Region I.</w:t>
            </w:r>
          </w:p>
          <w:p w14:paraId="02A3BCA0" w14:textId="739B47E0" w:rsidR="00C27A2D" w:rsidRDefault="00C27A2D">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tc>
      </w:tr>
    </w:tbl>
    <w:p w14:paraId="02A3BCA2"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CA3"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METHODOLOGY</w:t>
      </w:r>
    </w:p>
    <w:tbl>
      <w:tblPr>
        <w:tblStyle w:val="a7"/>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E36" w14:textId="77777777">
        <w:tc>
          <w:tcPr>
            <w:tcW w:w="8746" w:type="dxa"/>
          </w:tcPr>
          <w:p w14:paraId="02A3BCA4" w14:textId="77777777" w:rsidR="001F340B" w:rsidRPr="000B0704"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0B0704">
              <w:rPr>
                <w:rFonts w:ascii="Arial" w:eastAsia="Arial" w:hAnsi="Arial" w:cs="Arial"/>
                <w:color w:val="000000"/>
                <w:sz w:val="20"/>
                <w:szCs w:val="20"/>
              </w:rPr>
              <w:t>Research Design</w:t>
            </w:r>
          </w:p>
          <w:p w14:paraId="02A3BCA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A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This project will use multi-phase developmental, predictive analytics, and pilot implementation research design to guide the development and validation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The design is appropriate because the project involves three interrelated research components: the development of disease forecasting models, the design and implementation of an AI-assisted surveillance platform, and the validation of the system in selected public health settings in Region I.</w:t>
            </w:r>
          </w:p>
          <w:p w14:paraId="02A3BCA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A8" w14:textId="5AA0EF4B"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first phase will use a quantitative and predictive analytics approach. This phase will involve the retrospective analysis of historical disease surveillance data and the development of machine learning and statistical forecasting models for dengue fever, </w:t>
            </w:r>
            <w:r w:rsidR="009934C6">
              <w:rPr>
                <w:rFonts w:ascii="Arial" w:eastAsia="Arial" w:hAnsi="Arial" w:cs="Arial"/>
                <w:color w:val="000000"/>
                <w:sz w:val="20"/>
                <w:szCs w:val="20"/>
              </w:rPr>
              <w:t>measles</w:t>
            </w:r>
            <w:r>
              <w:rPr>
                <w:rFonts w:ascii="Arial" w:eastAsia="Arial" w:hAnsi="Arial" w:cs="Arial"/>
                <w:color w:val="000000"/>
                <w:sz w:val="20"/>
                <w:szCs w:val="20"/>
              </w:rPr>
              <w:t>, and influenza-like illnesses. It will focus on preparing and integrating disease-related datasets, examining temporal and seasonal disease patterns, and developing models capable of detecting disease trends, estimating outbreak risks, and forecasting possible increases in disease cases.</w:t>
            </w:r>
          </w:p>
          <w:p w14:paraId="02A3BCA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A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second phase will use a developmental research design. This phase will focus on the design and development of the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platform as an AI-assisted public health surveillance and decision-support system. The system development process will include requirements analysis, system architecture design, database design, dashboard development, model integration, alert generation, and technical testing. This phase will ensure that the predictive models developed in the first phase are translated into a usable platform that can support disease monitoring, risk visualization, and early warning generation.</w:t>
            </w:r>
          </w:p>
          <w:p w14:paraId="02A3BCA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A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third phase will use a pilot implementation and validation design. This phase will evaluate the performance, usability, acceptability, and operational feasibility of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in selected public health and healthcare settings in Region I. It will assess whether the platform can support disease surveillance personnel, healthcare providers, and public health officials in monitoring disease trends, interpreting forecasts, identifying high-risk areas, and generating timely public health insights. User feedback, system logs, model validation results, and implementation observations will be used to determine the strengths, limitations, and possible improvements of the system.</w:t>
            </w:r>
          </w:p>
          <w:p w14:paraId="02A3BCA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A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Overall, the research design follows a sequential structure in which the outputs of one phase inform the next. The predictive models developed and validated in the first phase will serve as the analytical foundation of the platform in the second phase. The completed platform will then be pilot-tested in the third phase to determine its technical performance and practical usefulness in real-world disease surveillance workflows. This design allows the project to move from data analysis and model development to system implementation and field validation in a systematic and evidence-based manner.</w:t>
            </w:r>
          </w:p>
          <w:p w14:paraId="02A3BCA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B0" w14:textId="77777777" w:rsidR="001F340B" w:rsidRPr="000B0704"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sidRPr="000B0704">
              <w:rPr>
                <w:rFonts w:ascii="Arial" w:eastAsia="Arial" w:hAnsi="Arial" w:cs="Arial"/>
                <w:color w:val="000000"/>
                <w:sz w:val="20"/>
                <w:szCs w:val="20"/>
              </w:rPr>
              <w:t>Materials and Procedures</w:t>
            </w:r>
          </w:p>
          <w:p w14:paraId="02A3BCB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B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noProof/>
                <w:sz w:val="20"/>
                <w:szCs w:val="20"/>
              </w:rPr>
              <w:lastRenderedPageBreak/>
              <w:drawing>
                <wp:inline distT="114300" distB="114300" distL="114300" distR="114300" wp14:anchorId="02A3BFBA" wp14:editId="02A3BFBB">
                  <wp:extent cx="5419725" cy="327001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t="9656"/>
                          <a:stretch>
                            <a:fillRect/>
                          </a:stretch>
                        </pic:blipFill>
                        <pic:spPr>
                          <a:xfrm>
                            <a:off x="0" y="0"/>
                            <a:ext cx="5419725" cy="3270014"/>
                          </a:xfrm>
                          <a:prstGeom prst="rect">
                            <a:avLst/>
                          </a:prstGeom>
                          <a:ln/>
                        </pic:spPr>
                      </pic:pic>
                    </a:graphicData>
                  </a:graphic>
                </wp:inline>
              </w:drawing>
            </w:r>
          </w:p>
          <w:p w14:paraId="02A3BCB3" w14:textId="77777777" w:rsidR="001F340B" w:rsidRPr="000B0704"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color w:val="000000"/>
                <w:sz w:val="20"/>
                <w:szCs w:val="20"/>
              </w:rPr>
            </w:pPr>
            <w:r w:rsidRPr="000B0704">
              <w:rPr>
                <w:rFonts w:ascii="Arial" w:hAnsi="Arial" w:cs="Arial"/>
                <w:color w:val="000000"/>
                <w:sz w:val="20"/>
                <w:szCs w:val="20"/>
              </w:rPr>
              <w:t xml:space="preserve">Figure 1. Overall Workflow of the </w:t>
            </w:r>
            <w:proofErr w:type="spellStart"/>
            <w:r w:rsidRPr="000B0704">
              <w:rPr>
                <w:rFonts w:ascii="Arial" w:hAnsi="Arial" w:cs="Arial"/>
                <w:color w:val="000000"/>
                <w:sz w:val="20"/>
                <w:szCs w:val="20"/>
              </w:rPr>
              <w:t>BantayHealthAI</w:t>
            </w:r>
            <w:proofErr w:type="spellEnd"/>
            <w:r w:rsidRPr="000B0704">
              <w:rPr>
                <w:rFonts w:ascii="Arial" w:hAnsi="Arial" w:cs="Arial"/>
                <w:color w:val="000000"/>
                <w:sz w:val="20"/>
                <w:szCs w:val="20"/>
              </w:rPr>
              <w:t xml:space="preserve"> Project</w:t>
            </w:r>
          </w:p>
          <w:p w14:paraId="02A3BCB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B5"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Figure 1 presents the overall workflow of the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project, showing how the three studies are organized into a sequential and interrelated development process. The workflow begins with the development of machine learning models, proceeds to the design and development of the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surveillance platform, and concludes with pilot implementation and validation in selected public health and healthcare settings in Region I.</w:t>
            </w:r>
          </w:p>
          <w:p w14:paraId="02A3BCB6"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B7" w14:textId="665BA13D"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first phase focuses on the development of the analytical foundation of the system. This includes data acquisition, data preparation, feature engineering, exploratory and spatial analysis, model development using Python, and model evaluation. The expected output of this phase is a set of trained and validated predictive models capable of supporting disease trend detection, outbreak signal identification, and outbreak forecasting for dengue fever, </w:t>
            </w:r>
            <w:r w:rsidR="009934C6">
              <w:rPr>
                <w:rFonts w:ascii="Arial" w:eastAsia="Arial" w:hAnsi="Arial" w:cs="Arial"/>
                <w:color w:val="000000"/>
                <w:sz w:val="20"/>
                <w:szCs w:val="20"/>
              </w:rPr>
              <w:t>measles</w:t>
            </w:r>
            <w:r>
              <w:rPr>
                <w:rFonts w:ascii="Arial" w:eastAsia="Arial" w:hAnsi="Arial" w:cs="Arial"/>
                <w:color w:val="000000"/>
                <w:sz w:val="20"/>
                <w:szCs w:val="20"/>
              </w:rPr>
              <w:t>, and influenza-like illnesses.</w:t>
            </w:r>
          </w:p>
          <w:p w14:paraId="02A3BCB8"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B9"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second phase translates the predictive models into a functional digital platform. This phase covers requirements analysis, system design, platform development, dashboard and visualization development, early warning and reporting functions, system administration, and security mechanisms. The expected output is a working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platform prototype that can manage surveillance data, display disease trends, present forecasting outputs, generate alerts, and support public health decision-making.</w:t>
            </w:r>
          </w:p>
          <w:p w14:paraId="02A3BCBA"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BB"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third phase focuses on field validation and practical use. This includes pilot preparation, system deployment, user training, pilot use, data collection, predictive model validation, platform effectiveness evaluation, usability and acceptability assessment, and formulation of recommendations. The expected output is a validated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system with implementation findings that can guide future refinement, scaling, and possible integration into public health surveillance workflows.</w:t>
            </w:r>
          </w:p>
          <w:p w14:paraId="02A3BCBC"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B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Overall, the figure emphasizes that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will be developed through a staged but connected process. Each study produces an output that becomes the input of the next phase. The trained models from the first phase support the platform developed in the second phase, while the pilot implementation in the third phase provides feedback for improving both the models and the platform. This workflow reflects the project’s goal of producing an AI-assisted public health surveillance and predictive analytics system that is technically sound, usable, and responsive to the needs of public health stakeholders in Region I.</w:t>
            </w:r>
          </w:p>
          <w:p w14:paraId="02A3BCB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B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sz w:val="20"/>
                <w:szCs w:val="20"/>
              </w:rPr>
            </w:pPr>
            <w:r>
              <w:rPr>
                <w:rFonts w:ascii="Arial" w:eastAsia="Arial" w:hAnsi="Arial" w:cs="Arial"/>
                <w:b/>
                <w:bCs/>
                <w:sz w:val="20"/>
                <w:szCs w:val="20"/>
              </w:rPr>
              <w:t>Technical Tools and Development Environment</w:t>
            </w:r>
          </w:p>
          <w:p w14:paraId="02A3BCC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sz w:val="20"/>
                <w:szCs w:val="20"/>
              </w:rPr>
            </w:pPr>
          </w:p>
          <w:p w14:paraId="02A3BCC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 xml:space="preserve">The development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use a web-based and Python-centered technical environment to ensure that the platform can support both software development and machine learning integration. Python will serve as the primary programming language for data preprocessing, feature engineering, model development, model evaluation, and model integration. Libraries such as Pandas, NumPy, Scikit-learn, </w:t>
            </w:r>
            <w:proofErr w:type="spellStart"/>
            <w:r>
              <w:rPr>
                <w:rFonts w:ascii="Arial" w:eastAsia="Arial" w:hAnsi="Arial" w:cs="Arial"/>
                <w:sz w:val="20"/>
                <w:szCs w:val="20"/>
              </w:rPr>
              <w:t>Statsmodels</w:t>
            </w:r>
            <w:proofErr w:type="spellEnd"/>
            <w:r>
              <w:rPr>
                <w:rFonts w:ascii="Arial" w:eastAsia="Arial" w:hAnsi="Arial" w:cs="Arial"/>
                <w:sz w:val="20"/>
                <w:szCs w:val="20"/>
              </w:rPr>
              <w:t xml:space="preserve">,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Matplotlib, Plotly, and SHAP may be used for data cleaning, exploratory analysis, forecasting, classification, visualization, and model interpretability. </w:t>
            </w:r>
            <w:proofErr w:type="spellStart"/>
            <w:r>
              <w:rPr>
                <w:rFonts w:ascii="Arial" w:eastAsia="Arial" w:hAnsi="Arial" w:cs="Arial"/>
                <w:sz w:val="20"/>
                <w:szCs w:val="20"/>
              </w:rPr>
              <w:t>Jupyter</w:t>
            </w:r>
            <w:proofErr w:type="spellEnd"/>
            <w:r>
              <w:rPr>
                <w:rFonts w:ascii="Arial" w:eastAsia="Arial" w:hAnsi="Arial" w:cs="Arial"/>
                <w:sz w:val="20"/>
                <w:szCs w:val="20"/>
              </w:rPr>
              <w:t xml:space="preserve"> Notebook may also be used during experimentation to document the model development process and support reproducibility.</w:t>
            </w:r>
          </w:p>
          <w:p w14:paraId="02A3BCC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C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For the platform component, the backend may be developed using </w:t>
            </w:r>
            <w:proofErr w:type="spellStart"/>
            <w:r>
              <w:rPr>
                <w:rFonts w:ascii="Arial" w:eastAsia="Arial" w:hAnsi="Arial" w:cs="Arial"/>
                <w:sz w:val="20"/>
                <w:szCs w:val="20"/>
              </w:rPr>
              <w:t>FastAPI</w:t>
            </w:r>
            <w:proofErr w:type="spellEnd"/>
            <w:r>
              <w:rPr>
                <w:rFonts w:ascii="Arial" w:eastAsia="Arial" w:hAnsi="Arial" w:cs="Arial"/>
                <w:sz w:val="20"/>
                <w:szCs w:val="20"/>
              </w:rPr>
              <w:t xml:space="preserve"> with Python because it allows the predictive models and preprocessing pipelines to be integrated directly into the system through application programming interfaces. </w:t>
            </w:r>
            <w:proofErr w:type="spellStart"/>
            <w:r>
              <w:rPr>
                <w:rFonts w:ascii="Arial" w:eastAsia="Arial" w:hAnsi="Arial" w:cs="Arial"/>
                <w:sz w:val="20"/>
                <w:szCs w:val="20"/>
              </w:rPr>
              <w:t>FastAPI</w:t>
            </w:r>
            <w:proofErr w:type="spellEnd"/>
            <w:r>
              <w:rPr>
                <w:rFonts w:ascii="Arial" w:eastAsia="Arial" w:hAnsi="Arial" w:cs="Arial"/>
                <w:sz w:val="20"/>
                <w:szCs w:val="20"/>
              </w:rPr>
              <w:t xml:space="preserve"> will support core backend services such as data upload, validation, model inference, alert generation, report generation, user access, and communication with the database. This approach is feasible because the same language environment used for model development can also support model deployment.</w:t>
            </w:r>
          </w:p>
          <w:p w14:paraId="02A3BCC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C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frontend may be developed using Next.js with TypeScript to provide a structured and maintainable web interface. </w:t>
            </w:r>
            <w:proofErr w:type="spellStart"/>
            <w:r>
              <w:rPr>
                <w:rFonts w:ascii="Arial" w:eastAsia="Arial" w:hAnsi="Arial" w:cs="Arial"/>
                <w:sz w:val="20"/>
                <w:szCs w:val="20"/>
              </w:rPr>
              <w:t>TailwindCSS</w:t>
            </w:r>
            <w:proofErr w:type="spellEnd"/>
            <w:r>
              <w:rPr>
                <w:rFonts w:ascii="Arial" w:eastAsia="Arial" w:hAnsi="Arial" w:cs="Arial"/>
                <w:sz w:val="20"/>
                <w:szCs w:val="20"/>
              </w:rPr>
              <w:t xml:space="preserve"> and </w:t>
            </w:r>
            <w:proofErr w:type="spellStart"/>
            <w:r>
              <w:rPr>
                <w:rFonts w:ascii="Arial" w:eastAsia="Arial" w:hAnsi="Arial" w:cs="Arial"/>
                <w:sz w:val="20"/>
                <w:szCs w:val="20"/>
              </w:rPr>
              <w:t>shadcn</w:t>
            </w:r>
            <w:proofErr w:type="spellEnd"/>
            <w:r>
              <w:rPr>
                <w:rFonts w:ascii="Arial" w:eastAsia="Arial" w:hAnsi="Arial" w:cs="Arial"/>
                <w:sz w:val="20"/>
                <w:szCs w:val="20"/>
              </w:rPr>
              <w:t>/</w:t>
            </w:r>
            <w:proofErr w:type="spellStart"/>
            <w:r>
              <w:rPr>
                <w:rFonts w:ascii="Arial" w:eastAsia="Arial" w:hAnsi="Arial" w:cs="Arial"/>
                <w:sz w:val="20"/>
                <w:szCs w:val="20"/>
              </w:rPr>
              <w:t>ui</w:t>
            </w:r>
            <w:proofErr w:type="spellEnd"/>
            <w:r>
              <w:rPr>
                <w:rFonts w:ascii="Arial" w:eastAsia="Arial" w:hAnsi="Arial" w:cs="Arial"/>
                <w:sz w:val="20"/>
                <w:szCs w:val="20"/>
              </w:rPr>
              <w:t xml:space="preserve"> may be used to create a clean and consistent interface for public health users. Disease trends, forecasting outputs, and summary indicators may be visualized using Recharts or </w:t>
            </w:r>
            <w:proofErr w:type="spellStart"/>
            <w:r>
              <w:rPr>
                <w:rFonts w:ascii="Arial" w:eastAsia="Arial" w:hAnsi="Arial" w:cs="Arial"/>
                <w:sz w:val="20"/>
                <w:szCs w:val="20"/>
              </w:rPr>
              <w:t>ECharts</w:t>
            </w:r>
            <w:proofErr w:type="spellEnd"/>
            <w:r>
              <w:rPr>
                <w:rFonts w:ascii="Arial" w:eastAsia="Arial" w:hAnsi="Arial" w:cs="Arial"/>
                <w:sz w:val="20"/>
                <w:szCs w:val="20"/>
              </w:rPr>
              <w:t>, while map-based disease monitoring may be supported using Leaflet. Leaflet is recommended for the initial prototype because it is lightweight and suitable for displaying municipality-level or barangay-level disease maps.</w:t>
            </w:r>
          </w:p>
          <w:p w14:paraId="02A3BCC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C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data layer may use PostgreSQL as the main relational database because the platform will handle structured surveillance records, user accounts, forecast outputs, alert logs, and reports. </w:t>
            </w:r>
            <w:proofErr w:type="spellStart"/>
            <w:r>
              <w:rPr>
                <w:rFonts w:ascii="Arial" w:eastAsia="Arial" w:hAnsi="Arial" w:cs="Arial"/>
                <w:sz w:val="20"/>
                <w:szCs w:val="20"/>
              </w:rPr>
              <w:t>PostGIS</w:t>
            </w:r>
            <w:proofErr w:type="spellEnd"/>
            <w:r>
              <w:rPr>
                <w:rFonts w:ascii="Arial" w:eastAsia="Arial" w:hAnsi="Arial" w:cs="Arial"/>
                <w:sz w:val="20"/>
                <w:szCs w:val="20"/>
              </w:rPr>
              <w:t xml:space="preserve"> may be added to support geospatial data storage and map-based analysis. Redis may be used only when needed for caching, background queues, temporary alert states, or system responsiveness. For deployment and portability, Docker may be used to package the backend, frontend, database, and related services. Git and GitHub or GitLab may be used for version control, collaborative development, and documentation.</w:t>
            </w:r>
          </w:p>
          <w:p w14:paraId="02A3BCC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C9" w14:textId="30BA7A6B"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1: </w:t>
            </w:r>
            <w:r w:rsidR="00A73F00">
              <w:rPr>
                <w:rFonts w:ascii="Arial" w:eastAsia="Arial" w:hAnsi="Arial" w:cs="Arial"/>
                <w:b/>
                <w:bCs/>
                <w:color w:val="000000"/>
                <w:sz w:val="20"/>
                <w:szCs w:val="20"/>
              </w:rPr>
              <w:t>Development of Machine Learning Models for Disease Trend Detection and Outbreak Forecasting</w:t>
            </w:r>
          </w:p>
          <w:p w14:paraId="02A3BCC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CCB" w14:textId="575542B8"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color w:val="000000"/>
                <w:sz w:val="20"/>
                <w:szCs w:val="20"/>
              </w:rPr>
              <w:t xml:space="preserve">This will focus on the development and evaluation of machine learning-based predictive models for disease trend detection, outbreak signal identification, and outbreak forecasting for dengue fever, </w:t>
            </w:r>
            <w:r w:rsidR="009934C6">
              <w:rPr>
                <w:rFonts w:ascii="Arial" w:eastAsia="Arial" w:hAnsi="Arial" w:cs="Arial"/>
                <w:color w:val="000000"/>
                <w:sz w:val="20"/>
                <w:szCs w:val="20"/>
              </w:rPr>
              <w:t>measles</w:t>
            </w:r>
            <w:r>
              <w:rPr>
                <w:rFonts w:ascii="Arial" w:eastAsia="Arial" w:hAnsi="Arial" w:cs="Arial"/>
                <w:color w:val="000000"/>
                <w:sz w:val="20"/>
                <w:szCs w:val="20"/>
              </w:rPr>
              <w:t xml:space="preserve">, and influenza-like illnesses in Region I. This study will use a quantitative, developmental, and predictive analytics approach because it involves the systematic collection and processing of disease-related datasets, the analysis of temporal and spatial disease patterns, and the development of computational models that can generate disease forecasts and outbreak risk estimates. The study will produce trained and validated predictive models that will serve as the analytical foundation of the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platform. </w:t>
            </w:r>
          </w:p>
          <w:p w14:paraId="02A3BCC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CCD"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b/>
                <w:bCs/>
                <w:color w:val="000000"/>
                <w:sz w:val="20"/>
                <w:szCs w:val="20"/>
              </w:rPr>
            </w:pPr>
            <w:r>
              <w:rPr>
                <w:rFonts w:ascii="Arial" w:eastAsia="Arial" w:hAnsi="Arial" w:cs="Arial"/>
                <w:b/>
                <w:bCs/>
                <w:noProof/>
                <w:sz w:val="20"/>
                <w:szCs w:val="20"/>
              </w:rPr>
              <w:lastRenderedPageBreak/>
              <w:drawing>
                <wp:inline distT="114300" distB="114300" distL="114300" distR="114300" wp14:anchorId="02A3BFBC" wp14:editId="02A3BFBD">
                  <wp:extent cx="5419725" cy="3152812"/>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t="12618" b="10046"/>
                          <a:stretch>
                            <a:fillRect/>
                          </a:stretch>
                        </pic:blipFill>
                        <pic:spPr>
                          <a:xfrm>
                            <a:off x="0" y="0"/>
                            <a:ext cx="5419725" cy="3152812"/>
                          </a:xfrm>
                          <a:prstGeom prst="rect">
                            <a:avLst/>
                          </a:prstGeom>
                          <a:ln/>
                        </pic:spPr>
                      </pic:pic>
                    </a:graphicData>
                  </a:graphic>
                </wp:inline>
              </w:drawing>
            </w:r>
          </w:p>
          <w:p w14:paraId="02A3BCCE"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 xml:space="preserve">Figure 2. Methodological framework for the </w:t>
            </w:r>
            <w:r>
              <w:rPr>
                <w:rFonts w:ascii="Arial" w:eastAsia="Arial" w:hAnsi="Arial" w:cs="Arial"/>
                <w:sz w:val="20"/>
                <w:szCs w:val="20"/>
              </w:rPr>
              <w:t>training</w:t>
            </w:r>
            <w:r>
              <w:rPr>
                <w:rFonts w:ascii="Arial" w:eastAsia="Arial" w:hAnsi="Arial" w:cs="Arial"/>
                <w:color w:val="000000"/>
                <w:sz w:val="20"/>
                <w:szCs w:val="20"/>
              </w:rPr>
              <w:t xml:space="preserve"> of machine learning models.</w:t>
            </w:r>
          </w:p>
          <w:p w14:paraId="02A3BCC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D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Figure 2 presents the methodological framework for developing the forecasting and outbreak risk classification models for </w:t>
            </w:r>
            <w:proofErr w:type="spellStart"/>
            <w:r>
              <w:rPr>
                <w:rFonts w:ascii="Arial" w:eastAsia="Arial" w:hAnsi="Arial" w:cs="Arial"/>
                <w:sz w:val="20"/>
                <w:szCs w:val="20"/>
              </w:rPr>
              <w:t>BantayHealthAI</w:t>
            </w:r>
            <w:proofErr w:type="spellEnd"/>
            <w:r>
              <w:rPr>
                <w:rFonts w:ascii="Arial" w:eastAsia="Arial" w:hAnsi="Arial" w:cs="Arial"/>
                <w:sz w:val="20"/>
                <w:szCs w:val="20"/>
              </w:rPr>
              <w:t>. The process begins with data acquisition, where epidemiological, clinical, environmental, climate-related, and geographic datasets will be collected from authorized and relevant sources. These datasets will then undergo data preparation to ensure that the records are cleaned, standardized, aggregated according to the appropriate reporting period, and integrated into a usable format for analysis.</w:t>
            </w:r>
          </w:p>
          <w:p w14:paraId="02A3BCD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D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framework then proceeds to feature selection and extraction. In this stage, the researchers will generate relevant predictors such as lag variables, moving averages, seasonal indicators, and environmental indicators. These features are important because infectious disease patterns are often influenced by previous case counts, seasonal behavior, and environmental conditions. Exploratory, temporal, and spatial analysis will then be conducted to examine disease trends, spatial patterns, correlations, and possible outbreak-related indicators.</w:t>
            </w:r>
          </w:p>
          <w:p w14:paraId="02A3BCD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CD5" w14:textId="56E1ACA8" w:rsidR="001F340B" w:rsidRPr="000B0704"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model development stage will focus on the creation of forecasting models and risk classification models. Forecasting models will estimate future disease case counts, while risk classification models will help identify possible outbreak signals or risk levels. The developed models will then be evaluated using appropriate forecasting and classification metrics, including MAE, RMSE, accuracy, precision, recall, and F1-score. The expected output of this process is a set of validated forecasting and risk classification models that are ready for integration into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w:t>
            </w:r>
          </w:p>
          <w:p w14:paraId="02A3BCD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D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Data Acquisition</w:t>
            </w:r>
          </w:p>
          <w:p w14:paraId="02A3BCD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D9" w14:textId="46011CCE"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study will collect and consolidate datasets related to dengue fever, </w:t>
            </w:r>
            <w:r w:rsidR="009934C6">
              <w:rPr>
                <w:rFonts w:ascii="Arial" w:eastAsia="Arial" w:hAnsi="Arial" w:cs="Arial"/>
                <w:color w:val="000000"/>
                <w:sz w:val="20"/>
                <w:szCs w:val="20"/>
              </w:rPr>
              <w:t>measles</w:t>
            </w:r>
            <w:r>
              <w:rPr>
                <w:rFonts w:ascii="Arial" w:eastAsia="Arial" w:hAnsi="Arial" w:cs="Arial"/>
                <w:color w:val="000000"/>
                <w:sz w:val="20"/>
                <w:szCs w:val="20"/>
              </w:rPr>
              <w:t>, and influenza-like illnesses from relevant public health, clinical, environmental, and digital sources in Region I. The primary data sources will include official disease surveillance records from the Department of Health–Center for Health Development Region I, provincial health offices, municipal health offices, selected public hospitals, and other authorized health facilities. These records may include the date of report or epidemiological week, disease type, number of reported cases, case classification, municipality or barangay, age group, sex, morbidity, mortality, and reporting facility, depending on data availability and data-sharing permissions.</w:t>
            </w:r>
          </w:p>
          <w:p w14:paraId="02A3BCDA"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p>
          <w:p w14:paraId="02A3BCDB"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r>
              <w:rPr>
                <w:rFonts w:ascii="Arial" w:eastAsia="Arial" w:hAnsi="Arial" w:cs="Arial"/>
                <w:sz w:val="20"/>
                <w:szCs w:val="20"/>
              </w:rPr>
              <w:t xml:space="preserve">To maintain feasibility and data reliability, the study will classify data sources into core and supplementary sources. Core data sources will include official disease surveillance records, clinical or facility-based reports, environmental and climate indicators, geographic boundaries, </w:t>
            </w:r>
            <w:r>
              <w:rPr>
                <w:rFonts w:ascii="Arial" w:eastAsia="Arial" w:hAnsi="Arial" w:cs="Arial"/>
                <w:sz w:val="20"/>
                <w:szCs w:val="20"/>
              </w:rPr>
              <w:lastRenderedPageBreak/>
              <w:t>and population data. These datasets will serve as the primary basis for model development, forecasting, outbreak risk classification, and validation.</w:t>
            </w:r>
          </w:p>
          <w:p w14:paraId="02A3BCDC"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p>
          <w:p w14:paraId="02A3BCDD"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sz w:val="20"/>
                <w:szCs w:val="20"/>
              </w:rPr>
            </w:pPr>
            <w:r>
              <w:rPr>
                <w:rFonts w:ascii="Arial" w:eastAsia="Arial" w:hAnsi="Arial" w:cs="Arial"/>
                <w:sz w:val="20"/>
                <w:szCs w:val="20"/>
              </w:rPr>
              <w:t>Supplementary data sources, such as social media signals, crowdsourced symptom reports, workplace health indicators, health information system reports, and other digital health-related records, may be included only when they are available, ethically approved, technically compatible, and useful for the study objectives. These supplementary sources will be used mainly for situational awareness and exploratory analysis. They will not replace official surveillance data or serve as the sole basis for outbreak confirmation..</w:t>
            </w:r>
          </w:p>
          <w:p w14:paraId="02A3BCDE"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DF" w14:textId="3F756A8F" w:rsidR="001F340B" w:rsidRDefault="008F640F">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sidRPr="008F640F">
              <w:rPr>
                <w:rFonts w:ascii="Arial" w:eastAsia="Arial" w:hAnsi="Arial" w:cs="Arial"/>
                <w:color w:val="000000"/>
                <w:sz w:val="20"/>
                <w:szCs w:val="20"/>
              </w:rPr>
              <w:t>Environmental and climate-related datasets will also be collected because dengue transmission is strongly influenced by environmental and climatic conditions, while measles and influenza-like illnesses may exhibit seasonal patterns influenced by population, behavioral, and public health factors.</w:t>
            </w:r>
            <w:r>
              <w:rPr>
                <w:rFonts w:ascii="Arial" w:eastAsia="Arial" w:hAnsi="Arial" w:cs="Arial"/>
                <w:color w:val="000000"/>
                <w:sz w:val="20"/>
                <w:szCs w:val="20"/>
              </w:rPr>
              <w:t xml:space="preserve"> </w:t>
            </w:r>
            <w:r w:rsidR="00A73F00">
              <w:rPr>
                <w:rFonts w:ascii="Arial" w:eastAsia="Arial" w:hAnsi="Arial" w:cs="Arial"/>
                <w:color w:val="000000"/>
                <w:sz w:val="20"/>
                <w:szCs w:val="20"/>
              </w:rPr>
              <w:t>These datasets may include rainfall, temperature, relative humidity, flooding events, typhoon occurrence, and other hydrometeorological indicators. Geographic and demographic datasets, such as municipal or barangay population, population density, administrative boundaries, and location coordinates, will also be used to support spatial analysis and disease risk mapping.</w:t>
            </w:r>
          </w:p>
          <w:p w14:paraId="02A3BCE0"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E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The recommended historical coverage for model development will be at least three to five years of disease surveillance data. Weekly case counts will be preferred because they are commonly used in public health surveillance and can reduce daily reporting noise. If daily records are available, they will be aggregated into epidemiological weeks. If only monthly data are available, the models will be adjusted to reflect the lower temporal resolution.</w:t>
            </w:r>
          </w:p>
          <w:p w14:paraId="02A3BCE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p>
          <w:p w14:paraId="02A3BCE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i/>
                <w:iCs/>
                <w:color w:val="000000"/>
                <w:sz w:val="20"/>
                <w:szCs w:val="20"/>
              </w:rPr>
              <w:t>Data Preparation</w:t>
            </w:r>
          </w:p>
          <w:p w14:paraId="02A3BCE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E6"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All collected datasets will undergo systematic cleaning, preprocessing, and standardization before analysis and model development. The research team will first conduct data quality assessment to identify missing values, duplicate entries, inconsistent disease labels, incomplete location fields, incorrect dates, reporting gaps, outlier values, inconsistent formats, and possible encoding errors. These issues are expected in public health datasets because disease surveillance records often come from multiple reporting units and may vary in completeness and structure.</w:t>
            </w:r>
          </w:p>
          <w:p w14:paraId="02A3BCE7"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E8"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Missing values will be handled based on the type and importance of the variable. For time-series disease counts, missing observations may be addressed through interpolation, forward filling, backward filling, or exclusion, depending on the length and pattern of missingness. For environmental variables, mean, median, or time-based imputation may be used when appropriate. Records with critical missing information, such as disease type, date, or location, may be excluded if they cannot be reliably corrected.</w:t>
            </w:r>
          </w:p>
          <w:p w14:paraId="02A3BCE9"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EA" w14:textId="193B4ED0"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datasets will then be standardized using common identifiers and formats. Disease names will be harmonized to ensure consistent labeling of dengue fever, </w:t>
            </w:r>
            <w:r w:rsidR="009934C6">
              <w:rPr>
                <w:rFonts w:ascii="Arial" w:eastAsia="Arial" w:hAnsi="Arial" w:cs="Arial"/>
                <w:color w:val="000000"/>
                <w:sz w:val="20"/>
                <w:szCs w:val="20"/>
              </w:rPr>
              <w:t>measles</w:t>
            </w:r>
            <w:r>
              <w:rPr>
                <w:rFonts w:ascii="Arial" w:eastAsia="Arial" w:hAnsi="Arial" w:cs="Arial"/>
                <w:color w:val="000000"/>
                <w:sz w:val="20"/>
                <w:szCs w:val="20"/>
              </w:rPr>
              <w:t>, and influenza-like illnesses. Dates will be converted into a common format and organized by epidemiological week, month, or reporting period. Geographic fields will be standardized using official municipality or barangay names and administrative codes. Case counts may also be converted into incidence rates per 100,000 population to allow fair comparison across municipalities with different population sizes.</w:t>
            </w:r>
          </w:p>
          <w:p w14:paraId="02A3BCEB"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ED" w14:textId="71671564"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Data from different sources will be integrated through shared fields such as date, epidemiological week, disease type, municipality or barangay, and reporting unit. Environmental and climate variables will be aligned with disease records based on location and time period. Where necessary, lagged environmental variables will be created to account for delayed disease effects. For example, rainfall from previous weeks may be used as a predictor for dengue or </w:t>
            </w:r>
            <w:r w:rsidR="009934C6">
              <w:rPr>
                <w:rFonts w:ascii="Arial" w:eastAsia="Arial" w:hAnsi="Arial" w:cs="Arial"/>
                <w:color w:val="000000"/>
                <w:sz w:val="20"/>
                <w:szCs w:val="20"/>
              </w:rPr>
              <w:t>measles</w:t>
            </w:r>
            <w:r>
              <w:rPr>
                <w:rFonts w:ascii="Arial" w:eastAsia="Arial" w:hAnsi="Arial" w:cs="Arial"/>
                <w:color w:val="000000"/>
                <w:sz w:val="20"/>
                <w:szCs w:val="20"/>
              </w:rPr>
              <w:t xml:space="preserve"> cases in later weeks.</w:t>
            </w:r>
          </w:p>
          <w:p w14:paraId="02A3BCE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p>
          <w:p w14:paraId="02A3BCE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i/>
                <w:iCs/>
                <w:color w:val="000000"/>
                <w:sz w:val="20"/>
                <w:szCs w:val="20"/>
              </w:rPr>
              <w:t>Feature Selection and Extraction</w:t>
            </w:r>
          </w:p>
          <w:p w14:paraId="02A3BCF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F1"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After preprocessing, the study will generate relevant predictive features for disease trend detection and outbreak forecasting. Feature engineering will be conducted to transform raw </w:t>
            </w:r>
            <w:r>
              <w:rPr>
                <w:rFonts w:ascii="Arial" w:eastAsia="Arial" w:hAnsi="Arial" w:cs="Arial"/>
                <w:color w:val="000000"/>
                <w:sz w:val="20"/>
                <w:szCs w:val="20"/>
              </w:rPr>
              <w:lastRenderedPageBreak/>
              <w:t>surveillance and environmental data into meaningful variables that can improve model performance.</w:t>
            </w:r>
          </w:p>
          <w:p w14:paraId="02A3BCF2"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3"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For temporal analysis, the study will generate lagged case variables, such as disease cases from the previous one, two, three, and four weeks. Moving averages may also be computed to smooth short-term fluctuations and capture broader disease trends. Seasonal indicators, such as month, quarter, rainy season, dry season, and epidemiological week, will be included to help the models recognize recurring seasonal behavior.</w:t>
            </w:r>
          </w:p>
          <w:p w14:paraId="02A3BCF4"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5" w14:textId="39E24047" w:rsidR="001F340B" w:rsidRDefault="00AD6829">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sidRPr="00AD6829">
              <w:rPr>
                <w:rFonts w:ascii="Arial" w:eastAsia="Arial" w:hAnsi="Arial" w:cs="Arial"/>
                <w:color w:val="000000"/>
                <w:sz w:val="20"/>
                <w:szCs w:val="20"/>
              </w:rPr>
              <w:t xml:space="preserve">For environmental modeling, rainfall, temperature, humidity, and other climate-related indicators may be lagged to represent delayed effects on disease occurrence. </w:t>
            </w:r>
            <w:r w:rsidR="00345ACB" w:rsidRPr="00345ACB">
              <w:rPr>
                <w:rFonts w:ascii="Arial" w:eastAsia="Arial" w:hAnsi="Arial" w:cs="Arial"/>
                <w:color w:val="000000"/>
                <w:sz w:val="20"/>
                <w:szCs w:val="20"/>
              </w:rPr>
              <w:t>This is particularly important for dengue because rainfall and other environmental conditions may influence mosquito breeding and disease transmission after a time delay</w:t>
            </w:r>
            <w:r w:rsidRPr="00AD6829">
              <w:rPr>
                <w:rFonts w:ascii="Arial" w:eastAsia="Arial" w:hAnsi="Arial" w:cs="Arial"/>
                <w:color w:val="000000"/>
                <w:sz w:val="20"/>
                <w:szCs w:val="20"/>
              </w:rPr>
              <w:t>. For measles, vaccination coverage, population susceptibility, and historical outbreak patterns may provide more meaningful predictors</w:t>
            </w:r>
            <w:r w:rsidR="00A73F00">
              <w:rPr>
                <w:rFonts w:ascii="Arial" w:eastAsia="Arial" w:hAnsi="Arial" w:cs="Arial"/>
                <w:color w:val="000000"/>
                <w:sz w:val="20"/>
                <w:szCs w:val="20"/>
              </w:rPr>
              <w:t>. For influenza-like illnesses, temporal patterns, previous case counts, syndromic indicators, and seasonal variables may be more relevant.</w:t>
            </w:r>
          </w:p>
          <w:p w14:paraId="02A3BCF6"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7"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Geographic and demographic features may include municipality, population size, population density, urban or rural classification, disease incidence rate, and previous outbreak history. If spatial data are available, the study may also generate location-based indicators such as neighboring-area case burden or municipality-level risk classification.</w:t>
            </w:r>
          </w:p>
          <w:p w14:paraId="02A3BCF8"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The final feature set will be reviewed for relevance, completeness, and potential redundancy. Correlation analysis and feature importance techniques may be used to identify variables that contribute meaningfully to prediction. Highly correlated or redundant variables may be removed to reduce overfitting and improve model interpretability.</w:t>
            </w:r>
          </w:p>
          <w:p w14:paraId="02A3BCF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CFB" w14:textId="00557F39"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 xml:space="preserve">The study will conduct exploratory data analysis to describe and understand the behavior of dengue fever, </w:t>
            </w:r>
            <w:r w:rsidR="000F3BA4">
              <w:rPr>
                <w:rFonts w:ascii="Arial" w:eastAsia="Arial" w:hAnsi="Arial" w:cs="Arial"/>
                <w:color w:val="000000"/>
                <w:sz w:val="20"/>
                <w:szCs w:val="20"/>
              </w:rPr>
              <w:t>measles</w:t>
            </w:r>
            <w:r>
              <w:rPr>
                <w:rFonts w:ascii="Arial" w:eastAsia="Arial" w:hAnsi="Arial" w:cs="Arial"/>
                <w:color w:val="000000"/>
                <w:sz w:val="20"/>
                <w:szCs w:val="20"/>
              </w:rPr>
              <w:t>, and influenza-like illnesses in Region I. This step will provide the empirical basis for model development and help identify important trends, seasonal patterns, and outbreak-related indicators.</w:t>
            </w:r>
          </w:p>
          <w:p w14:paraId="02A3BCFC"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D"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Temporal analysis will examine disease patterns over time. The research team will generate time-series plots of reported cases by disease, municipality, and reporting period. Seasonal decomposition may be used to separate long-term trends, seasonal components, and irregular fluctuations. The study will also examine whether cases increase during specific months, rainy seasons, typhoon periods, or other recurring environmental conditions.</w:t>
            </w:r>
          </w:p>
          <w:p w14:paraId="02A3BCFE"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CFF"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Pr>
                <w:rFonts w:ascii="Arial" w:eastAsia="Arial" w:hAnsi="Arial" w:cs="Arial"/>
                <w:color w:val="000000"/>
                <w:sz w:val="20"/>
                <w:szCs w:val="20"/>
              </w:rPr>
              <w:t>Spatial analysis will examine the geographic distribution of disease cases. Disease incidence rates may be mapped by municipality or barangay using choropleth maps, heatmaps, or risk-level maps. These visualizations will help identify areas with consistently high disease burden, recurring outbreaks, or unusual increases in cases. If sufficient spatial data are available, hotspot analysis may be conducted to identify statistically significant clusters of disease activity.</w:t>
            </w:r>
          </w:p>
          <w:p w14:paraId="02A3BD00"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D01" w14:textId="45539204" w:rsidR="001F340B" w:rsidRDefault="006121F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r w:rsidRPr="006121FB">
              <w:rPr>
                <w:rFonts w:ascii="Arial" w:eastAsia="Arial" w:hAnsi="Arial" w:cs="Arial"/>
                <w:color w:val="000000"/>
                <w:sz w:val="20"/>
                <w:szCs w:val="20"/>
              </w:rPr>
              <w:t>Correlation and lag analysis will be used to explore relationships between disease cases and possible predictors. For example, the study may examine the relationship between dengue cases and rainfall, temperature, and humidity at different lag periods. For measles, the analysis may focus more closely on vaccination coverage, population susceptibility, historical outbreak patterns, and demographic factors that may influence disease transmission. For influenza-like illnesses, the analysis may focus on temporal clustering, previous case levels, and syndromic indicators.</w:t>
            </w:r>
          </w:p>
          <w:p w14:paraId="02A3BD02"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D0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The results of exploratory, temporal, and spatial analysis will guide the selection of features and modeling techniques. They will also help ensure that the machine learning models are not developed as purely technical tools, but as public health models grounded in actual disease behavior and local surveillance patterns.</w:t>
            </w:r>
          </w:p>
          <w:p w14:paraId="02A3BD0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p>
          <w:p w14:paraId="02A3BD0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Model Training</w:t>
            </w:r>
          </w:p>
          <w:p w14:paraId="02A3BD0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08" w14:textId="0961BD65" w:rsidR="001F340B" w:rsidRDefault="000D5C78">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sidRPr="000D5C78">
              <w:rPr>
                <w:rFonts w:ascii="Arial" w:eastAsia="Arial" w:hAnsi="Arial" w:cs="Arial"/>
                <w:sz w:val="20"/>
                <w:szCs w:val="20"/>
              </w:rPr>
              <w:t xml:space="preserve">The study will develop disease-specific predictive and forecasting models for dengue fever, measles, and influenza-like illnesses using Python. Separate disease-specific models will be developed because the three diseases differ in transmission patterns, environmental drivers, </w:t>
            </w:r>
            <w:r w:rsidRPr="000D5C78">
              <w:rPr>
                <w:rFonts w:ascii="Arial" w:eastAsia="Arial" w:hAnsi="Arial" w:cs="Arial"/>
                <w:sz w:val="20"/>
                <w:szCs w:val="20"/>
              </w:rPr>
              <w:lastRenderedPageBreak/>
              <w:t>seasonality, reporting behavior, and outbreak characteristics. Dengue fever is often influenced by rainfall, temperature, mosquito breeding conditions, and lagged environmental effects. Measles transmission is strongly associated with vaccination coverage, population immunity, demographic characteristics, and the accumulation of susceptible individuals within communities. Influenza-like illnesses are more strongly linked to respiratory transmission, syndromic trends, seasonality, and previous case patterns. Because of these differences, each disease may require its own predictors, lag structures, and alert thresholds.</w:t>
            </w:r>
          </w:p>
          <w:p w14:paraId="02A3BD0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0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model development process will focus on two practical tasks: case forecasting and outbreak risk classification. Case forecasting will estimate the expected number of disease cases for a future period, such as one week, two weeks, or four weeks ahead. Outbreak risk classification will classify the disease situation as low risk, moderate risk, high risk, or potential outbreak based on observed trends, predicted case increases, and predefined alert thresholds.</w:t>
            </w:r>
          </w:p>
          <w:p w14:paraId="02A3BD0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0C" w14:textId="2D29B328"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For case forecasting, the study will use Moving Average, ARIMA or SARIMA, and Random Forest Regressor. Moving Average will serve as the simplest baseline forecasting model because it is easy to implement, easy to interpret, and useful for determining whether more advanced models provide meaningful improvement. ARIMA or SARIMA will serve as the main statistical time-series forecasting model. ARIMA may be used when the data show temporal dependence, while SARIMA may be used when seasonal disease patterns are observed. These models are suitable for surveillance data because dengue fever, </w:t>
            </w:r>
            <w:r w:rsidR="000D5C78">
              <w:rPr>
                <w:rFonts w:ascii="Arial" w:eastAsia="Arial" w:hAnsi="Arial" w:cs="Arial"/>
                <w:sz w:val="20"/>
                <w:szCs w:val="20"/>
              </w:rPr>
              <w:t>measles</w:t>
            </w:r>
            <w:r>
              <w:rPr>
                <w:rFonts w:ascii="Arial" w:eastAsia="Arial" w:hAnsi="Arial" w:cs="Arial"/>
                <w:sz w:val="20"/>
                <w:szCs w:val="20"/>
              </w:rPr>
              <w:t>, and influenza-like illnesses may show recurring temporal or seasonal trends. Random Forest Regressor will serve as the main machine learning forecasting model because it is practical, stable, and suitable for structured epidemiological, environmental, temporal, and location-based predictors. It can also capture nonlinear relationships between disease cases and possible predictors without requiring highly complex model design.</w:t>
            </w:r>
          </w:p>
          <w:p w14:paraId="02A3BD0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0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For outbreak risk classification, the study will use Logistic Regression, Random Forest Classifier, and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Classifier. Logistic Regression will provide an interpretable baseline classification model and will help explain how selected predictors relate to the likelihood of a higher-risk disease situation. Random Forest Classifier will serve as the main machine learning classification model because it can handle nonlinear relationships and interactions among epidemiological, environmental, and temporal predictors while remaining relatively easy to implement and interpret through feature importance.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Classifier may be used as an advanced comparison model because gradient boosting methods often perform well with structured tabular data. However, these models will be used only when the dataset is sufficiently complete and stable enough to support reliable tuning and validation.</w:t>
            </w:r>
          </w:p>
          <w:p w14:paraId="02A3BD0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selected algorithms are feasible for the project because they are supported by stable Python libraries and can be implemented using commonly available computing resources. Pandas and NumPy will be used for data preparation and feature engineering. </w:t>
            </w:r>
            <w:proofErr w:type="spellStart"/>
            <w:r>
              <w:rPr>
                <w:rFonts w:ascii="Arial" w:eastAsia="Arial" w:hAnsi="Arial" w:cs="Arial"/>
                <w:sz w:val="20"/>
                <w:szCs w:val="20"/>
              </w:rPr>
              <w:t>Statsmodels</w:t>
            </w:r>
            <w:proofErr w:type="spellEnd"/>
            <w:r>
              <w:rPr>
                <w:rFonts w:ascii="Arial" w:eastAsia="Arial" w:hAnsi="Arial" w:cs="Arial"/>
                <w:sz w:val="20"/>
                <w:szCs w:val="20"/>
              </w:rPr>
              <w:t xml:space="preserve"> will be used for ARIMA or SARIMA modeling, while Scikit-learn will be used for Moving Average implementation, Random Forest models, Logistic Regression, and model evaluation.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may be used for advanced classification if data quality and volume are sufficient.</w:t>
            </w:r>
          </w:p>
          <w:p w14:paraId="02A3BD1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Outbreak thresholds will be defined using appropriate epidemiological or statistical criteria. When available, official alert or epidemic thresholds from public health authorities will be used. If official thresholds are not available for a specific disease or locality, the study may use historical percentile thresholds, moving average-based thresholds, or standard deviation-based alert levels. These thresholds will be used to label outbreak or non-outbreak periods for classification modeling.</w:t>
            </w:r>
          </w:p>
          <w:p w14:paraId="02A3BD1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models will be trained and validated using time-aware procedures to avoid data leakage. Since disease surveillance data are temporal in nature, random splitting will not be the primary method because it may allow future information to influence past predictions. Instead, the dataset will be arranged chronologically. A recommended split will assign the earliest 70% of observations to the training set, the next 15% to the validation set, and the most recent 15% to the test set. The training set will be used to fit the models, the validation set will be used for tuning and model selection, and the test set will be used for final performance evaluation.</w:t>
            </w:r>
          </w:p>
          <w:p w14:paraId="02A3BD1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When the data volume allows, rolling-origin validation or walk-forward validation may also be used. In this procedure, the model is repeatedly trained on earlier time periods and tested on later time periods. This approach better reflects real-world forecasting because the model must predict future disease activity using only information available at the time of prediction.</w:t>
            </w:r>
          </w:p>
          <w:p w14:paraId="02A3BD1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Hyperparameter tuning will be conducted only for models that require tuning, such as Random Forest and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Grid search or random search may be used depending on the number of candidate settings and available computing resources. Model tuning will focus on improving predictive performance while avoiding overfitting. Model selection will consider forecasting accuracy, classification performance, interpretability, stability, computational efficiency, and suitability for integration into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w:t>
            </w:r>
          </w:p>
          <w:p w14:paraId="02A3BD1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selection of algorithms will prioritize feasibility, interpretability, and suitability for the expected surveillance data. Since the study will use disease case counts, reporting dates, locations, environmental indicators, demographic variables, and possible clinical or digital health-related indicators, the models must work well with structured tabular and time-series data. Moving Average and ARIMA or SARIMA will provide interpretable forecasting baselines, while Random Forest Regressor will serve as the primary machine learning model for case forecasting. Logistic Regression will provide an interpretable baseline for outbreak risk classification, while Random Forest Classifier and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Classifier will be used to capture more complex predictor relationships. This selection balances predictive performance with practicality, explainability, and ease of integration into a web-based public health decision-support platform.</w:t>
            </w:r>
          </w:p>
          <w:p w14:paraId="02A3BD1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sz w:val="20"/>
                <w:szCs w:val="20"/>
              </w:rPr>
            </w:pPr>
            <w:r>
              <w:rPr>
                <w:rFonts w:ascii="Arial" w:eastAsia="Arial" w:hAnsi="Arial" w:cs="Arial"/>
                <w:i/>
                <w:iCs/>
                <w:sz w:val="20"/>
                <w:szCs w:val="20"/>
              </w:rPr>
              <w:t>Controlled Continuous Learning and Model Updating</w:t>
            </w:r>
          </w:p>
          <w:p w14:paraId="02A3BD1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1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To support continuous improvement after deployment, the study may incorporate a controlled continuous learning process within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In this approach, the system will not automatically retrain and replace deployed models after every new data entry. Instead, newly uploaded or entered surveillance data will first undergo validation, preprocessing, and quality checking before they are considered for future model updating. This approach is necessary because public health surveillance data may contain delayed reports, duplicate records, missing values, reporting gaps, or later corrections that could affect model reliability if used without review.</w:t>
            </w:r>
          </w:p>
          <w:p w14:paraId="02A3BD2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21" w14:textId="1E246C0F"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platform may include a model monitoring and retraining readiness function that checks whether model updating is advisable as new data </w:t>
            </w:r>
            <w:r w:rsidR="00987D86">
              <w:rPr>
                <w:rFonts w:ascii="Arial" w:eastAsia="Arial" w:hAnsi="Arial" w:cs="Arial"/>
                <w:sz w:val="20"/>
                <w:szCs w:val="20"/>
              </w:rPr>
              <w:t>becomes</w:t>
            </w:r>
            <w:r>
              <w:rPr>
                <w:rFonts w:ascii="Arial" w:eastAsia="Arial" w:hAnsi="Arial" w:cs="Arial"/>
                <w:sz w:val="20"/>
                <w:szCs w:val="20"/>
              </w:rPr>
              <w:t xml:space="preserve"> available. This function may assess the amount of new validated data, data completeness, data quality, recent prediction errors, forecast reliability, and possible changes in disease patterns. For example, the system may compare recent predicted case counts with observed cases and monitor whether forecasting errors increase over time. It may also monitor whether outbreak risk classification performance declines, such as when sensitivity, precision, or F1-score becomes lower than the accepted performance level.</w:t>
            </w:r>
          </w:p>
          <w:p w14:paraId="02A3BD2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23" w14:textId="76523E6F"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If the new data are still insufficient, incomplete, or unstable, the system will continue using the current deployed model while updating the dashboard, forecasts, alerts, and reports using the latest validated records. If there are signs of declining model performance, meaningful changes in disease patterns, or enough validated new data for model updating, the system may recommend retraining for </w:t>
            </w:r>
            <w:r w:rsidR="00987D86">
              <w:rPr>
                <w:rFonts w:ascii="Arial" w:eastAsia="Arial" w:hAnsi="Arial" w:cs="Arial"/>
                <w:sz w:val="20"/>
                <w:szCs w:val="20"/>
              </w:rPr>
              <w:t xml:space="preserve">the </w:t>
            </w:r>
            <w:r>
              <w:rPr>
                <w:rFonts w:ascii="Arial" w:eastAsia="Arial" w:hAnsi="Arial" w:cs="Arial"/>
                <w:sz w:val="20"/>
                <w:szCs w:val="20"/>
              </w:rPr>
              <w:t>researcher or administrator review. The updated model will then be trained, validated, and compared with the currently deployed model before replacement. Only models that show acceptable or improved performance will be deployed in the platform.</w:t>
            </w:r>
          </w:p>
          <w:p w14:paraId="02A3BD2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2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This controlled continuous learning approach will allow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to remain responsive to new disease surveillance information while maintaining model stability, traceability, and accountability. It will also help ensure that model updates are based on sufficient and reliable data rather than short-term fluctuations or incomplete daily reports. Previous model versions, training dates, data coverage, evaluation results, and deployment decisions will be documented to support transparency and future auditing.</w:t>
            </w:r>
          </w:p>
          <w:p w14:paraId="02A3BD2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2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This process will be treated as a controlled model improvement workflow rather than fully automated self-learning, ensuring that updates remain technically valid, ethically responsible, and appropriate for public health decision support</w:t>
            </w:r>
          </w:p>
          <w:p w14:paraId="02A3BD2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2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2A" w14:textId="45D6A813"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2: </w:t>
            </w:r>
            <w:r w:rsidR="00A73F00">
              <w:rPr>
                <w:rFonts w:ascii="Arial" w:eastAsia="Arial" w:hAnsi="Arial" w:cs="Arial"/>
                <w:b/>
                <w:bCs/>
                <w:color w:val="000000"/>
                <w:sz w:val="20"/>
                <w:szCs w:val="20"/>
              </w:rPr>
              <w:t xml:space="preserve">Development of the </w:t>
            </w:r>
            <w:proofErr w:type="spellStart"/>
            <w:r w:rsidR="00A73F00">
              <w:rPr>
                <w:rFonts w:ascii="Arial" w:eastAsia="Arial" w:hAnsi="Arial" w:cs="Arial"/>
                <w:b/>
                <w:bCs/>
                <w:color w:val="000000"/>
                <w:sz w:val="20"/>
                <w:szCs w:val="20"/>
              </w:rPr>
              <w:t>BantayHealthAI</w:t>
            </w:r>
            <w:proofErr w:type="spellEnd"/>
            <w:r w:rsidR="00A73F00">
              <w:rPr>
                <w:rFonts w:ascii="Arial" w:eastAsia="Arial" w:hAnsi="Arial" w:cs="Arial"/>
                <w:b/>
                <w:bCs/>
                <w:color w:val="000000"/>
                <w:sz w:val="20"/>
                <w:szCs w:val="20"/>
              </w:rPr>
              <w:t xml:space="preserve"> Surveillance and Predictive Analytics Platform</w:t>
            </w:r>
          </w:p>
          <w:p w14:paraId="02A3BD2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2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 xml:space="preserve">The main output of this study will be a functional </w:t>
            </w:r>
            <w:proofErr w:type="spellStart"/>
            <w:r>
              <w:rPr>
                <w:rFonts w:ascii="Arial" w:eastAsia="Arial" w:hAnsi="Arial" w:cs="Arial"/>
                <w:color w:val="000000"/>
                <w:sz w:val="20"/>
                <w:szCs w:val="20"/>
              </w:rPr>
              <w:t>BantayHealthAI</w:t>
            </w:r>
            <w:proofErr w:type="spellEnd"/>
            <w:r>
              <w:rPr>
                <w:rFonts w:ascii="Arial" w:eastAsia="Arial" w:hAnsi="Arial" w:cs="Arial"/>
                <w:color w:val="000000"/>
                <w:sz w:val="20"/>
                <w:szCs w:val="20"/>
              </w:rPr>
              <w:t xml:space="preserve"> prototype capable of supporting integrated disease surveillance, predictive analytics, outbreak forecasting, early warning generation, visualization, and AI-assisted public health decision support.</w:t>
            </w:r>
          </w:p>
          <w:p w14:paraId="02A3BD2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2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2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noProof/>
                <w:color w:val="000000"/>
                <w:sz w:val="20"/>
                <w:szCs w:val="20"/>
              </w:rPr>
              <w:drawing>
                <wp:inline distT="0" distB="0" distL="0" distR="0" wp14:anchorId="02A3BFBE" wp14:editId="02A3BFBF">
                  <wp:extent cx="5391266" cy="336341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7941" b="4072"/>
                          <a:stretch>
                            <a:fillRect/>
                          </a:stretch>
                        </pic:blipFill>
                        <pic:spPr>
                          <a:xfrm>
                            <a:off x="0" y="0"/>
                            <a:ext cx="5391266" cy="3363418"/>
                          </a:xfrm>
                          <a:prstGeom prst="rect">
                            <a:avLst/>
                          </a:prstGeom>
                          <a:ln/>
                        </pic:spPr>
                      </pic:pic>
                    </a:graphicData>
                  </a:graphic>
                </wp:inline>
              </w:drawing>
            </w:r>
          </w:p>
          <w:p w14:paraId="02A3BD30"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Figure 3: Platform Development Framework</w:t>
            </w:r>
          </w:p>
          <w:p w14:paraId="02A3BD31" w14:textId="77777777" w:rsidR="001F340B" w:rsidRDefault="001F340B">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color w:val="000000"/>
                <w:sz w:val="20"/>
                <w:szCs w:val="20"/>
              </w:rPr>
            </w:pPr>
          </w:p>
          <w:p w14:paraId="02A3BD3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sz w:val="20"/>
                <w:szCs w:val="20"/>
              </w:rPr>
              <w:t xml:space="preserve">Figure 3 presents the platform development framework for </w:t>
            </w:r>
            <w:proofErr w:type="spellStart"/>
            <w:r>
              <w:rPr>
                <w:rFonts w:ascii="Arial" w:eastAsia="Arial" w:hAnsi="Arial" w:cs="Arial"/>
                <w:sz w:val="20"/>
                <w:szCs w:val="20"/>
              </w:rPr>
              <w:t>BantayHealthAI</w:t>
            </w:r>
            <w:proofErr w:type="spellEnd"/>
            <w:r>
              <w:rPr>
                <w:rFonts w:ascii="Arial" w:eastAsia="Arial" w:hAnsi="Arial" w:cs="Arial"/>
                <w:sz w:val="20"/>
                <w:szCs w:val="20"/>
              </w:rPr>
              <w:t>. The framework highlights the major system functions that will be developed through an iterative prototyping approach. These functions include data management, surveillance dashboard, geospatial visualization, predictive analytics and forecasting, early warning alerts, reporting, and system administration. The framework emphasizes that the platform will be designed not only as a data display tool, but as an AI-assisted decision-support system that can help public health users monitor disease trends, interpret forecasts, identify high-risk areas, and generate timely surveillance reports.</w:t>
            </w:r>
          </w:p>
          <w:p w14:paraId="02A3BD3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3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Requirements Analysis</w:t>
            </w:r>
          </w:p>
          <w:p w14:paraId="02A3BD3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3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researchers will identify and analyze the functional and non-functional requirements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This phase will ensure that the system is grounded in actual surveillance practices and not developed only from a technical perspective. Since the intended users of the platform include public health and healthcare personnel, the requirements analysis will focus on their current disease monitoring tasks, reporting workflows, decision-support needs, data management challenges, and expectations for an AI-assisted surveillance system.</w:t>
            </w:r>
          </w:p>
          <w:p w14:paraId="02A3BD3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3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participants for requirements gathering may include disease surveillance officers, regional epidemiology personnel, provincial health office staff, municipal health officers, hospital disease reporting personnel, public health nurses, health program coordinators, IT personnel, and public health decision-makers. A purposive sampling approach will be used because the study requires participants who have direct experience in disease surveillance, disease reporting, health data management, outbreak monitoring, or public health decision-making.</w:t>
            </w:r>
          </w:p>
          <w:p w14:paraId="02A3BD3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3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researchers will collect requirements through key informant interviews, focus group discussions, workflow observations, stakeholder consultation meetings, and review of existing </w:t>
            </w:r>
            <w:r>
              <w:rPr>
                <w:rFonts w:ascii="Arial" w:eastAsia="Arial" w:hAnsi="Arial" w:cs="Arial"/>
                <w:sz w:val="20"/>
                <w:szCs w:val="20"/>
              </w:rPr>
              <w:lastRenderedPageBreak/>
              <w:t>surveillance forms, reports, and data submission practices. The interviews and consultations will help determine what users need from the platform, what problems they experience in current surveillance processes, and what features would make the system useful in real public health work. Workflow observation will help the researchers understand how disease data are collected, encoded, validated, consolidated, interpreted, and reported. Existing forms and reports will be reviewed to ensure that the proposed platform aligns with current disease surveillance documentation and reporting practices.</w:t>
            </w:r>
          </w:p>
          <w:p w14:paraId="02A3BD3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3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requirements analysis will identify both functional and non-functional requirements. Functional requirements will refer to the specific tasks that the system must perform. These may include user login, role-based access, disease case data upload, data validation, disease trend visualization, forecast display, outbreak risk classification, map-based disease monitoring, early warning alert generation, report generation, model version tracking, and controlled model update support. Non-functional requirements will refer to the quality attributes of the system. These may include usability, accessibility, responsiveness, reliability, maintainability, scalability, security, data privacy, interoperability, and audit logging.</w:t>
            </w:r>
          </w:p>
          <w:p w14:paraId="02A3BD3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3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output of this phase will be a system requirements specification document. This document will define the expected users, user roles, system functions, data requirements, dashboard requirements, reporting needs, access control rules, privacy requirements, model monitoring requirements, and technical constraints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w:t>
            </w:r>
          </w:p>
          <w:p w14:paraId="02A3BD3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40"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i/>
                <w:iCs/>
                <w:color w:val="000000"/>
                <w:sz w:val="20"/>
                <w:szCs w:val="20"/>
              </w:rPr>
            </w:pPr>
            <w:r>
              <w:rPr>
                <w:rFonts w:ascii="Arial" w:eastAsia="Arial" w:hAnsi="Arial" w:cs="Arial"/>
                <w:i/>
                <w:iCs/>
                <w:color w:val="000000"/>
                <w:sz w:val="20"/>
                <w:szCs w:val="20"/>
              </w:rPr>
              <w:t>System Design</w:t>
            </w:r>
          </w:p>
          <w:p w14:paraId="02A3BD41"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D4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After completing the requirements analysis, the researchers will design the architecture, database structure, user interface, and system workflows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The system design phase will translate user needs and technical requirements into a feasible software architecture that can support disease surveillance, forecasting, dashboard visualization, map-based monitoring, alert generation, reporting, model monitoring, and public health decision support.</w:t>
            </w:r>
          </w:p>
          <w:p w14:paraId="02A3BD4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be designed as a web-based system with four major layers: the application layer, backend and processing layer, analytics layer, and data layer. These layers will allow the system to separate user interaction, data processing, predictive analytics, and data storage while maintaining a clear workflow from data entry to decision-support output.</w:t>
            </w:r>
          </w:p>
          <w:p w14:paraId="02A3BD4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application layer will provide the user-facing interface and may be developed using Next.js with TypeScript. </w:t>
            </w:r>
            <w:proofErr w:type="spellStart"/>
            <w:r>
              <w:rPr>
                <w:rFonts w:ascii="Arial" w:eastAsia="Arial" w:hAnsi="Arial" w:cs="Arial"/>
                <w:sz w:val="20"/>
                <w:szCs w:val="20"/>
              </w:rPr>
              <w:t>TailwindCSS</w:t>
            </w:r>
            <w:proofErr w:type="spellEnd"/>
            <w:r>
              <w:rPr>
                <w:rFonts w:ascii="Arial" w:eastAsia="Arial" w:hAnsi="Arial" w:cs="Arial"/>
                <w:sz w:val="20"/>
                <w:szCs w:val="20"/>
              </w:rPr>
              <w:t xml:space="preserve"> and </w:t>
            </w:r>
            <w:proofErr w:type="spellStart"/>
            <w:r>
              <w:rPr>
                <w:rFonts w:ascii="Arial" w:eastAsia="Arial" w:hAnsi="Arial" w:cs="Arial"/>
                <w:sz w:val="20"/>
                <w:szCs w:val="20"/>
              </w:rPr>
              <w:t>shadcn</w:t>
            </w:r>
            <w:proofErr w:type="spellEnd"/>
            <w:r>
              <w:rPr>
                <w:rFonts w:ascii="Arial" w:eastAsia="Arial" w:hAnsi="Arial" w:cs="Arial"/>
                <w:sz w:val="20"/>
                <w:szCs w:val="20"/>
              </w:rPr>
              <w:t>/</w:t>
            </w:r>
            <w:proofErr w:type="spellStart"/>
            <w:r>
              <w:rPr>
                <w:rFonts w:ascii="Arial" w:eastAsia="Arial" w:hAnsi="Arial" w:cs="Arial"/>
                <w:sz w:val="20"/>
                <w:szCs w:val="20"/>
              </w:rPr>
              <w:t>ui</w:t>
            </w:r>
            <w:proofErr w:type="spellEnd"/>
            <w:r>
              <w:rPr>
                <w:rFonts w:ascii="Arial" w:eastAsia="Arial" w:hAnsi="Arial" w:cs="Arial"/>
                <w:sz w:val="20"/>
                <w:szCs w:val="20"/>
              </w:rPr>
              <w:t xml:space="preserve"> may be used to create a clean, consistent, and responsive interface for public health users. This layer will include the surveillance dashboard, data upload interface, disease filters, charts, maps, alert views, and report generation pages.</w:t>
            </w:r>
          </w:p>
          <w:p w14:paraId="02A3BD4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backend and processing layer may be developed using </w:t>
            </w:r>
            <w:proofErr w:type="spellStart"/>
            <w:r>
              <w:rPr>
                <w:rFonts w:ascii="Arial" w:eastAsia="Arial" w:hAnsi="Arial" w:cs="Arial"/>
                <w:sz w:val="20"/>
                <w:szCs w:val="20"/>
              </w:rPr>
              <w:t>FastAPI</w:t>
            </w:r>
            <w:proofErr w:type="spellEnd"/>
            <w:r>
              <w:rPr>
                <w:rFonts w:ascii="Arial" w:eastAsia="Arial" w:hAnsi="Arial" w:cs="Arial"/>
                <w:sz w:val="20"/>
                <w:szCs w:val="20"/>
              </w:rPr>
              <w:t xml:space="preserve"> with Python. This layer will manage user requests, authentication, data validation, data preprocessing, feature generation, model inference, alert generation, report generation, audit logging, and communication between the frontend and the database. </w:t>
            </w:r>
            <w:proofErr w:type="spellStart"/>
            <w:r>
              <w:rPr>
                <w:rFonts w:ascii="Arial" w:eastAsia="Arial" w:hAnsi="Arial" w:cs="Arial"/>
                <w:sz w:val="20"/>
                <w:szCs w:val="20"/>
              </w:rPr>
              <w:t>FastAPI</w:t>
            </w:r>
            <w:proofErr w:type="spellEnd"/>
            <w:r>
              <w:rPr>
                <w:rFonts w:ascii="Arial" w:eastAsia="Arial" w:hAnsi="Arial" w:cs="Arial"/>
                <w:sz w:val="20"/>
                <w:szCs w:val="20"/>
              </w:rPr>
              <w:t xml:space="preserve"> is appropriate because the predictive models and preprocessing pipelines will also be developed in Python, allowing smoother integration between the analytics components and the deployed system.</w:t>
            </w:r>
          </w:p>
          <w:p w14:paraId="02A3BD4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analytics layer will contain the disease-specific forecasting and outbreak risk classification models developed during the model development phase. This layer will process validated surveillance data, generate required input features, run the appropriate disease-specific model, and produce forecast outputs or outbreak risk classifications. The selected forecasting models may include Moving Average, ARIMA or SARIMA, and Random Forest Regressor, while the outbreak risk classification models may include Logistic Regression, Random Forest Classifier, and </w:t>
            </w:r>
            <w:proofErr w:type="spellStart"/>
            <w:r>
              <w:rPr>
                <w:rFonts w:ascii="Arial" w:eastAsia="Arial" w:hAnsi="Arial" w:cs="Arial"/>
                <w:sz w:val="20"/>
                <w:szCs w:val="20"/>
              </w:rPr>
              <w:t>XGBoost</w:t>
            </w:r>
            <w:proofErr w:type="spellEnd"/>
            <w:r>
              <w:rPr>
                <w:rFonts w:ascii="Arial" w:eastAsia="Arial" w:hAnsi="Arial" w:cs="Arial"/>
                <w:sz w:val="20"/>
                <w:szCs w:val="20"/>
              </w:rPr>
              <w:t xml:space="preserve"> or </w:t>
            </w:r>
            <w:proofErr w:type="spellStart"/>
            <w:r>
              <w:rPr>
                <w:rFonts w:ascii="Arial" w:eastAsia="Arial" w:hAnsi="Arial" w:cs="Arial"/>
                <w:sz w:val="20"/>
                <w:szCs w:val="20"/>
              </w:rPr>
              <w:t>LightGBM</w:t>
            </w:r>
            <w:proofErr w:type="spellEnd"/>
            <w:r>
              <w:rPr>
                <w:rFonts w:ascii="Arial" w:eastAsia="Arial" w:hAnsi="Arial" w:cs="Arial"/>
                <w:sz w:val="20"/>
                <w:szCs w:val="20"/>
              </w:rPr>
              <w:t xml:space="preserve"> Classifier. The model outputs will be stored in the database and displayed through dashboards, maps, alerts, and reports.</w:t>
            </w:r>
          </w:p>
          <w:p w14:paraId="02A3BD4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data layer will use PostgreSQL as the main database for storing disease surveillance records, environmental indicators, geographic data, forecast results, risk classifications, alert logs, user accounts, and system activity logs. </w:t>
            </w:r>
            <w:proofErr w:type="spellStart"/>
            <w:r>
              <w:rPr>
                <w:rFonts w:ascii="Arial" w:eastAsia="Arial" w:hAnsi="Arial" w:cs="Arial"/>
                <w:sz w:val="20"/>
                <w:szCs w:val="20"/>
              </w:rPr>
              <w:t>PostGIS</w:t>
            </w:r>
            <w:proofErr w:type="spellEnd"/>
            <w:r>
              <w:rPr>
                <w:rFonts w:ascii="Arial" w:eastAsia="Arial" w:hAnsi="Arial" w:cs="Arial"/>
                <w:sz w:val="20"/>
                <w:szCs w:val="20"/>
              </w:rPr>
              <w:t xml:space="preserve"> may be added to support geospatial queries and map-based disease visualization. Redis may be used only when needed for caching frequently </w:t>
            </w:r>
            <w:r>
              <w:rPr>
                <w:rFonts w:ascii="Arial" w:eastAsia="Arial" w:hAnsi="Arial" w:cs="Arial"/>
                <w:sz w:val="20"/>
                <w:szCs w:val="20"/>
              </w:rPr>
              <w:lastRenderedPageBreak/>
              <w:t>accessed dashboard data, managing background tasks, or temporarily storing alert states when faster response time is required.</w:t>
            </w:r>
          </w:p>
          <w:p w14:paraId="02A3BD4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4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also include security mechanisms such as user authentication, role-based access control, access restrictions, audit logs, database protection, and backup procedures. These controls are necessary because the platform may process health-related surveillance data and will be accessed by different user groups, including public health officials, disease surveillance personnel, healthcare providers, system administrators, and IT support staff.</w:t>
            </w:r>
          </w:p>
          <w:p w14:paraId="02A3BD4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system workflows will also be designed during this phase. These workflows will describe how users will upload or update disease data, how the system will validate records, how predictive models will process the data, how forecast results will be displayed, how alerts will be generated, how reports will be produced, and how model performance will be monitored over time. The researchers may prepare workflow diagrams, data flow diagrams, entity-relationship diagrams, use case diagrams, activity diagrams, deployment diagrams, and interface wireframes to guide development.</w:t>
            </w:r>
          </w:p>
          <w:p w14:paraId="02A3BD5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noProof/>
                <w:sz w:val="20"/>
                <w:szCs w:val="20"/>
              </w:rPr>
              <w:drawing>
                <wp:inline distT="114300" distB="114300" distL="114300" distR="114300" wp14:anchorId="02A3BFC0" wp14:editId="02A3BFC1">
                  <wp:extent cx="5419725" cy="3429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5263"/>
                          <a:stretch>
                            <a:fillRect/>
                          </a:stretch>
                        </pic:blipFill>
                        <pic:spPr>
                          <a:xfrm>
                            <a:off x="0" y="0"/>
                            <a:ext cx="5419725" cy="3429000"/>
                          </a:xfrm>
                          <a:prstGeom prst="rect">
                            <a:avLst/>
                          </a:prstGeom>
                          <a:ln/>
                        </pic:spPr>
                      </pic:pic>
                    </a:graphicData>
                  </a:graphic>
                </wp:inline>
              </w:drawing>
            </w:r>
          </w:p>
          <w:p w14:paraId="02A3BD53"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sz w:val="20"/>
                <w:szCs w:val="20"/>
              </w:rPr>
            </w:pPr>
            <w:r>
              <w:rPr>
                <w:rFonts w:ascii="Arial" w:eastAsia="Arial" w:hAnsi="Arial" w:cs="Arial"/>
                <w:sz w:val="20"/>
                <w:szCs w:val="20"/>
              </w:rPr>
              <w:t xml:space="preserve">Figure 4. Proposed System Design Workflow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w:t>
            </w:r>
          </w:p>
          <w:p w14:paraId="02A3BD5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Figure 4 presents the proposed system design workflow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The workflow shows how authorized users and approved data sources will interact with the system, beginning with disease data upload or data entry through the application layer. The frontend will provide the user-facing interface for dashboards, maps, alerts, reports, and disease filters, while the backend will handle authentication, data validation, preprocessing, feature generation, and communication with the database.</w:t>
            </w:r>
          </w:p>
          <w:p w14:paraId="02A3BD5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cybersecurity requirements, and institutional approval are granted, the platform may later support scheduled data import or API-based integration with existing DOH or local health information systems. This staged approach allows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to be implemented within the project period while keeping future interoperability possible.</w:t>
            </w:r>
          </w:p>
          <w:p w14:paraId="02A3BD5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Validated surveillance, environmental, and geographic data will be stored in the system database using PostgreSQL, with </w:t>
            </w:r>
            <w:proofErr w:type="spellStart"/>
            <w:r>
              <w:rPr>
                <w:rFonts w:ascii="Arial" w:eastAsia="Arial" w:hAnsi="Arial" w:cs="Arial"/>
                <w:sz w:val="20"/>
                <w:szCs w:val="20"/>
              </w:rPr>
              <w:t>PostGIS</w:t>
            </w:r>
            <w:proofErr w:type="spellEnd"/>
            <w:r>
              <w:rPr>
                <w:rFonts w:ascii="Arial" w:eastAsia="Arial" w:hAnsi="Arial" w:cs="Arial"/>
                <w:sz w:val="20"/>
                <w:szCs w:val="20"/>
              </w:rPr>
              <w:t xml:space="preserve"> added when geospatial storage and map-based disease monitoring are required. The analytics layer will process the validated data and generate disease </w:t>
            </w:r>
            <w:r>
              <w:rPr>
                <w:rFonts w:ascii="Arial" w:eastAsia="Arial" w:hAnsi="Arial" w:cs="Arial"/>
                <w:sz w:val="20"/>
                <w:szCs w:val="20"/>
              </w:rPr>
              <w:lastRenderedPageBreak/>
              <w:t>forecasts and outbreak risk classifications using the selected disease-specific models. The resulting outputs will be displayed through the surveillance dashboard, geospatial maps, alert indicators, and downloadable reports.</w:t>
            </w:r>
          </w:p>
          <w:p w14:paraId="02A3BD5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workflow also includes model monitoring and retraining readiness checking. This means that the platform may track model performance over time and determine whether retraining is advisable when sufficient validated data are available, when forecasting performance begins to decline, or when disease patterns appear to change. This design keeps the system technically feasible while supporting future improvement, traceability, and responsible public health decision support.</w:t>
            </w:r>
          </w:p>
          <w:p w14:paraId="02A3BD5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5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platform will be designed to support staged data integration. For the initial prototype, the system may allow authorized users to upload CSV or Excel files exported from existing surveillance or health monitoring systems. This approach is feasible because it does not require immediate direct connection to institutional databases. If technical access, data-sharing agreements, and institutional approval are granted, the platform may later support scheduled data import or API-based integration with existing DOH or local health information systems. This staged approach allows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to be implemented within the project period while keeping future interoperability possible.</w:t>
            </w:r>
          </w:p>
          <w:p w14:paraId="02A3BD5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5F"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i/>
                <w:iCs/>
                <w:color w:val="000000"/>
                <w:sz w:val="20"/>
                <w:szCs w:val="20"/>
              </w:rPr>
            </w:pPr>
            <w:r>
              <w:rPr>
                <w:rFonts w:ascii="Arial" w:eastAsia="Arial" w:hAnsi="Arial" w:cs="Arial"/>
                <w:i/>
                <w:iCs/>
                <w:color w:val="000000"/>
                <w:sz w:val="20"/>
                <w:szCs w:val="20"/>
              </w:rPr>
              <w:t>Platform Development</w:t>
            </w:r>
          </w:p>
          <w:p w14:paraId="02A3BD60"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i/>
                <w:iCs/>
                <w:color w:val="000000"/>
                <w:sz w:val="20"/>
                <w:szCs w:val="20"/>
              </w:rPr>
            </w:pPr>
          </w:p>
          <w:p w14:paraId="02A3BD6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will be developed using an iterative prototyping approach. Under this approach, the system will be built, tested, reviewed, and refined based on technical evaluation and user feedback. This approach is appropriate because public health users may need to interact with early versions of the platform before they can provide specific and practical feedback on its usability, functions, and relevance to disease surveillance workflows.</w:t>
            </w:r>
          </w:p>
          <w:p w14:paraId="02A3BD6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platform will first prioritize the core functions needed for a working surveillance prototype. These include user login, role-based access, disease data upload, data validation, dataset viewing, dashboard visualization, map display, model inference, alert generation, report generation, system logs, and model version tracking. The frontend may be developed using Next.js, TypeScript, </w:t>
            </w:r>
            <w:proofErr w:type="spellStart"/>
            <w:r>
              <w:rPr>
                <w:rFonts w:ascii="Arial" w:eastAsia="Arial" w:hAnsi="Arial" w:cs="Arial"/>
                <w:sz w:val="20"/>
                <w:szCs w:val="20"/>
              </w:rPr>
              <w:t>TailwindCSS</w:t>
            </w:r>
            <w:proofErr w:type="spellEnd"/>
            <w:r>
              <w:rPr>
                <w:rFonts w:ascii="Arial" w:eastAsia="Arial" w:hAnsi="Arial" w:cs="Arial"/>
                <w:sz w:val="20"/>
                <w:szCs w:val="20"/>
              </w:rPr>
              <w:t xml:space="preserve">, and </w:t>
            </w:r>
            <w:proofErr w:type="spellStart"/>
            <w:r>
              <w:rPr>
                <w:rFonts w:ascii="Arial" w:eastAsia="Arial" w:hAnsi="Arial" w:cs="Arial"/>
                <w:sz w:val="20"/>
                <w:szCs w:val="20"/>
              </w:rPr>
              <w:t>shadcn</w:t>
            </w:r>
            <w:proofErr w:type="spellEnd"/>
            <w:r>
              <w:rPr>
                <w:rFonts w:ascii="Arial" w:eastAsia="Arial" w:hAnsi="Arial" w:cs="Arial"/>
                <w:sz w:val="20"/>
                <w:szCs w:val="20"/>
              </w:rPr>
              <w:t>/</w:t>
            </w:r>
            <w:proofErr w:type="spellStart"/>
            <w:r>
              <w:rPr>
                <w:rFonts w:ascii="Arial" w:eastAsia="Arial" w:hAnsi="Arial" w:cs="Arial"/>
                <w:sz w:val="20"/>
                <w:szCs w:val="20"/>
              </w:rPr>
              <w:t>ui</w:t>
            </w:r>
            <w:proofErr w:type="spellEnd"/>
            <w:r>
              <w:rPr>
                <w:rFonts w:ascii="Arial" w:eastAsia="Arial" w:hAnsi="Arial" w:cs="Arial"/>
                <w:sz w:val="20"/>
                <w:szCs w:val="20"/>
              </w:rPr>
              <w:t xml:space="preserve">, while the backend services may be implemented using </w:t>
            </w:r>
            <w:proofErr w:type="spellStart"/>
            <w:r>
              <w:rPr>
                <w:rFonts w:ascii="Arial" w:eastAsia="Arial" w:hAnsi="Arial" w:cs="Arial"/>
                <w:sz w:val="20"/>
                <w:szCs w:val="20"/>
              </w:rPr>
              <w:t>FastAPI</w:t>
            </w:r>
            <w:proofErr w:type="spellEnd"/>
            <w:r>
              <w:rPr>
                <w:rFonts w:ascii="Arial" w:eastAsia="Arial" w:hAnsi="Arial" w:cs="Arial"/>
                <w:sz w:val="20"/>
                <w:szCs w:val="20"/>
              </w:rPr>
              <w:t xml:space="preserve"> with Python. PostgreSQL will serve as the main database, with </w:t>
            </w:r>
            <w:proofErr w:type="spellStart"/>
            <w:r>
              <w:rPr>
                <w:rFonts w:ascii="Arial" w:eastAsia="Arial" w:hAnsi="Arial" w:cs="Arial"/>
                <w:sz w:val="20"/>
                <w:szCs w:val="20"/>
              </w:rPr>
              <w:t>PostGIS</w:t>
            </w:r>
            <w:proofErr w:type="spellEnd"/>
            <w:r>
              <w:rPr>
                <w:rFonts w:ascii="Arial" w:eastAsia="Arial" w:hAnsi="Arial" w:cs="Arial"/>
                <w:sz w:val="20"/>
                <w:szCs w:val="20"/>
              </w:rPr>
              <w:t xml:space="preserve"> used for geospatial data if map-based monitoring is included.</w:t>
            </w:r>
          </w:p>
          <w:p w14:paraId="02A3BD6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include core data management functions to support the secure handling of disease surveillance data. Authorized users may upload CSV or Excel files containing disease surveillance records, while manual data entry may be provided if required by the participating agencies. The backend will validate uploaded data by checking for missing values, incorrect formats, duplicate entries, invalid dates, incomplete location fields, and reporting inconsistencies. Validated data will be stored in PostgreSQL and made available for dashboard display, model inference, alerts, reports, and model monitoring.</w:t>
            </w:r>
          </w:p>
          <w:p w14:paraId="02A3BD6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surveillance dashboard will present current and historical disease data in a clear and usable format. It may display disease case counts, weekly or monthly trends, disease-specific filters, municipality-level comparisons, incidence rates, and summaries by location and reporting period. Recharts or </w:t>
            </w:r>
            <w:proofErr w:type="spellStart"/>
            <w:r>
              <w:rPr>
                <w:rFonts w:ascii="Arial" w:eastAsia="Arial" w:hAnsi="Arial" w:cs="Arial"/>
                <w:sz w:val="20"/>
                <w:szCs w:val="20"/>
              </w:rPr>
              <w:t>ECharts</w:t>
            </w:r>
            <w:proofErr w:type="spellEnd"/>
            <w:r>
              <w:rPr>
                <w:rFonts w:ascii="Arial" w:eastAsia="Arial" w:hAnsi="Arial" w:cs="Arial"/>
                <w:sz w:val="20"/>
                <w:szCs w:val="20"/>
              </w:rPr>
              <w:t xml:space="preserve"> may be used for trend charts, forecast plots, and summary indicators. The dashboard will be designed to help users interpret disease activity rather than simply view raw data.</w:t>
            </w:r>
          </w:p>
          <w:p w14:paraId="02A3BD6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also include geospatial visualization functions to support location-based disease monitoring. Leaflet may be used to display municipality-level or barangay-level maps, incidence maps, risk maps, and color-coded alert areas. These visualizations will help users identify locations with increasing disease activity, recurring high-risk patterns, or possible outbreak-prone communities.</w:t>
            </w:r>
          </w:p>
          <w:p w14:paraId="02A3BD6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predictive analytics and forecasting functions will allow the platform to display model-generated forecasts and outbreak risk estimates. Forecast outputs may include predicted case counts, forecast horizon, risk level, date of prediction, model used, and model version. These </w:t>
            </w:r>
            <w:r>
              <w:rPr>
                <w:rFonts w:ascii="Arial" w:eastAsia="Arial" w:hAnsi="Arial" w:cs="Arial"/>
                <w:sz w:val="20"/>
                <w:szCs w:val="20"/>
              </w:rPr>
              <w:lastRenderedPageBreak/>
              <w:t>outputs will be presented through charts, tables, maps, and risk indicators so that public health personnel can interpret the results more easily.</w:t>
            </w:r>
          </w:p>
          <w:p w14:paraId="02A3BD6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early warning and alert generation functions will notify users when observed or predicted disease activity exceeds a defined threshold. Alerts may be based on increasing disease trends, forecasted case increases, high-risk municipality classification, data anomalies, or environmental risk indicators. Alert levels may be categorized as low, moderate, high, and critical. Each alert will include relevant information such as disease type, affected location, reporting period, trigger condition, model output, and recommended attention level.</w:t>
            </w:r>
          </w:p>
          <w:p w14:paraId="02A3BD6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6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also include reporting and system administration functions. The reporting module may allow users to generate disease trend summaries, forecast summaries, municipality-level risk reports, alert history reports, and downloadable PDF or Excel outputs. The system administration module will support user account management, access control, data source management, model version tracking, system logs, backup management, and monitoring of model update recommendations. Docker may be used to support deployment and portability across local, institutional, or cloud-based environments.</w:t>
            </w:r>
          </w:p>
          <w:p w14:paraId="02A3BD7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data upload module will support structured CSV or Excel files from authorized surveillance records and may later be extended to support scheduled import or API-based data exchange with approved health information systems.</w:t>
            </w:r>
          </w:p>
          <w:p w14:paraId="02A3BD7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74" w14:textId="77777777" w:rsidR="001F340B" w:rsidRDefault="00A73F00">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i/>
                <w:iCs/>
                <w:color w:val="000000"/>
                <w:sz w:val="20"/>
                <w:szCs w:val="20"/>
              </w:rPr>
            </w:pPr>
            <w:r>
              <w:rPr>
                <w:rFonts w:ascii="Arial" w:eastAsia="Arial" w:hAnsi="Arial" w:cs="Arial"/>
                <w:i/>
                <w:iCs/>
                <w:color w:val="000000"/>
                <w:sz w:val="20"/>
                <w:szCs w:val="20"/>
              </w:rPr>
              <w:t>Integration of Predictive and Forecasting Models</w:t>
            </w:r>
          </w:p>
          <w:p w14:paraId="02A3BD75" w14:textId="77777777" w:rsidR="001F340B" w:rsidRDefault="001F340B">
            <w:pPr>
              <w:pBdr>
                <w:top w:val="nil"/>
                <w:left w:val="nil"/>
                <w:bottom w:val="nil"/>
                <w:right w:val="nil"/>
                <w:between w:val="nil"/>
              </w:pBdr>
              <w:tabs>
                <w:tab w:val="left" w:pos="7589"/>
                <w:tab w:val="left" w:pos="9279"/>
              </w:tabs>
              <w:spacing w:after="0" w:line="240" w:lineRule="auto"/>
              <w:ind w:hanging="2"/>
              <w:jc w:val="both"/>
              <w:rPr>
                <w:rFonts w:ascii="Arial" w:eastAsia="Arial" w:hAnsi="Arial" w:cs="Arial"/>
                <w:color w:val="000000"/>
                <w:sz w:val="20"/>
                <w:szCs w:val="20"/>
              </w:rPr>
            </w:pPr>
          </w:p>
          <w:p w14:paraId="02A3BD7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machine learning-based predictive and forecasting models developed in the model development phase will be integrated into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through a Python-based model inference pipeline. The purpose of this integration is to transform the models from standalone analytical outputs into usable decision-support components within the surveillance platform.</w:t>
            </w:r>
          </w:p>
          <w:p w14:paraId="02A3BD7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model integration process will begin by preparing the selected disease-specific models for deployment. The best-performing and most operationally suitable models will be saved, documented, and versioned using appropriate model storage formats such as Pickle, </w:t>
            </w:r>
            <w:proofErr w:type="spellStart"/>
            <w:r>
              <w:rPr>
                <w:rFonts w:ascii="Arial" w:eastAsia="Arial" w:hAnsi="Arial" w:cs="Arial"/>
                <w:sz w:val="20"/>
                <w:szCs w:val="20"/>
              </w:rPr>
              <w:t>Joblib</w:t>
            </w:r>
            <w:proofErr w:type="spellEnd"/>
            <w:r>
              <w:rPr>
                <w:rFonts w:ascii="Arial" w:eastAsia="Arial" w:hAnsi="Arial" w:cs="Arial"/>
                <w:sz w:val="20"/>
                <w:szCs w:val="20"/>
              </w:rPr>
              <w:t>, or an equivalent model registry approach. Each model package will include the trained model, required input features, preprocessing steps, prediction outputs, alert thresholds, model version, training data coverage, evaluation results, and known limitations.</w:t>
            </w:r>
          </w:p>
          <w:p w14:paraId="02A3BD7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backend will use </w:t>
            </w:r>
            <w:proofErr w:type="spellStart"/>
            <w:r>
              <w:rPr>
                <w:rFonts w:ascii="Arial" w:eastAsia="Arial" w:hAnsi="Arial" w:cs="Arial"/>
                <w:sz w:val="20"/>
                <w:szCs w:val="20"/>
              </w:rPr>
              <w:t>FastAPI</w:t>
            </w:r>
            <w:proofErr w:type="spellEnd"/>
            <w:r>
              <w:rPr>
                <w:rFonts w:ascii="Arial" w:eastAsia="Arial" w:hAnsi="Arial" w:cs="Arial"/>
                <w:sz w:val="20"/>
                <w:szCs w:val="20"/>
              </w:rPr>
              <w:t xml:space="preserve"> to expose model inference functions to the platform. When authorized users upload or update disease surveillance data, the system will validate and preprocess the records, generate the required input features, and send the prepared data to the appropriate disease-specific model. The model will then generate disease forecasts or outbreak risk classifications. These outputs will be stored in PostgreSQL and displayed through dashboards, maps, tables, and alert indicators.</w:t>
            </w:r>
          </w:p>
          <w:p w14:paraId="02A3BD7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feasibility, the initial implementation will use scheduled or event-triggered model inference rather than continuous real-time streaming. This means that the system may generate forecasts when new validated data are uploaded or at scheduled intervals, such as daily, weekly, or monthly, depending on the reporting practice of participating agencies. This approach is more realistic for a two-year applied research project because public health surveillance data are often submitted periodically and may require validation before use.</w:t>
            </w:r>
          </w:p>
          <w:p w14:paraId="02A3BD7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7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To support controlled continuous learning, the platform may include a model monitoring and retraining decision function. This function will check whether model retraining is advisable based on the amount of new validated data, data completeness, data quality, recent prediction errors, forecast reliability, classification performance, alert reliability, and possible changes in disease patterns. However, the system will not automatically replace deployed models without review. If the new data are insufficient, incomplete, or unstable, the current deployed model will remain in use. If performance decline, drift indicators, or sufficient validated data are detected, the system may recommend retraining for researcher or administrator review.</w:t>
            </w:r>
          </w:p>
          <w:p w14:paraId="02A3BD7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8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When retraining is recommended, the updated model will be trained, validated, and compared with the currently deployed model before replacement. Only models that show acceptable or improved performance will be deployed in the platform. Previous model versions, training dates, data coverage, evaluation results, and deployment decisions will be documented to support transparency, traceability, and future auditing.</w:t>
            </w:r>
          </w:p>
          <w:p w14:paraId="02A3BD8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82" w14:textId="5D758832"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Although the initial implementation will focus on dengue fever, </w:t>
            </w:r>
            <w:r w:rsidR="000D5C78">
              <w:rPr>
                <w:rFonts w:ascii="Arial" w:eastAsia="Arial" w:hAnsi="Arial" w:cs="Arial"/>
                <w:sz w:val="20"/>
                <w:szCs w:val="20"/>
              </w:rPr>
              <w:t>measles</w:t>
            </w:r>
            <w:r>
              <w:rPr>
                <w:rFonts w:ascii="Arial" w:eastAsia="Arial" w:hAnsi="Arial" w:cs="Arial"/>
                <w:sz w:val="20"/>
                <w:szCs w:val="20"/>
              </w:rPr>
              <w:t>, and influenza-like illnesses, the system may be designed with a disease-extensible model registry. This registry will allow future disease models to be added by defining the disease profile, required data fields, feature pipeline, trained model, thresholds, and dashboard settings. This design will allow additional disease models to be integrated in future deployments without changing the entire platform architecture.</w:t>
            </w:r>
          </w:p>
          <w:p w14:paraId="02A3BD8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84" w14:textId="18CF6073"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3: </w:t>
            </w:r>
            <w:r w:rsidR="00A73F00">
              <w:rPr>
                <w:rFonts w:ascii="Arial" w:eastAsia="Arial" w:hAnsi="Arial" w:cs="Arial"/>
                <w:b/>
                <w:bCs/>
                <w:color w:val="000000"/>
                <w:sz w:val="20"/>
                <w:szCs w:val="20"/>
              </w:rPr>
              <w:t xml:space="preserve">Pilot Implementation and Validation of the </w:t>
            </w:r>
            <w:proofErr w:type="spellStart"/>
            <w:r w:rsidR="00A73F00">
              <w:rPr>
                <w:rFonts w:ascii="Arial" w:eastAsia="Arial" w:hAnsi="Arial" w:cs="Arial"/>
                <w:b/>
                <w:bCs/>
                <w:color w:val="000000"/>
                <w:sz w:val="20"/>
                <w:szCs w:val="20"/>
              </w:rPr>
              <w:t>BantayHealthAI</w:t>
            </w:r>
            <w:proofErr w:type="spellEnd"/>
            <w:r w:rsidR="00A73F00">
              <w:rPr>
                <w:rFonts w:ascii="Arial" w:eastAsia="Arial" w:hAnsi="Arial" w:cs="Arial"/>
                <w:b/>
                <w:bCs/>
                <w:color w:val="000000"/>
                <w:sz w:val="20"/>
                <w:szCs w:val="20"/>
              </w:rPr>
              <w:t xml:space="preserve"> Platform</w:t>
            </w:r>
          </w:p>
          <w:p w14:paraId="02A3BD8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86" w14:textId="7BD1E71F"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This part of the project will focus on the pilot implementation, validation, and field evaluation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in selected public health and healthcare settings in Region I. The purpose of the pilot implementation is to determine whether the platform can operate under realistic surveillance conditions and whether it can support disease monitoring, forecasting, early warning generation, and public health decision-making for dengue fever, </w:t>
            </w:r>
            <w:r w:rsidR="000D5C78">
              <w:rPr>
                <w:rFonts w:ascii="Arial" w:eastAsia="Arial" w:hAnsi="Arial" w:cs="Arial"/>
                <w:sz w:val="20"/>
                <w:szCs w:val="20"/>
              </w:rPr>
              <w:t>measles</w:t>
            </w:r>
            <w:r>
              <w:rPr>
                <w:rFonts w:ascii="Arial" w:eastAsia="Arial" w:hAnsi="Arial" w:cs="Arial"/>
                <w:sz w:val="20"/>
                <w:szCs w:val="20"/>
              </w:rPr>
              <w:t>, and influenza-like illnesses.</w:t>
            </w:r>
          </w:p>
          <w:p w14:paraId="02A3BD8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8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methodology will include institutional coordination, site selection, system deployment, user training, pilot use, predictive model validation, platform effectiveness evaluation, usability and acceptability assessment, documentation of implementation concerns, and formulation of recommendations for improvement and future scaling. The pilot sites may include the Department of Health–Center for Health Development Region I, provincial health offices, municipal health offices, selected public hospitals, and local epidemiology or disease surveillance units. Site selection will consider data availability, willingness to participate, institutional approval, technical readiness, internet connectivity, and relevance to the monitoring of the target diseases.</w:t>
            </w:r>
          </w:p>
          <w:p w14:paraId="02A3BD8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8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p>
          <w:p w14:paraId="02A3BD8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noProof/>
                <w:sz w:val="20"/>
                <w:szCs w:val="20"/>
              </w:rPr>
              <w:drawing>
                <wp:inline distT="114300" distB="114300" distL="114300" distR="114300" wp14:anchorId="02A3BFC2" wp14:editId="02A3BFC3">
                  <wp:extent cx="5419725" cy="313078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t="11090" b="7279"/>
                          <a:stretch>
                            <a:fillRect/>
                          </a:stretch>
                        </pic:blipFill>
                        <pic:spPr>
                          <a:xfrm>
                            <a:off x="0" y="0"/>
                            <a:ext cx="5419725" cy="3130786"/>
                          </a:xfrm>
                          <a:prstGeom prst="rect">
                            <a:avLst/>
                          </a:prstGeom>
                          <a:ln/>
                        </pic:spPr>
                      </pic:pic>
                    </a:graphicData>
                  </a:graphic>
                </wp:inline>
              </w:drawing>
            </w:r>
          </w:p>
          <w:p w14:paraId="02A3BD8C"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color w:val="000000"/>
                <w:sz w:val="20"/>
                <w:szCs w:val="20"/>
              </w:rPr>
            </w:pPr>
            <w:r>
              <w:rPr>
                <w:rFonts w:ascii="Arial" w:eastAsia="Arial" w:hAnsi="Arial" w:cs="Arial"/>
                <w:color w:val="000000"/>
                <w:sz w:val="20"/>
                <w:szCs w:val="20"/>
              </w:rPr>
              <w:t xml:space="preserve">Figure </w:t>
            </w:r>
            <w:r>
              <w:rPr>
                <w:rFonts w:ascii="Arial" w:eastAsia="Arial" w:hAnsi="Arial" w:cs="Arial"/>
                <w:sz w:val="20"/>
                <w:szCs w:val="20"/>
              </w:rPr>
              <w:t>5</w:t>
            </w:r>
            <w:r>
              <w:rPr>
                <w:rFonts w:ascii="Arial" w:eastAsia="Arial" w:hAnsi="Arial" w:cs="Arial"/>
                <w:color w:val="000000"/>
                <w:sz w:val="20"/>
                <w:szCs w:val="20"/>
              </w:rPr>
              <w:t>: Pilot Implementation Framework</w:t>
            </w:r>
          </w:p>
          <w:p w14:paraId="02A3BD8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8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sz w:val="20"/>
                <w:szCs w:val="20"/>
              </w:rPr>
              <w:t xml:space="preserve">Figure 5 presents the methodological framework for the pilot implementation and validation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The framework begins with pilot preparation and site selection, followed by system deployment and user training. After deployment, participating users will use the platform to upload or review surveillance data, monitor disease trends, view forecasts, check alerts, interpret risk maps, and generate reports. The system will then be evaluated in terms of predictive model performance, platform effectiveness, usability, acceptability, user satisfaction, and </w:t>
            </w:r>
            <w:r>
              <w:rPr>
                <w:rFonts w:ascii="Arial" w:eastAsia="Arial" w:hAnsi="Arial" w:cs="Arial"/>
                <w:sz w:val="20"/>
                <w:szCs w:val="20"/>
              </w:rPr>
              <w:lastRenderedPageBreak/>
              <w:t>operational feasibility. The findings will be analyzed to identify needed refinements and to develop recommendations for future scaling and possible integration into public health surveillance workflows.</w:t>
            </w:r>
          </w:p>
          <w:p w14:paraId="02A3BD8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9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Pilot Implementation Sites and Participants</w:t>
            </w:r>
          </w:p>
          <w:p w14:paraId="02A3BD9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9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pilot implementation will be conducted in selected institutions involved in disease surveillance, health data reporting, outbreak monitoring, or public health decision-making in Region I. These may include the Department of Health–Center for Health Development Region I, provincial health offices, municipal health offices, selected public hospitals, and local epidemiology or disease surveillance units.</w:t>
            </w:r>
          </w:p>
          <w:p w14:paraId="02A3BD9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4" w14:textId="515409B3"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final pilot sites will be selected based on operational and institutional criteria. These will include the availability of relevant surveillance data, participation in dengue fever, </w:t>
            </w:r>
            <w:r w:rsidR="000D5C78">
              <w:rPr>
                <w:rFonts w:ascii="Arial" w:eastAsia="Arial" w:hAnsi="Arial" w:cs="Arial"/>
                <w:sz w:val="20"/>
                <w:szCs w:val="20"/>
              </w:rPr>
              <w:t>measles</w:t>
            </w:r>
            <w:r>
              <w:rPr>
                <w:rFonts w:ascii="Arial" w:eastAsia="Arial" w:hAnsi="Arial" w:cs="Arial"/>
                <w:sz w:val="20"/>
                <w:szCs w:val="20"/>
              </w:rPr>
              <w:t>, and influenza-like illness monitoring, administrative approval, willingness to participate, availability of personnel who can use the platform, internet connectivity, and basic technical readiness. This selection process will help ensure that the platform is tested in settings where it can be meaningfully used and evaluated.</w:t>
            </w:r>
          </w:p>
          <w:p w14:paraId="02A3BD9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participants may include disease surveillance officers, epidemiology staff, municipal health officers, provincial health personnel, public health nurses, hospital reporting personnel, DOH regional staff, health program coordinators, IT support staff, and public health decision-makers. A purposive sampling technique will be used because the evaluation requires participants who are directly involved in surveillance, reporting, monitoring, technical support, or decision-making. These participants are expected to provide informed feedback on the usefulness, usability, acceptability, and operational feasibility of the platform.</w:t>
            </w:r>
          </w:p>
          <w:p w14:paraId="02A3BD9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sz w:val="20"/>
                <w:szCs w:val="20"/>
              </w:rPr>
            </w:pPr>
            <w:r>
              <w:rPr>
                <w:rFonts w:ascii="Arial" w:eastAsia="Arial" w:hAnsi="Arial" w:cs="Arial"/>
                <w:i/>
                <w:iCs/>
                <w:sz w:val="20"/>
                <w:szCs w:val="20"/>
              </w:rPr>
              <w:t>Institutional Coordination and Pilot Preparation</w:t>
            </w:r>
          </w:p>
          <w:p w14:paraId="02A3BD9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Before deployment, the researchers will coordinate with participating agencies and institutions to finalize the operational requirements of the pilot implementation. This will include securing institutional permissions, confirming pilot sites, identifying authorized users, defining user roles, arranging data-sharing procedures, and setting the implementation schedule.</w:t>
            </w:r>
          </w:p>
          <w:p w14:paraId="02A3BD9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researchers will also address the ethical and administrative requirements of the pilot. These may include ethics clearance, data-sharing agreements, confidentiality agreements, designation of authorized system users, and clarification of data privacy responsibilities. Since the platform may process health-related surveillance data, all data access and system use will follow approved protocols, institutional requirements, and relevant data protection policies.</w:t>
            </w:r>
          </w:p>
          <w:p w14:paraId="02A3BD9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9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Technical readiness will also be assessed before deployment. This may include checking internet connectivity, available computers or devices, user access requirements, preferred deployment arrangement, and availability of institutional IT support. These preparatory activities will help reduce implementation problems and ensure that the pilot is conducted under realistic but manageable conditions.</w:t>
            </w:r>
          </w:p>
          <w:p w14:paraId="02A3BD9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A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System Deployment</w:t>
            </w:r>
          </w:p>
          <w:p w14:paraId="02A3BDA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A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prototype will be deployed in a secure and controlled implementation environment. Depending on the technical capacity and requirements of the participating agencies, the platform may be deployed through a secure local server, institutional server, or cloud-hosted prototype.</w:t>
            </w:r>
          </w:p>
          <w:p w14:paraId="02A3BDA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A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Deployment will include the setup of user accounts, role-based access, database access, dashboard functions, model inference components, early warning alert functions, data upload features, reporting functions, model version tracking, audit logs, and backup procedures. Role-based access will be implemented to ensure that users can access only the functions and data appropriate to their responsibilities. For example, system administrators may manage user accounts and system settings, while disease surveillance personnel may upload data, view dashboards, interpret forecasts, check alerts, and generate reports.</w:t>
            </w:r>
          </w:p>
          <w:p w14:paraId="02A3BDA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A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Before actual pilot use, the researchers will verify that the platform is functioning properly. This technical verification will include checking login access, database connection, data upload, data validation, dashboard display, map visualization, forecast generation, risk classification, alert generation, report export, system logs, and backup procedures. Any major technical issue identified before the pilot will be corrected to avoid unnecessary disruption during implementation.</w:t>
            </w:r>
          </w:p>
          <w:p w14:paraId="02A3BDA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A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User Training and Orientation</w:t>
            </w:r>
          </w:p>
          <w:p w14:paraId="02A3BDA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A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After deployment, the researchers will conduct training and orientation sessions for the target users. The training will help ensure that participants can use the platform properly and interpret its outputs responsibly.</w:t>
            </w:r>
          </w:p>
          <w:p w14:paraId="02A3BDA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A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Training topics may include logging in, managing user access where applicable, uploading or reviewing surveillance data, viewing disease dashboards, filtering trends by disease and location, interpreting forecast results, understanding risk levels, checking early warning alerts, viewing maps, generating reports, and reporting system issues. The training will also include reminders on data privacy, confidentiality, responsible use of health data, and the role of AI-generated outputs as decision-support information rather than final public health decisions.</w:t>
            </w:r>
          </w:p>
          <w:p w14:paraId="02A3BDA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A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researchers may provide user guides, demonstration sessions, hands-on exercises, and quick-reference materials. After the orientation, participants may be asked to perform basic system tasks to confirm that they can navigate the platform and understand its core functions before the pilot use period begins.</w:t>
            </w:r>
          </w:p>
          <w:p w14:paraId="02A3BDA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B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Pilot Use of the Platform</w:t>
            </w:r>
          </w:p>
          <w:p w14:paraId="02A3BDB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color w:val="000000"/>
              </w:rPr>
            </w:pPr>
          </w:p>
          <w:p w14:paraId="02A3BDB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Participating users will use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for a defined pilot period. A pilot period of four to eight weeks may be used for initial implementation. If institutional schedules and data availability allow, a longer period of three to six months would provide stronger evidence of operational usefulness and system performance.</w:t>
            </w:r>
          </w:p>
          <w:p w14:paraId="02A3BDB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B4" w14:textId="30F8746B"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During the pilot period, users may upload or review disease surveillance data, monitor disease trends, view forecast outputs, examine risk maps, check early warning alerts, generate reports, and provide feedback. The platform will be used in relation to dengue fever, </w:t>
            </w:r>
            <w:r w:rsidR="000D5C78">
              <w:rPr>
                <w:rFonts w:ascii="Arial" w:eastAsia="Arial" w:hAnsi="Arial" w:cs="Arial"/>
                <w:sz w:val="20"/>
                <w:szCs w:val="20"/>
              </w:rPr>
              <w:t>measles</w:t>
            </w:r>
            <w:r>
              <w:rPr>
                <w:rFonts w:ascii="Arial" w:eastAsia="Arial" w:hAnsi="Arial" w:cs="Arial"/>
                <w:sz w:val="20"/>
                <w:szCs w:val="20"/>
              </w:rPr>
              <w:t>, and influenza-like illnesses based on available surveillance data.</w:t>
            </w:r>
          </w:p>
          <w:p w14:paraId="02A3BDB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B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researchers will monitor system use throughout the pilot period. System logs, data upload records, forecast outputs, alert generation records, user feedback, technical issues, and operational concerns will be documented. This documentation will help determine whether the platform works technically and whether it fits the actual practices and constraints of public health surveillance work.</w:t>
            </w:r>
          </w:p>
          <w:p w14:paraId="02A3BDB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B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color w:val="000000"/>
                <w:sz w:val="20"/>
                <w:szCs w:val="20"/>
              </w:rPr>
            </w:pPr>
            <w:r>
              <w:rPr>
                <w:rFonts w:ascii="Arial" w:eastAsia="Arial" w:hAnsi="Arial" w:cs="Arial"/>
                <w:i/>
                <w:iCs/>
                <w:color w:val="000000"/>
                <w:sz w:val="20"/>
                <w:szCs w:val="20"/>
              </w:rPr>
              <w:t>Predictive Model Validation Using Real-World Surveillance Data</w:t>
            </w:r>
          </w:p>
          <w:p w14:paraId="02A3BDB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B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predictive and forecasting models integrated into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be validated using recent or real-world disease surveillance data that were not used during model training. This validation is necessary to determine whether the models remain reliable when applied to new data from actual surveillance settings.</w:t>
            </w:r>
          </w:p>
          <w:p w14:paraId="02A3BDB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B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disease case forecasting, the validation will assess how closely predicted case counts match observed cases. Metrics such as Mean Absolute Error, Root Mean Square Error, and, when appropriate, Mean Absolute Percentage Error or symmetric Mean Absolute Percentage Error may be used. Forecast bias may also be examined to determine whether the model tends to overestimate or underestimate disease cases. These metrics will help determine whether the model outputs are reliable enough for surveillance interpretation.</w:t>
            </w:r>
          </w:p>
          <w:p w14:paraId="02A3BDB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B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For outbreak risk classification, the validation will assess whether the system correctly identifies low-risk, moderate-risk, high-risk, or potential outbreak situations. Metrics such as accuracy, precision, recall or sensitivity, specificity, F1-score, and confusion matrix analysis may be used. Recall or sensitivity will be given particular importance because missed outbreak signals may </w:t>
            </w:r>
            <w:r>
              <w:rPr>
                <w:rFonts w:ascii="Arial" w:eastAsia="Arial" w:hAnsi="Arial" w:cs="Arial"/>
                <w:sz w:val="20"/>
                <w:szCs w:val="20"/>
              </w:rPr>
              <w:lastRenderedPageBreak/>
              <w:t>delay public health monitoring or response. Precision will also be considered because too many false alerts may reduce user trust and contribute to alert fatigue.</w:t>
            </w:r>
          </w:p>
          <w:p w14:paraId="02A3BDB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C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researchers may also assess public health relevance beyond statistical accuracy. This may include the number of correct alerts, false alarms, missed outbreak signals, lead time before observed increases in cases, and agreement between model-generated alerts and expert judgment from public health personnel. This combined approach will allow the evaluation to consider both technical performance and practical usefulness.</w:t>
            </w:r>
          </w:p>
          <w:p w14:paraId="02A3BDC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C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i/>
                <w:iCs/>
                <w:sz w:val="20"/>
                <w:szCs w:val="20"/>
              </w:rPr>
            </w:pPr>
            <w:r>
              <w:rPr>
                <w:rFonts w:ascii="Arial" w:eastAsia="Arial" w:hAnsi="Arial" w:cs="Arial"/>
                <w:i/>
                <w:iCs/>
                <w:sz w:val="20"/>
                <w:szCs w:val="20"/>
              </w:rPr>
              <w:t>Model Monitoring During Pilot Use</w:t>
            </w:r>
          </w:p>
          <w:p w14:paraId="02A3BDC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C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During the pilot period, the researchers may also observe the model monitoring and retraining readiness function of the platform. This function will not automatically replace deployed models. Instead, it will check whether model retraining may be advisable based on the amount of new validated data, data completeness, data quality, recent prediction errors, forecast reliability, alert performance, and possible changes in disease patterns.</w:t>
            </w:r>
          </w:p>
          <w:p w14:paraId="02A3BDC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C6"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If the available data are insufficient, incomplete, or unstable, the current deployed model will remain in use. If the system detects sustained performance decline or sufficient validated new data, it may recommend retraining for researcher or administrator review. Any retrained model will be validated and compared with the current deployed model before implementation. This process supports controlled continuous learning while maintaining reliability, traceability, and accountability in public health decision support.</w:t>
            </w:r>
          </w:p>
          <w:p w14:paraId="02A3BDC7"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C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results of the pilot implementation will be used to formulate policy recommendations and implementation guidelines for the responsible adoption of AI-assisted disease surveillance. These recommendations may address data-sharing procedures, privacy safeguards, model validation requirements, alert interpretation, user training, workflow integration, system maintenance, and future scaling to other diseases, local government units, or regions.</w:t>
            </w:r>
          </w:p>
          <w:p w14:paraId="02A3BDC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C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C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Data Analysis</w:t>
            </w:r>
          </w:p>
          <w:p w14:paraId="02A3BDC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C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CE" w14:textId="19ED5565"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1: </w:t>
            </w:r>
            <w:r w:rsidR="00A73F00">
              <w:rPr>
                <w:rFonts w:ascii="Arial" w:eastAsia="Arial" w:hAnsi="Arial" w:cs="Arial"/>
                <w:b/>
                <w:bCs/>
                <w:color w:val="000000"/>
                <w:sz w:val="20"/>
                <w:szCs w:val="20"/>
              </w:rPr>
              <w:t>Development of Machine Learning Models for Disease Trend Detection and Outbreak Forecasting</w:t>
            </w:r>
          </w:p>
          <w:p w14:paraId="02A3BDC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D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developed models will be evaluated using metrics appropriate to the two main modeling tasks of the study: disease case forecasting and outbreak risk classification. Since the forecasting models will estimate future case counts, the analysis will focus on measuring how close the predicted values are to the actual reported cases. For outbreak risk classification, the analysis will examine how well the models identify risk levels or possible outbreak signals.</w:t>
            </w:r>
          </w:p>
          <w:p w14:paraId="02A3BDD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D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disease case forecasting, the study will use Mean Absolute Error (MAE) and Root Mean Square Error (RMSE) as the primary evaluation metrics. These measures are appropriate because they are commonly used to assess forecast accuracy by comparing predicted and observed values. MAE will measure the average absolute difference between the predicted and observed number of cases. It is useful because it is easy to interpret in the same unit as the actual case counts. RMSE will also measure forecasting error, but it gives greater weight to larger errors. This is important in public health surveillance because large forecasting errors may affect the interpretation of disease increases and may influence alert generation or resource planning. Hyndman and Athanasopoulos (2021) discuss the use of forecast accuracy measures for evaluating forecasting models, including errors computed from training and test sets.</w:t>
            </w:r>
          </w:p>
          <w:p w14:paraId="02A3BDD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D4" w14:textId="77777777" w:rsidR="001F340B" w:rsidRDefault="00A73F00">
            <w:pPr>
              <w:pBdr>
                <w:top w:val="nil"/>
                <w:left w:val="nil"/>
                <w:bottom w:val="nil"/>
                <w:right w:val="nil"/>
                <w:between w:val="nil"/>
              </w:pBd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MAE = (</m:t>
                </m:r>
                <m:f>
                  <m:fPr>
                    <m:ctrlPr>
                      <w:rPr>
                        <w:rFonts w:ascii="Arial" w:eastAsia="Arial" w:hAnsi="Arial" w:cs="Arial"/>
                        <w:sz w:val="20"/>
                        <w:szCs w:val="20"/>
                      </w:rPr>
                    </m:ctrlPr>
                  </m:fPr>
                  <m:num>
                    <m:r>
                      <w:rPr>
                        <w:rFonts w:ascii="Arial" w:eastAsia="Arial" w:hAnsi="Arial" w:cs="Arial"/>
                        <w:sz w:val="20"/>
                        <w:szCs w:val="20"/>
                      </w:rPr>
                      <m:t>1</m:t>
                    </m:r>
                  </m:num>
                  <m:den>
                    <m:r>
                      <w:rPr>
                        <w:rFonts w:ascii="Arial" w:eastAsia="Arial" w:hAnsi="Arial" w:cs="Arial"/>
                        <w:sz w:val="20"/>
                        <w:szCs w:val="20"/>
                      </w:rPr>
                      <m:t>n</m:t>
                    </m:r>
                  </m:den>
                </m:f>
                <m:r>
                  <w:rPr>
                    <w:rFonts w:ascii="Arial" w:eastAsia="Arial" w:hAnsi="Arial" w:cs="Arial"/>
                    <w:sz w:val="20"/>
                    <w:szCs w:val="20"/>
                  </w:rPr>
                  <m:t xml:space="preserve">)Σ |Actualᵢ - Predictedᵢ| </m:t>
                </m:r>
              </m:oMath>
            </m:oMathPara>
          </w:p>
          <w:p w14:paraId="02A3BDD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where n is the number of observations, Actualᵢ is the observed number of cases, and Predictedᵢ is the forecasted number of cases.</w:t>
            </w:r>
          </w:p>
          <w:p w14:paraId="02A3BDD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D7"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w:lastRenderedPageBreak/>
                  <m:t xml:space="preserve">RMSE = </m:t>
                </m:r>
                <m:rad>
                  <m:radPr>
                    <m:degHide m:val="1"/>
                    <m:ctrlPr>
                      <w:rPr>
                        <w:rFonts w:ascii="Arial" w:eastAsia="Arial" w:hAnsi="Arial" w:cs="Arial"/>
                        <w:sz w:val="20"/>
                        <w:szCs w:val="20"/>
                      </w:rPr>
                    </m:ctrlPr>
                  </m:radPr>
                  <m:deg/>
                  <m:e>
                    <m:r>
                      <w:rPr>
                        <w:rFonts w:ascii="Arial" w:eastAsia="Arial" w:hAnsi="Arial" w:cs="Arial"/>
                        <w:sz w:val="20"/>
                        <w:szCs w:val="20"/>
                      </w:rPr>
                      <m:t>(</m:t>
                    </m:r>
                    <m:f>
                      <m:fPr>
                        <m:ctrlPr>
                          <w:rPr>
                            <w:rFonts w:ascii="Arial" w:eastAsia="Arial" w:hAnsi="Arial" w:cs="Arial"/>
                            <w:sz w:val="20"/>
                            <w:szCs w:val="20"/>
                          </w:rPr>
                        </m:ctrlPr>
                      </m:fPr>
                      <m:num>
                        <m:r>
                          <w:rPr>
                            <w:rFonts w:ascii="Arial" w:eastAsia="Arial" w:hAnsi="Arial" w:cs="Arial"/>
                            <w:sz w:val="20"/>
                            <w:szCs w:val="20"/>
                          </w:rPr>
                          <m:t>1</m:t>
                        </m:r>
                      </m:num>
                      <m:den>
                        <m:r>
                          <w:rPr>
                            <w:rFonts w:ascii="Arial" w:eastAsia="Arial" w:hAnsi="Arial" w:cs="Arial"/>
                            <w:sz w:val="20"/>
                            <w:szCs w:val="20"/>
                          </w:rPr>
                          <m:t>n</m:t>
                        </m:r>
                      </m:den>
                    </m:f>
                    <m:r>
                      <w:rPr>
                        <w:rFonts w:ascii="Arial" w:eastAsia="Arial" w:hAnsi="Arial" w:cs="Arial"/>
                        <w:sz w:val="20"/>
                        <w:szCs w:val="20"/>
                      </w:rPr>
                      <m:t>)Σ |Actualᵢ - Predictedᵢ|</m:t>
                    </m:r>
                  </m:e>
                </m:rad>
                <m:r>
                  <w:rPr>
                    <w:rFonts w:ascii="Arial" w:eastAsia="Arial" w:hAnsi="Arial" w:cs="Arial"/>
                    <w:sz w:val="20"/>
                    <w:szCs w:val="20"/>
                  </w:rPr>
                  <m:t xml:space="preserve"> </m:t>
                </m:r>
              </m:oMath>
            </m:oMathPara>
          </w:p>
          <w:p w14:paraId="02A3BDD8" w14:textId="77777777" w:rsidR="001F340B" w:rsidRDefault="001F340B">
            <w:pPr>
              <w:tabs>
                <w:tab w:val="left" w:pos="7589"/>
                <w:tab w:val="left" w:pos="9279"/>
              </w:tabs>
              <w:spacing w:after="0" w:line="240" w:lineRule="auto"/>
              <w:ind w:firstLine="0"/>
              <w:jc w:val="center"/>
              <w:rPr>
                <w:rFonts w:ascii="Arial" w:eastAsia="Arial" w:hAnsi="Arial" w:cs="Arial"/>
                <w:sz w:val="20"/>
                <w:szCs w:val="20"/>
              </w:rPr>
            </w:pPr>
          </w:p>
          <w:p w14:paraId="02A3BDD9" w14:textId="77777777" w:rsidR="001F340B" w:rsidRDefault="00A73F00">
            <w:pPr>
              <w:tabs>
                <w:tab w:val="left" w:pos="7589"/>
                <w:tab w:val="left" w:pos="9279"/>
              </w:tabs>
              <w:spacing w:after="0" w:line="240" w:lineRule="auto"/>
              <w:ind w:firstLine="0"/>
              <w:rPr>
                <w:rFonts w:ascii="Arial" w:eastAsia="Arial" w:hAnsi="Arial" w:cs="Arial"/>
                <w:sz w:val="20"/>
                <w:szCs w:val="20"/>
              </w:rPr>
            </w:pPr>
            <w:r>
              <w:rPr>
                <w:rFonts w:ascii="Arial" w:eastAsia="Arial" w:hAnsi="Arial" w:cs="Arial"/>
                <w:sz w:val="20"/>
                <w:szCs w:val="20"/>
              </w:rPr>
              <w:t>where n is the number of observations, Actualᵢ is the observed number of cases, and Predictedᵢ is the forecasted number of cases.</w:t>
            </w:r>
          </w:p>
          <w:p w14:paraId="02A3BDDA" w14:textId="77777777" w:rsidR="001F340B" w:rsidRDefault="001F340B">
            <w:pPr>
              <w:tabs>
                <w:tab w:val="left" w:pos="7589"/>
                <w:tab w:val="left" w:pos="9279"/>
              </w:tabs>
              <w:spacing w:after="0" w:line="240" w:lineRule="auto"/>
              <w:ind w:firstLine="0"/>
              <w:rPr>
                <w:rFonts w:ascii="Arial" w:eastAsia="Arial" w:hAnsi="Arial" w:cs="Arial"/>
                <w:sz w:val="20"/>
                <w:szCs w:val="20"/>
              </w:rPr>
            </w:pPr>
          </w:p>
          <w:p w14:paraId="02A3BDDB" w14:textId="77777777" w:rsidR="001F340B" w:rsidRDefault="00A73F00">
            <w:pPr>
              <w:tabs>
                <w:tab w:val="left" w:pos="7589"/>
                <w:tab w:val="left" w:pos="9279"/>
              </w:tabs>
              <w:spacing w:after="0" w:line="240" w:lineRule="auto"/>
              <w:ind w:firstLine="0"/>
              <w:rPr>
                <w:rFonts w:ascii="Arial" w:eastAsia="Arial" w:hAnsi="Arial" w:cs="Arial"/>
                <w:sz w:val="20"/>
                <w:szCs w:val="20"/>
              </w:rPr>
            </w:pPr>
            <w:r>
              <w:rPr>
                <w:rFonts w:ascii="Arial" w:eastAsia="Arial" w:hAnsi="Arial" w:cs="Arial"/>
                <w:sz w:val="20"/>
                <w:szCs w:val="20"/>
              </w:rPr>
              <w:t>Mean Absolute Percentage Error (MAPE) or symmetric Mean Absolute Percentage Error (</w:t>
            </w:r>
            <w:proofErr w:type="spellStart"/>
            <w:r>
              <w:rPr>
                <w:rFonts w:ascii="Arial" w:eastAsia="Arial" w:hAnsi="Arial" w:cs="Arial"/>
                <w:sz w:val="20"/>
                <w:szCs w:val="20"/>
              </w:rPr>
              <w:t>sMAPE</w:t>
            </w:r>
            <w:proofErr w:type="spellEnd"/>
            <w:r>
              <w:rPr>
                <w:rFonts w:ascii="Arial" w:eastAsia="Arial" w:hAnsi="Arial" w:cs="Arial"/>
                <w:sz w:val="20"/>
                <w:szCs w:val="20"/>
              </w:rPr>
              <w:t>) may be used only as supplementary metrics when the data are suitable. These percentage-based metrics can help compare forecasting performance across diseases or municipalities with different case volumes. However, they will be used cautiously because disease surveillance data may contain zero or very low case counts, which can make percentage errors unstable or misleading.</w:t>
            </w:r>
          </w:p>
          <w:p w14:paraId="02A3BDDC" w14:textId="77777777" w:rsidR="001F340B" w:rsidRDefault="001F340B">
            <w:pPr>
              <w:tabs>
                <w:tab w:val="left" w:pos="7589"/>
                <w:tab w:val="left" w:pos="9279"/>
              </w:tabs>
              <w:spacing w:after="0" w:line="240" w:lineRule="auto"/>
              <w:ind w:firstLine="0"/>
              <w:rPr>
                <w:rFonts w:ascii="Arial" w:eastAsia="Arial" w:hAnsi="Arial" w:cs="Arial"/>
                <w:sz w:val="20"/>
                <w:szCs w:val="20"/>
              </w:rPr>
            </w:pPr>
          </w:p>
          <w:p w14:paraId="02A3BDDD" w14:textId="77777777" w:rsidR="001F340B" w:rsidRDefault="00A73F00">
            <w:pPr>
              <w:tabs>
                <w:tab w:val="left" w:pos="7589"/>
                <w:tab w:val="left" w:pos="9279"/>
              </w:tabs>
              <w:spacing w:after="0" w:line="240" w:lineRule="auto"/>
              <w:ind w:firstLine="0"/>
              <w:rPr>
                <w:rFonts w:ascii="Arial" w:eastAsia="Arial" w:hAnsi="Arial" w:cs="Arial"/>
                <w:sz w:val="20"/>
                <w:szCs w:val="20"/>
              </w:rPr>
            </w:pPr>
            <w:r>
              <w:rPr>
                <w:rFonts w:ascii="Arial" w:eastAsia="Arial" w:hAnsi="Arial" w:cs="Arial"/>
                <w:sz w:val="20"/>
                <w:szCs w:val="20"/>
              </w:rPr>
              <w:t xml:space="preserve">For outbreak detection or risk classification, the study will use accuracy, precision, recall or sensitivity, specificity, and F1-score. These metrics are appropriate because outbreak risk classification involves distinguishing among different risk conditions, such as low-risk, moderate-risk, high-risk, or potential outbreak situations. Accuracy will show the overall proportion of correct classifications. However, accuracy alone may not be sufficient when outbreak cases are less frequent than non-outbreak cases. For this reason, precision, recall, specificity, and F1-score will also be used. Recent reviews on machine learning evaluation emphasize that different metrics capture different aspects of model performance and should be selected according to the task, the class distribution, and the consequences of errors (Hicks et al., 2022; </w:t>
            </w:r>
            <w:proofErr w:type="spellStart"/>
            <w:r>
              <w:rPr>
                <w:rFonts w:ascii="Arial" w:eastAsia="Arial" w:hAnsi="Arial" w:cs="Arial"/>
                <w:sz w:val="20"/>
                <w:szCs w:val="20"/>
              </w:rPr>
              <w:t>Rainio</w:t>
            </w:r>
            <w:proofErr w:type="spellEnd"/>
            <w:r>
              <w:rPr>
                <w:rFonts w:ascii="Arial" w:eastAsia="Arial" w:hAnsi="Arial" w:cs="Arial"/>
                <w:sz w:val="20"/>
                <w:szCs w:val="20"/>
              </w:rPr>
              <w:t xml:space="preserve"> et al., 2024).</w:t>
            </w:r>
          </w:p>
          <w:p w14:paraId="02A3BDDE" w14:textId="77777777" w:rsidR="001F340B" w:rsidRDefault="001F340B">
            <w:pPr>
              <w:tabs>
                <w:tab w:val="left" w:pos="7589"/>
                <w:tab w:val="left" w:pos="9279"/>
              </w:tabs>
              <w:spacing w:after="0" w:line="240" w:lineRule="auto"/>
              <w:ind w:firstLine="0"/>
              <w:rPr>
                <w:rFonts w:ascii="Arial" w:eastAsia="Arial" w:hAnsi="Arial" w:cs="Arial"/>
                <w:sz w:val="20"/>
                <w:szCs w:val="20"/>
              </w:rPr>
            </w:pPr>
          </w:p>
          <w:p w14:paraId="02A3BDDF"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Accuracy =  </m:t>
                </m:r>
                <m:f>
                  <m:fPr>
                    <m:ctrlPr>
                      <w:rPr>
                        <w:rFonts w:ascii="Arial" w:eastAsia="Arial" w:hAnsi="Arial" w:cs="Arial"/>
                        <w:sz w:val="20"/>
                        <w:szCs w:val="20"/>
                      </w:rPr>
                    </m:ctrlPr>
                  </m:fPr>
                  <m:num>
                    <m:r>
                      <w:rPr>
                        <w:rFonts w:ascii="Arial" w:eastAsia="Arial" w:hAnsi="Arial" w:cs="Arial"/>
                        <w:sz w:val="20"/>
                        <w:szCs w:val="20"/>
                      </w:rPr>
                      <m:t xml:space="preserve">(TP + TN) </m:t>
                    </m:r>
                  </m:num>
                  <m:den>
                    <m:r>
                      <w:rPr>
                        <w:rFonts w:ascii="Arial" w:eastAsia="Arial" w:hAnsi="Arial" w:cs="Arial"/>
                        <w:sz w:val="20"/>
                        <w:szCs w:val="20"/>
                      </w:rPr>
                      <m:t xml:space="preserve">(TP + TN + FP + FN) </m:t>
                    </m:r>
                  </m:den>
                </m:f>
                <m:r>
                  <w:rPr>
                    <w:rFonts w:ascii="Arial" w:eastAsia="Arial" w:hAnsi="Arial" w:cs="Arial"/>
                    <w:sz w:val="20"/>
                    <w:szCs w:val="20"/>
                  </w:rPr>
                  <m:t xml:space="preserve"> </m:t>
                </m:r>
              </m:oMath>
            </m:oMathPara>
          </w:p>
          <w:p w14:paraId="02A3BDE0" w14:textId="77777777" w:rsidR="001F340B" w:rsidRDefault="001F340B">
            <w:pPr>
              <w:tabs>
                <w:tab w:val="left" w:pos="7589"/>
                <w:tab w:val="left" w:pos="9279"/>
              </w:tabs>
              <w:spacing w:after="0" w:line="240" w:lineRule="auto"/>
              <w:ind w:firstLine="0"/>
              <w:jc w:val="center"/>
              <w:rPr>
                <w:rFonts w:ascii="Arial" w:eastAsia="Arial" w:hAnsi="Arial" w:cs="Arial"/>
                <w:sz w:val="20"/>
                <w:szCs w:val="20"/>
              </w:rPr>
            </w:pPr>
          </w:p>
          <w:p w14:paraId="02A3BDE1"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Precision =  </m:t>
                </m:r>
                <m:f>
                  <m:fPr>
                    <m:ctrlPr>
                      <w:rPr>
                        <w:rFonts w:ascii="Arial" w:eastAsia="Arial" w:hAnsi="Arial" w:cs="Arial"/>
                        <w:sz w:val="20"/>
                        <w:szCs w:val="20"/>
                      </w:rPr>
                    </m:ctrlPr>
                  </m:fPr>
                  <m:num>
                    <m:r>
                      <w:rPr>
                        <w:rFonts w:ascii="Arial" w:eastAsia="Arial" w:hAnsi="Arial" w:cs="Arial"/>
                        <w:sz w:val="20"/>
                        <w:szCs w:val="20"/>
                      </w:rPr>
                      <m:t xml:space="preserve">TP </m:t>
                    </m:r>
                  </m:num>
                  <m:den>
                    <m:r>
                      <w:rPr>
                        <w:rFonts w:ascii="Arial" w:eastAsia="Arial" w:hAnsi="Arial" w:cs="Arial"/>
                        <w:sz w:val="20"/>
                        <w:szCs w:val="20"/>
                      </w:rPr>
                      <m:t xml:space="preserve">(TP + FP) </m:t>
                    </m:r>
                  </m:den>
                </m:f>
                <m:r>
                  <w:rPr>
                    <w:rFonts w:ascii="Arial" w:eastAsia="Arial" w:hAnsi="Arial" w:cs="Arial"/>
                    <w:sz w:val="20"/>
                    <w:szCs w:val="20"/>
                  </w:rPr>
                  <m:t xml:space="preserve"> </m:t>
                </m:r>
              </m:oMath>
            </m:oMathPara>
          </w:p>
          <w:p w14:paraId="02A3BDE2" w14:textId="77777777" w:rsidR="001F340B" w:rsidRDefault="001F340B">
            <w:pPr>
              <w:tabs>
                <w:tab w:val="left" w:pos="7589"/>
                <w:tab w:val="left" w:pos="9279"/>
              </w:tabs>
              <w:spacing w:after="0" w:line="240" w:lineRule="auto"/>
              <w:ind w:firstLine="0"/>
              <w:jc w:val="center"/>
              <w:rPr>
                <w:rFonts w:ascii="Arial" w:eastAsia="Arial" w:hAnsi="Arial" w:cs="Arial"/>
                <w:sz w:val="20"/>
                <w:szCs w:val="20"/>
              </w:rPr>
            </w:pPr>
          </w:p>
          <w:p w14:paraId="02A3BDE3"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Recall = Sensitivity =   </m:t>
                </m:r>
                <m:f>
                  <m:fPr>
                    <m:ctrlPr>
                      <w:rPr>
                        <w:rFonts w:ascii="Arial" w:eastAsia="Arial" w:hAnsi="Arial" w:cs="Arial"/>
                        <w:sz w:val="20"/>
                        <w:szCs w:val="20"/>
                      </w:rPr>
                    </m:ctrlPr>
                  </m:fPr>
                  <m:num>
                    <m:r>
                      <w:rPr>
                        <w:rFonts w:ascii="Arial" w:eastAsia="Arial" w:hAnsi="Arial" w:cs="Arial"/>
                        <w:sz w:val="20"/>
                        <w:szCs w:val="20"/>
                      </w:rPr>
                      <m:t xml:space="preserve">TP </m:t>
                    </m:r>
                  </m:num>
                  <m:den>
                    <m:r>
                      <w:rPr>
                        <w:rFonts w:ascii="Arial" w:eastAsia="Arial" w:hAnsi="Arial" w:cs="Arial"/>
                        <w:sz w:val="20"/>
                        <w:szCs w:val="20"/>
                      </w:rPr>
                      <m:t xml:space="preserve">(TP + FN)  </m:t>
                    </m:r>
                  </m:den>
                </m:f>
                <m:r>
                  <w:rPr>
                    <w:rFonts w:ascii="Arial" w:eastAsia="Arial" w:hAnsi="Arial" w:cs="Arial"/>
                    <w:sz w:val="20"/>
                    <w:szCs w:val="20"/>
                  </w:rPr>
                  <m:t xml:space="preserve"> </m:t>
                </m:r>
              </m:oMath>
            </m:oMathPara>
          </w:p>
          <w:p w14:paraId="02A3BDE4" w14:textId="77777777" w:rsidR="001F340B" w:rsidRDefault="001F340B">
            <w:pPr>
              <w:tabs>
                <w:tab w:val="left" w:pos="7589"/>
                <w:tab w:val="left" w:pos="9279"/>
              </w:tabs>
              <w:spacing w:after="0" w:line="240" w:lineRule="auto"/>
              <w:ind w:firstLine="0"/>
              <w:jc w:val="center"/>
              <w:rPr>
                <w:rFonts w:ascii="Arial" w:eastAsia="Arial" w:hAnsi="Arial" w:cs="Arial"/>
                <w:sz w:val="20"/>
                <w:szCs w:val="20"/>
              </w:rPr>
            </w:pPr>
          </w:p>
          <w:p w14:paraId="02A3BDE5"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Specificity =   </m:t>
                </m:r>
                <m:f>
                  <m:fPr>
                    <m:ctrlPr>
                      <w:rPr>
                        <w:rFonts w:ascii="Arial" w:eastAsia="Arial" w:hAnsi="Arial" w:cs="Arial"/>
                        <w:sz w:val="20"/>
                        <w:szCs w:val="20"/>
                      </w:rPr>
                    </m:ctrlPr>
                  </m:fPr>
                  <m:num>
                    <m:r>
                      <w:rPr>
                        <w:rFonts w:ascii="Arial" w:eastAsia="Arial" w:hAnsi="Arial" w:cs="Arial"/>
                        <w:sz w:val="20"/>
                        <w:szCs w:val="20"/>
                      </w:rPr>
                      <m:t xml:space="preserve">TN </m:t>
                    </m:r>
                  </m:num>
                  <m:den>
                    <m:r>
                      <w:rPr>
                        <w:rFonts w:ascii="Arial" w:eastAsia="Arial" w:hAnsi="Arial" w:cs="Arial"/>
                        <w:sz w:val="20"/>
                        <w:szCs w:val="20"/>
                      </w:rPr>
                      <m:t xml:space="preserve">(TN + FP)  </m:t>
                    </m:r>
                  </m:den>
                </m:f>
                <m:r>
                  <w:rPr>
                    <w:rFonts w:ascii="Arial" w:eastAsia="Arial" w:hAnsi="Arial" w:cs="Arial"/>
                    <w:sz w:val="20"/>
                    <w:szCs w:val="20"/>
                  </w:rPr>
                  <m:t xml:space="preserve"> </m:t>
                </m:r>
              </m:oMath>
            </m:oMathPara>
          </w:p>
          <w:p w14:paraId="02A3BDE6" w14:textId="77777777" w:rsidR="001F340B" w:rsidRDefault="001F340B">
            <w:pPr>
              <w:tabs>
                <w:tab w:val="left" w:pos="7589"/>
                <w:tab w:val="left" w:pos="9279"/>
              </w:tabs>
              <w:spacing w:after="0" w:line="240" w:lineRule="auto"/>
              <w:ind w:firstLine="0"/>
              <w:rPr>
                <w:rFonts w:ascii="Arial" w:eastAsia="Arial" w:hAnsi="Arial" w:cs="Arial"/>
                <w:sz w:val="20"/>
                <w:szCs w:val="20"/>
              </w:rPr>
            </w:pPr>
          </w:p>
          <w:p w14:paraId="02A3BDE7"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F1-score =2 ×   </m:t>
                </m:r>
                <m:f>
                  <m:fPr>
                    <m:ctrlPr>
                      <w:rPr>
                        <w:rFonts w:ascii="Arial" w:eastAsia="Arial" w:hAnsi="Arial" w:cs="Arial"/>
                        <w:sz w:val="20"/>
                        <w:szCs w:val="20"/>
                      </w:rPr>
                    </m:ctrlPr>
                  </m:fPr>
                  <m:num>
                    <m:r>
                      <w:rPr>
                        <w:rFonts w:ascii="Arial" w:eastAsia="Arial" w:hAnsi="Arial" w:cs="Arial"/>
                        <w:sz w:val="20"/>
                        <w:szCs w:val="20"/>
                      </w:rPr>
                      <m:t xml:space="preserve">(Precision × Recall)  </m:t>
                    </m:r>
                  </m:num>
                  <m:den>
                    <m:r>
                      <w:rPr>
                        <w:rFonts w:ascii="Arial" w:eastAsia="Arial" w:hAnsi="Arial" w:cs="Arial"/>
                        <w:sz w:val="20"/>
                        <w:szCs w:val="20"/>
                      </w:rPr>
                      <m:t xml:space="preserve">(Precision + Recall)  </m:t>
                    </m:r>
                  </m:den>
                </m:f>
                <m:r>
                  <w:rPr>
                    <w:rFonts w:ascii="Arial" w:eastAsia="Arial" w:hAnsi="Arial" w:cs="Arial"/>
                    <w:sz w:val="20"/>
                    <w:szCs w:val="20"/>
                  </w:rPr>
                  <m:t xml:space="preserve"> </m:t>
                </m:r>
              </m:oMath>
            </m:oMathPara>
          </w:p>
          <w:p w14:paraId="02A3BDE8" w14:textId="77777777" w:rsidR="001F340B" w:rsidRDefault="001F340B">
            <w:pPr>
              <w:tabs>
                <w:tab w:val="left" w:pos="7589"/>
                <w:tab w:val="left" w:pos="9279"/>
              </w:tabs>
              <w:spacing w:after="0" w:line="240" w:lineRule="auto"/>
              <w:ind w:firstLine="0"/>
              <w:rPr>
                <w:rFonts w:ascii="Arial" w:eastAsia="Arial" w:hAnsi="Arial" w:cs="Arial"/>
                <w:sz w:val="20"/>
                <w:szCs w:val="20"/>
              </w:rPr>
            </w:pPr>
          </w:p>
          <w:p w14:paraId="02A3BDE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where TP refers to true positives, TN refers to true negatives, FP refers to false positives, and FN refers to false negatives.</w:t>
            </w:r>
          </w:p>
          <w:p w14:paraId="02A3BDE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E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In public health surveillance, recall or sensitivity will be given particular importance because failing to detect a possible outbreak may delay monitoring, verification, or response. A model with high recall can detect a greater proportion of actual outbreak signals. However, precision will also be considered because too many false alerts may reduce user trust and contribute to alert fatigue. Specificity will help determine whether the model can correctly identify non-outbreak periods, while F1-score will provide a balanced measure between precision and recall. The final model selection will therefore consider both statistical performance and practical public health usefulness.</w:t>
            </w:r>
          </w:p>
          <w:p w14:paraId="02A3BDE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E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study will also compare model performance across the selected diseases, municipalities, and forecast horizons. This is necessary because a model may perform well overall but may be less reliable for a specific disease, location, or prediction period. Error analysis will be conducted to identify periods or locations where the models underperform, such as during unusual outbreaks, reporting delays, extreme weather events, sparse case counts, or periods with incomplete data. These findings will guide model refinement and help determine which models are suitable for integration into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w:t>
            </w:r>
          </w:p>
          <w:p w14:paraId="02A3BDE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E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To support interpretation, the study may also use feature importance analysis for selected machine learning models. This will help identify which predictors, such as previous case counts, moving averages, rainfall, temperature, seasonality, or location-related indicators, contribute most to the model outputs. Explainability is important in health-related AI systems because users need to understand the basis of model outputs, especially when these outputs may support monitoring, prioritization, or decision-making (Sadeghi et al., 2024).</w:t>
            </w:r>
          </w:p>
          <w:p w14:paraId="02A3BDF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sz w:val="20"/>
                <w:szCs w:val="20"/>
              </w:rPr>
            </w:pPr>
          </w:p>
          <w:p w14:paraId="02A3BDF1" w14:textId="16824546"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2: </w:t>
            </w:r>
            <w:r w:rsidR="00A73F00">
              <w:rPr>
                <w:rFonts w:ascii="Arial" w:eastAsia="Arial" w:hAnsi="Arial" w:cs="Arial"/>
                <w:b/>
                <w:bCs/>
                <w:color w:val="000000"/>
                <w:sz w:val="20"/>
                <w:szCs w:val="20"/>
              </w:rPr>
              <w:t xml:space="preserve">Development of the </w:t>
            </w:r>
            <w:proofErr w:type="spellStart"/>
            <w:r w:rsidR="00A73F00">
              <w:rPr>
                <w:rFonts w:ascii="Arial" w:eastAsia="Arial" w:hAnsi="Arial" w:cs="Arial"/>
                <w:b/>
                <w:bCs/>
                <w:color w:val="000000"/>
                <w:sz w:val="20"/>
                <w:szCs w:val="20"/>
              </w:rPr>
              <w:t>BantayHealthAI</w:t>
            </w:r>
            <w:proofErr w:type="spellEnd"/>
            <w:r w:rsidR="00A73F00">
              <w:rPr>
                <w:rFonts w:ascii="Arial" w:eastAsia="Arial" w:hAnsi="Arial" w:cs="Arial"/>
                <w:b/>
                <w:bCs/>
                <w:color w:val="000000"/>
                <w:sz w:val="20"/>
                <w:szCs w:val="20"/>
              </w:rPr>
              <w:t xml:space="preserve"> Surveillance and Predictive Analytics Platform</w:t>
            </w:r>
          </w:p>
          <w:p w14:paraId="02A3BDF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F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will be evaluated in terms of functionality, usability, responsiveness, security, and technical acceptability. These dimensions are appropriate because the system is not only a predictive model but also a software platform that must function correctly, respond efficiently, protect data, and be usable by public health personnel. The evaluation of software quality may be guided by the ISO/IEC 25010:2023 software product quality model, which provides quality characteristics for specifying and evaluating software products throughout their life cycle (International Organization for Standardization, 2023).</w:t>
            </w:r>
          </w:p>
          <w:p w14:paraId="02A3BDF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F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Functional testing will determine whether the platform performs its required functions correctly. The researchers will prepare test cases for each system module. These test cases will check whether users can log in, upload data, validate records, view dashboards, generate forecasts, display maps, receive alerts, export reports, and manage user accounts. Functional testing will also examine whether the system handles invalid inputs, missing data, duplicate records, incomplete files, and unavailable model services appropriately.</w:t>
            </w:r>
          </w:p>
          <w:p w14:paraId="02A3BDF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F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Usability testing will assess whether target users can use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effectively, efficiently, and comfortably. Public health personnel and healthcare users will be asked to perform common system tasks, such as uploading disease surveillance data, filtering disease trends, interpreting forecast results, viewing risk maps, checking alerts, and generating reports.</w:t>
            </w:r>
          </w:p>
          <w:p w14:paraId="02A3BDF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F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usability of the platform will be measured using the System Usability Scale (SUS). SUS is appropriate because it is a standardized 10-item instrument commonly used to assess perceived usability across digital systems. Recent digital health benchmarking research describes SUS as a short 10-item questionnaire using a Likert scale, with scores ranging from 0 to 100, and reports its continued use in evaluating digital health applications (Hyzy et al., 2022).</w:t>
            </w:r>
          </w:p>
          <w:p w14:paraId="02A3BDF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F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SUS score will be computed using the standard scoring procedure. For positively worded items, 1 will be subtracted from the respondent’s score. For negatively worded items, the respondent’s score will be subtracted from 5. The adjusted values will be summed and multiplied by 2.5 to obtain the final SUS score from 0 to 100.</w:t>
            </w:r>
          </w:p>
          <w:p w14:paraId="02A3BDF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DFD" w14:textId="77777777" w:rsidR="001F340B" w:rsidRDefault="00A73F00">
            <w:pPr>
              <w:tabs>
                <w:tab w:val="left" w:pos="7589"/>
                <w:tab w:val="left" w:pos="9279"/>
              </w:tabs>
              <w:spacing w:after="0" w:line="240" w:lineRule="auto"/>
              <w:ind w:firstLine="0"/>
              <w:jc w:val="center"/>
              <w:rPr>
                <w:rFonts w:ascii="Arial" w:eastAsia="Arial" w:hAnsi="Arial" w:cs="Arial"/>
                <w:sz w:val="20"/>
                <w:szCs w:val="20"/>
              </w:rPr>
            </w:pPr>
            <m:oMathPara>
              <m:oMath>
                <m:r>
                  <w:rPr>
                    <w:rFonts w:ascii="Arial" w:eastAsia="Arial" w:hAnsi="Arial" w:cs="Arial"/>
                    <w:sz w:val="20"/>
                    <w:szCs w:val="20"/>
                  </w:rPr>
                  <m:t xml:space="preserve">SUS score = 2.5 × Σ adjusted item scores  </m:t>
                </m:r>
              </m:oMath>
            </m:oMathPara>
          </w:p>
          <w:p w14:paraId="02A3BDF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DF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SUS results will be analyzed using descriptive statistics, including frequency, percentage, mean, and standard deviation. The overall SUS score will be interpreted using established SUS interpretation practices. Open-ended feedback may also be collected to identify specific usability issues related to dashboard layout, navigation, clarity of visualizations, interpretation of forecasts, alert messages, and report generation.</w:t>
            </w:r>
          </w:p>
          <w:p w14:paraId="02A3BE0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Responsiveness and performance testing will examine how efficiently the system responds during use. The researchers may measure page loading time, dashboard response time, data upload processing time, forecast generation time, report generation time, and system behavior during multiple user sessions. These results will be summarized using descriptive statistics and compared with practical benchmarks determined by the researchers and stakeholders.</w:t>
            </w:r>
          </w:p>
          <w:p w14:paraId="02A3BE0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Security testing will examine whether the platform protects user access and health-related surveillance data. The system will be checked for secure login, password protection, role-based access, unauthorized access prevention, audit logs, database protection, backup procedures, and secure handling of uploaded files. Since the project uses surveillance and health-related data, the evaluation will focus on data privacy, access control, accountability, and responsible handling of </w:t>
            </w:r>
            <w:r>
              <w:rPr>
                <w:rFonts w:ascii="Arial" w:eastAsia="Arial" w:hAnsi="Arial" w:cs="Arial"/>
                <w:sz w:val="20"/>
                <w:szCs w:val="20"/>
              </w:rPr>
              <w:lastRenderedPageBreak/>
              <w:t>records. No biological safety risk assessment is required unless the project later includes handling of biological specimens or laboratory materials.</w:t>
            </w:r>
          </w:p>
          <w:p w14:paraId="02A3BE0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Technical acceptability will be assessed using a researcher-made questionnaire informed by technology acceptance constructs. The questionnaire may include indicators on perceived usefulness, perceived ease of use, trust in AI-generated outputs, compatibility with current surveillance workflows, clarity of alert levels, and willingness to use the platform during future implementation. These constructs are appropriate because technology acceptance research in healthcare consistently identifies perceived usefulness, perceived ease of use, behavioral intention, trust, and facilitating conditions as important factors in technology adoption (AlQudah et al., 2021).</w:t>
            </w:r>
          </w:p>
          <w:p w14:paraId="02A3BE0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researcher-made questionnaire will undergo expert validation before use. Experts may review the items for clarity, relevance, appropriateness, and alignment with the study objectives. If the number of respondents is sufficient, internal consistency may be examined. Quantitative responses will be analyzed using frequency, percentage, mean, and standard deviation. Open-ended responses will be analyzed qualitatively to identify recurring concerns and recommendations.</w:t>
            </w:r>
          </w:p>
          <w:p w14:paraId="02A3BE0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9" w14:textId="3189BBA1" w:rsidR="001F340B" w:rsidRDefault="000B0704">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b/>
                <w:bCs/>
                <w:color w:val="000000"/>
                <w:sz w:val="20"/>
                <w:szCs w:val="20"/>
              </w:rPr>
            </w:pPr>
            <w:r>
              <w:rPr>
                <w:rFonts w:ascii="Arial" w:eastAsia="Arial" w:hAnsi="Arial" w:cs="Arial"/>
                <w:b/>
                <w:bCs/>
                <w:color w:val="000000"/>
                <w:sz w:val="20"/>
                <w:szCs w:val="20"/>
              </w:rPr>
              <w:t xml:space="preserve">Study 3: </w:t>
            </w:r>
            <w:r w:rsidR="00A73F00">
              <w:rPr>
                <w:rFonts w:ascii="Arial" w:eastAsia="Arial" w:hAnsi="Arial" w:cs="Arial"/>
                <w:b/>
                <w:bCs/>
                <w:color w:val="000000"/>
                <w:sz w:val="20"/>
                <w:szCs w:val="20"/>
              </w:rPr>
              <w:t xml:space="preserve">Pilot Implementation and Validation of the </w:t>
            </w:r>
            <w:proofErr w:type="spellStart"/>
            <w:r w:rsidR="00A73F00">
              <w:rPr>
                <w:rFonts w:ascii="Arial" w:eastAsia="Arial" w:hAnsi="Arial" w:cs="Arial"/>
                <w:b/>
                <w:bCs/>
                <w:color w:val="000000"/>
                <w:sz w:val="20"/>
                <w:szCs w:val="20"/>
              </w:rPr>
              <w:t>BantayHealthAI</w:t>
            </w:r>
            <w:proofErr w:type="spellEnd"/>
            <w:r w:rsidR="00A73F00">
              <w:rPr>
                <w:rFonts w:ascii="Arial" w:eastAsia="Arial" w:hAnsi="Arial" w:cs="Arial"/>
                <w:b/>
                <w:bCs/>
                <w:color w:val="000000"/>
                <w:sz w:val="20"/>
                <w:szCs w:val="20"/>
              </w:rPr>
              <w:t xml:space="preserve"> Platform</w:t>
            </w:r>
          </w:p>
          <w:p w14:paraId="02A3BE0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E0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effectiveness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be evaluated based on how well it supports regularly updated disease surveillance, outbreak detection, early warning generation, and evidence-based public health decision-making. This evaluation will focus on whether the platform helps users interpret disease data more clearly, identify high-risk areas, recognize possible outbreak signals, and prioritize locations that require closer monitoring.</w:t>
            </w:r>
          </w:p>
          <w:p w14:paraId="02A3BE0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Effectiveness indicators may include the platform’s ability to display disease trends clearly, present forecast outputs understandably, identify municipalities or areas with increasing disease activity, generate useful early warning alerts, support faster interpretation of surveillance data, and provide outputs relevant to public health workflows. The researchers will also examine whether users consider the platform helpful in supporting planning, monitoring, reporting, and decision-making.</w:t>
            </w:r>
          </w:p>
          <w:p w14:paraId="02A3BE0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0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Data for effectiveness evaluation may be collected through user surveys, observation checklists, key informant interviews, focus group discussions, expert review, system logs, and implementation logs. The combination of these sources will allow the researchers to evaluate both measurable system outputs and user experience in the actual implementation setting.</w:t>
            </w:r>
          </w:p>
          <w:p w14:paraId="02A3BE1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also be assessed in terms of usability, acceptability, and user satisfaction among healthcare providers, disease surveillance personnel, and public health officials. Usability will be measured using the System Usability Scale. Acceptability and satisfaction may be measured using a researcher-made Likert-scale questionnaire guided by technology acceptance and information systems evaluation concepts. Items may include perceived usefulness, perceived ease of use, trust in forecast outputs, workflow compatibility, clarity of dashboards and alerts, adequacy of reports, and willingness to continue using the platform.</w:t>
            </w:r>
          </w:p>
          <w:p w14:paraId="02A3BE1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Structured questionnaires using a five-point Likert scale may be administered to collect quantitative feedback. The scale may range from 1, strongly disagree, to 5, strongly agree. Open-ended questions may also be included to capture user suggestions, concerns, and recommendations for improvement.</w:t>
            </w:r>
          </w:p>
          <w:p w14:paraId="02A3BE1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Operational and technical indicators may include system uptime, login reliability, data upload success rate, dashboard loading time, forecast generation time, report generation time, alert generation accuracy, frequency of system errors, user access issues, interoperability concerns, data quality issues, and internet connectivity problems. The researchers will maintain an implementation log throughout the pilot period to record technical issues, user-reported problems, data upload concerns, system errors, corrective actions, and recommendations from participants.</w:t>
            </w:r>
          </w:p>
          <w:p w14:paraId="02A3BE1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Quantitative data will be analyzed using descriptive statistics such as frequency, percentage, mean, and standard deviation. Predictive model performance will be analyzed using forecasting </w:t>
            </w:r>
            <w:r>
              <w:rPr>
                <w:rFonts w:ascii="Arial" w:eastAsia="Arial" w:hAnsi="Arial" w:cs="Arial"/>
                <w:sz w:val="20"/>
                <w:szCs w:val="20"/>
              </w:rPr>
              <w:lastRenderedPageBreak/>
              <w:t>and classification metrics such as MAE, RMSE, accuracy, precision, recall, sensitivity, specificity, F1-score, confusion matrix analysis, and related reliability indicators. SUS scores will be computed and interpreted based on established scoring procedures. System performance indicators, such as loading time and forecast generation time, will be compared with practical benchmarks determined by the researchers and stakeholders.</w:t>
            </w:r>
          </w:p>
          <w:p w14:paraId="02A3BE1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Qualitative data from interviews, focus group discussions, open-ended survey responses, user observations, and implementation logs will be analyzed using thematic analysis. The researchers will begin by familiarizing themselves with the data, generating initial codes, grouping related codes, identifying recurring themes, reviewing and refining themes, and interpreting the themes in relation to the study objectives. Braun and Clarke (2021) describe reflexive thematic analysis as a flexible qualitative approach that supports the interpretation of patterns across qualitative data, while Braun and Clarke (2022) provide practical guidance for conducting thematic analysis.</w:t>
            </w:r>
          </w:p>
          <w:p w14:paraId="02A3BE1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1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Possible themes may include perceived usefulness, trust in AI-generated predictions, workflow compatibility, dashboard clarity, data availability issues, training needs, technical constraints, institutional readiness, and recommendations for scaling. The findings will be used to refine the platform, improve training materials, clarify alert interpretation, strengthen data workflows, and prepare recommendations for future adoption or integration into public health surveillance programs.</w:t>
            </w:r>
          </w:p>
          <w:p w14:paraId="02A3BE1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E1D" w14:textId="3D8A8F4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Ethic</w:t>
            </w:r>
            <w:r w:rsidR="000B0704">
              <w:rPr>
                <w:rFonts w:ascii="Arial" w:eastAsia="Arial" w:hAnsi="Arial" w:cs="Arial"/>
                <w:color w:val="000000"/>
                <w:sz w:val="20"/>
                <w:szCs w:val="20"/>
              </w:rPr>
              <w:t>al</w:t>
            </w:r>
            <w:r>
              <w:rPr>
                <w:rFonts w:ascii="Arial" w:eastAsia="Arial" w:hAnsi="Arial" w:cs="Arial"/>
                <w:color w:val="000000"/>
                <w:sz w:val="20"/>
                <w:szCs w:val="20"/>
              </w:rPr>
              <w:t xml:space="preserve"> Consideration</w:t>
            </w:r>
            <w:r w:rsidR="000B0704">
              <w:rPr>
                <w:rFonts w:ascii="Arial" w:eastAsia="Arial" w:hAnsi="Arial" w:cs="Arial"/>
                <w:color w:val="000000"/>
                <w:sz w:val="20"/>
                <w:szCs w:val="20"/>
              </w:rPr>
              <w:t>s</w:t>
            </w:r>
          </w:p>
          <w:p w14:paraId="02A3BE1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E1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This project will observe ethical principles in all phases of the development, implementation, and validation of </w:t>
            </w:r>
            <w:proofErr w:type="spellStart"/>
            <w:r>
              <w:rPr>
                <w:rFonts w:ascii="Arial" w:eastAsia="Arial" w:hAnsi="Arial" w:cs="Arial"/>
                <w:sz w:val="20"/>
                <w:szCs w:val="20"/>
              </w:rPr>
              <w:t>BantayHealthAI</w:t>
            </w:r>
            <w:proofErr w:type="spellEnd"/>
            <w:r>
              <w:rPr>
                <w:rFonts w:ascii="Arial" w:eastAsia="Arial" w:hAnsi="Arial" w:cs="Arial"/>
                <w:sz w:val="20"/>
                <w:szCs w:val="20"/>
              </w:rPr>
              <w:t>. Since the project involves disease surveillance data, health-related information, predictive analytics, software development, and participation of public health personnel, the researchers will ensure privacy, confidentiality, transparency, accountability, and responsible use of data.</w:t>
            </w:r>
          </w:p>
          <w:p w14:paraId="02A3BE2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Before data collection, system development, pilot implementation, and user evaluation, the researchers will secure the necessary ethics clearance, institutional approvals, and data-sharing agreements from concerned agencies and participating institutions. The project will comply with institutional policies, public health data governance requirements, and the Data Privacy Act of 2012. The Data Privacy Act emphasizes the principles of transparency, legitimate purpose, and proportionality in the processing of personal information; these principles will guide the handling of all project-related data.</w:t>
            </w:r>
          </w:p>
          <w:p w14:paraId="02A3BE2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model development, only authorized datasets obtained through approved channels will be used. Disease surveillance, clinical, environmental, and other health-related data will be handled confidentially. Whenever possible, the researchers will use aggregated data by municipality, barangay, epidemiological week, or reporting period. If individual-level data are required, personal identifiers will be removed or de-identified before processing. Data cleaning, preprocessing, feature extraction, model training, model evaluation, and model updating will be conducted in a secure environment accessible only to authorized project personnel.</w:t>
            </w:r>
          </w:p>
          <w:p w14:paraId="02A3BE2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For platform development, privacy and security will be considered from the system design stage.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use role-based access control, secure login procedures, user authentication, access restrictions, audit logs, database protection, and backup procedures. These measures will help protect uploaded data, forecast results, alert records, user accounts, system logs, and model version records. Data minimization will also be observed by collecting and processing only the data needed for disease surveillance, forecasting, evaluation, and system improvement.</w:t>
            </w:r>
          </w:p>
          <w:p w14:paraId="02A3BE2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pilot implementation and validation, participants involved in interviews, focus group discussions, surveys, usability testing, acceptability assessment, and user satisfaction evaluation will be informed about the purpose of the project, the nature of their participation, the expected activities, and the confidentiality of their responses. Informed consent will be obtained before participation. Participation will be voluntary, and participants may decline or withdraw from evaluation activities without penalty. Responses will be reported in summarized or anonymized form, and no participant will be personally identified in reports, presentations, or publications.</w:t>
            </w:r>
          </w:p>
          <w:p w14:paraId="02A3BE2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lastRenderedPageBreak/>
              <w:t>The AI-generated forecasts, risk classifications, and early warning alerts will be treated as decision-support outputs, not as final public health decisions. The platform will assist users in identifying possible disease trends, outbreak signals, and high-risk areas, but public health actions will remain under the judgment of authorized health officials and healthcare professionals. Model limitations, possible false alarms, missed signals, forecasting uncertainty, and data quality issues will be documented and communicated responsibly to prevent overreliance on automated outputs.</w:t>
            </w:r>
          </w:p>
          <w:p w14:paraId="02A3BE2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If controlled continuous learning or model updating is implemented, updated models will not automatically replace deployed models without review. New data will first undergo validation and quality checking, and any retrained model will be evaluated and compared with the existing model before deployment. Model versions, training data coverage, evaluation results, deployment dates, and approval decisions will be documented to support transparency, traceability, and accountability.</w:t>
            </w:r>
          </w:p>
          <w:p w14:paraId="02A3BE2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Access to datasets, source code, credentials, model files, and system records will be limited to authorized project personnel. Research data will be retained only as long as necessary for project completion, validation, reporting, and approved institutional requirements, unless otherwise allowed by data-sharing agreements. After the retention period, data will be securely archived, anonymized, or disposed of according to institutional and regulatory requirements.</w:t>
            </w:r>
          </w:p>
          <w:p w14:paraId="02A3BE2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2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If social media or other digital signals are used, the researchers will limit processing to publicly available, non-identifying, and aggregated information, subject to ethics approval and applicable platform terms. These data will be treated as supplementary indicators only and will not replace official surveillance records or authorized public health reports.</w:t>
            </w:r>
          </w:p>
          <w:p w14:paraId="02A3BE3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3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No biological safety risk is expected because the project will not involve the collection, handling, storage, transport, or laboratory processing of biological specimens. The ethical risks are mainly related to data privacy, confidentiality, responsible AI use, participant consent, system security, and proper interpretation of decision-support outputs.</w:t>
            </w:r>
          </w:p>
          <w:p w14:paraId="02A3BE3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3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Overall, the ethical conduct of the project will be guided by respect for persons, protection of privacy, responsible data use, technical accountability, and public health benefit.</w:t>
            </w:r>
          </w:p>
          <w:p w14:paraId="02A3BE3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p w14:paraId="02A3BE35"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p>
        </w:tc>
      </w:tr>
    </w:tbl>
    <w:p w14:paraId="02A3BE37"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E38"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POTENTIAL OUTCOMES &amp; IMPACTS</w:t>
      </w:r>
    </w:p>
    <w:tbl>
      <w:tblPr>
        <w:tblStyle w:val="a8"/>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E3C" w14:textId="77777777">
        <w:tc>
          <w:tcPr>
            <w:tcW w:w="8746" w:type="dxa"/>
          </w:tcPr>
          <w:p w14:paraId="02A3BE3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project is expected to contribute to the strengthening of disease surveillance, outbreak preparedness, and data-driven public health decision-making in Region I. By combining disease surveillance data, environmental indicators, predictive analytics, dashboard visualization, early warning alerts, and pilot implementation, the project may provide practical evidence on how AI-assisted systems can support existing public health workflows.</w:t>
            </w:r>
          </w:p>
          <w:p w14:paraId="02A3BE3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3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is not intended to replace the judgment of public health officials, disease surveillance personnel, or healthcare providers. Instead, it will serve as a decision-support tool that can help users organize surveillance data, identify emerging trends, interpret forecast results, and prioritize areas that may require closer monitoring. The expected impacts are therefore both technical and institutional: the project will produce digital tools and predictive models, while also generating implementation lessons and policy recommendations for the responsible use of AI in public health surveillance.</w:t>
            </w:r>
          </w:p>
        </w:tc>
      </w:tr>
    </w:tbl>
    <w:p w14:paraId="02A3BE3D"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E3E" w14:textId="77777777" w:rsidR="001F340B" w:rsidRDefault="00A73F00">
      <w:p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color w:val="000000"/>
          <w:sz w:val="20"/>
          <w:szCs w:val="20"/>
        </w:rPr>
        <w:t>POTENTIAL OUTCOMES</w:t>
      </w:r>
    </w:p>
    <w:tbl>
      <w:tblPr>
        <w:tblStyle w:val="a9"/>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E48" w14:textId="77777777">
        <w:tc>
          <w:tcPr>
            <w:tcW w:w="8746" w:type="dxa"/>
          </w:tcPr>
          <w:p w14:paraId="02A3BE3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project is expected to produce a functional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prototype for integrated disease surveillance and predictive analytics. The platform will include modules for data upload, data validation, dashboard visualization, geospatial monitoring, disease forecasting, outbreak risk classification, early warning alerts, reporting, user management, and system administration. The prototype may be deployed and pilot-tested in selected public health and healthcare settings in Region I.</w:t>
            </w:r>
          </w:p>
          <w:p w14:paraId="02A3BE4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1" w14:textId="2FE69F14"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Another expected outcome is the development of disease-specific forecasting and outbreak risk classification models for dengue fever, </w:t>
            </w:r>
            <w:r w:rsidR="000D5C78">
              <w:rPr>
                <w:rFonts w:ascii="Arial" w:eastAsia="Arial" w:hAnsi="Arial" w:cs="Arial"/>
                <w:sz w:val="20"/>
                <w:szCs w:val="20"/>
              </w:rPr>
              <w:t>measles</w:t>
            </w:r>
            <w:r>
              <w:rPr>
                <w:rFonts w:ascii="Arial" w:eastAsia="Arial" w:hAnsi="Arial" w:cs="Arial"/>
                <w:sz w:val="20"/>
                <w:szCs w:val="20"/>
              </w:rPr>
              <w:t xml:space="preserve">, and influenza-like illnesses. These models will be trained and evaluated using available epidemiological, environmental, geographic, and other </w:t>
            </w:r>
            <w:r>
              <w:rPr>
                <w:rFonts w:ascii="Arial" w:eastAsia="Arial" w:hAnsi="Arial" w:cs="Arial"/>
                <w:sz w:val="20"/>
                <w:szCs w:val="20"/>
              </w:rPr>
              <w:lastRenderedPageBreak/>
              <w:t>approved health-related datasets. The outputs may include predicted case counts, risk classifications, alert indicators, model performance reports, and model documentation for platform integration.</w:t>
            </w:r>
          </w:p>
          <w:p w14:paraId="02A3BE42"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3"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may also produce cleaned, standardized, and integrated datasets that can support exploratory, temporal, and spatial disease analysis. These datasets may help describe disease trends, seasonal patterns, geographic risk areas, and possible outbreak-related indicators in Region I. When available and approved, supplementary data sources such as clinical records, digital health-related signals, or other relevant indicators may also be explored to improve situational awareness.</w:t>
            </w:r>
          </w:p>
          <w:p w14:paraId="02A3BE44"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pilot implementation is expected to generate evidence on the usability, functionality, responsiveness, security, technical acceptability, and operational feasibility of the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platform. User feedback from public health personnel, disease surveillance staff, healthcare providers, and other stakeholders will help identify system strengths, limitations, and areas for improvement.</w:t>
            </w:r>
          </w:p>
          <w:p w14:paraId="02A3BE4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is also expected to produce technical documentation, user guides, implementation findings, research publications, and policy recommendations. These outputs may guide the future adoption, scaling, and integration of AI-assisted surveillance tools into regional public health workflows. Policy recommendations may cover data-sharing procedures, privacy safeguards, model validation, alert interpretation, user training, system maintenance, and future expansion to other diseases or local government units.</w:t>
            </w:r>
          </w:p>
        </w:tc>
      </w:tr>
    </w:tbl>
    <w:p w14:paraId="02A3BE49"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E4A" w14:textId="77777777" w:rsidR="001F340B" w:rsidRDefault="00A73F00">
      <w:p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color w:val="000000"/>
          <w:sz w:val="20"/>
          <w:szCs w:val="20"/>
        </w:rPr>
        <w:t>SOCIAL IMPACT</w:t>
      </w:r>
    </w:p>
    <w:tbl>
      <w:tblPr>
        <w:tblStyle w:val="aa"/>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E52" w14:textId="77777777">
        <w:tc>
          <w:tcPr>
            <w:tcW w:w="8746" w:type="dxa"/>
          </w:tcPr>
          <w:p w14:paraId="02A3BE4B" w14:textId="23CEAB15"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project may support public health institutions in improving the timeliness and clarity of disease surveillance. By providing dashboards, maps, forecasts, alerts, and reports,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can help public health personnel monitor disease activity more efficiently and recognize possible outbreak signals earlier. This may be especially useful for diseases such as dengue fever, </w:t>
            </w:r>
            <w:r w:rsidR="000D5C78">
              <w:rPr>
                <w:rFonts w:ascii="Arial" w:eastAsia="Arial" w:hAnsi="Arial" w:cs="Arial"/>
                <w:sz w:val="20"/>
                <w:szCs w:val="20"/>
              </w:rPr>
              <w:t>measles</w:t>
            </w:r>
            <w:r>
              <w:rPr>
                <w:rFonts w:ascii="Arial" w:eastAsia="Arial" w:hAnsi="Arial" w:cs="Arial"/>
                <w:sz w:val="20"/>
                <w:szCs w:val="20"/>
              </w:rPr>
              <w:t>, and influenza-like illnesses, which often require timely monitoring and coordinated response.</w:t>
            </w:r>
          </w:p>
          <w:p w14:paraId="02A3BE4C"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D"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For communities, the project may indirectly contribute to better outbreak preparedness and public health protection. Earlier identification of disease trends and high-risk areas can help authorities plan health education activities, intensify monitoring, prepare local response measures, and prioritize areas that need closer attention. The system may also support more evidence-based communication between regional, provincial, municipal, and facility-level health offices.</w:t>
            </w:r>
          </w:p>
          <w:p w14:paraId="02A3BE4E"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4F"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may also strengthen the capacity of public health workers to use data and digital tools in disease surveillance. Through training, pilot use, and feedback activities, users can gain experience in interpreting dashboards, forecasts, risk maps, and early warning outputs. This may help improve digital health literacy and encourage more data-informed decision-making within participating institutions.</w:t>
            </w:r>
          </w:p>
          <w:p w14:paraId="02A3BE50"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51"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In addition, the project promotes responsible and ethical use of AI in public health. By treating model outputs as decision-support information rather than final decisions, the project reinforces the role of human expertise, local knowledge, and institutional protocols in public health action. This balanced approach may help build trust in AI-assisted systems while reducing the risk of overreliance on automated predictions.</w:t>
            </w:r>
          </w:p>
        </w:tc>
      </w:tr>
    </w:tbl>
    <w:p w14:paraId="02A3BE53"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E54" w14:textId="77777777" w:rsidR="001F340B" w:rsidRDefault="00A73F00">
      <w:p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color w:val="000000"/>
          <w:sz w:val="20"/>
          <w:szCs w:val="20"/>
        </w:rPr>
        <w:t>ECONOMIC IMPACT</w:t>
      </w:r>
    </w:p>
    <w:tbl>
      <w:tblPr>
        <w:tblStyle w:val="ab"/>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E5C" w14:textId="77777777">
        <w:tc>
          <w:tcPr>
            <w:tcW w:w="8746" w:type="dxa"/>
          </w:tcPr>
          <w:p w14:paraId="02A3BE55"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may contribute to more efficient use of public health resources by helping authorities identify areas that may require closer monitoring, preparedness activities, or timely intervention. While the project will not directly measure cost savings, improved disease monitoring and early warning support may help public health offices plan resources more strategically, including personnel deployment, surveillance activities, health education efforts, and logistics preparation.</w:t>
            </w:r>
          </w:p>
          <w:p w14:paraId="02A3BE56"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57"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may also reduce the time and effort required for manual consolidation, visualization, and preliminary analysis of disease surveillance data. By automating selected tasks such as data validation, dashboard generation, trend visualization, forecast display, alert </w:t>
            </w:r>
            <w:r>
              <w:rPr>
                <w:rFonts w:ascii="Arial" w:eastAsia="Arial" w:hAnsi="Arial" w:cs="Arial"/>
                <w:sz w:val="20"/>
                <w:szCs w:val="20"/>
              </w:rPr>
              <w:lastRenderedPageBreak/>
              <w:t>generation, and report preparation, the platform can help health personnel focus more on interpretation, coordination, and response planning.</w:t>
            </w:r>
          </w:p>
          <w:p w14:paraId="02A3BE58"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59"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development of the system may also strengthen local research and technical capacity in AI, software development, health informatics, and predictive analytics. This can benefit the implementing institution and partner agencies by building expertise that may be applied to future digital health projects, local government systems, and public health innovation initiatives.</w:t>
            </w:r>
          </w:p>
          <w:p w14:paraId="02A3BE5A"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E5B"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In the longer term, the project may support more sustainable and scalable approaches to disease surveillance. If the pilot implementation shows positive results, the platform and its implementation guidelines may inform future expansion to other diseases, local government units, or regions. This may help reduce duplication of effort in developing separate disease monitoring tools and may support more integrated public health data systems.</w:t>
            </w:r>
          </w:p>
        </w:tc>
      </w:tr>
    </w:tbl>
    <w:p w14:paraId="02A3BE5D"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E5E"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EXPECTED OUTPUTS (6Ps)</w:t>
      </w:r>
    </w:p>
    <w:tbl>
      <w:tblPr>
        <w:tblStyle w:val="ac"/>
        <w:tblW w:w="856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
        <w:gridCol w:w="4342"/>
        <w:gridCol w:w="3754"/>
      </w:tblGrid>
      <w:tr w:rsidR="001F340B" w14:paraId="02A3BE60" w14:textId="77777777">
        <w:tc>
          <w:tcPr>
            <w:tcW w:w="8566" w:type="dxa"/>
            <w:gridSpan w:val="3"/>
          </w:tcPr>
          <w:p w14:paraId="02A3BE5F"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Publications</w:t>
            </w:r>
          </w:p>
        </w:tc>
      </w:tr>
      <w:tr w:rsidR="001F340B" w14:paraId="02A3BE64" w14:textId="77777777">
        <w:tc>
          <w:tcPr>
            <w:tcW w:w="470" w:type="dxa"/>
          </w:tcPr>
          <w:p w14:paraId="02A3BE61"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62"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ISI- and/or SCOPUS- indexed publications</w:t>
            </w:r>
          </w:p>
        </w:tc>
        <w:tc>
          <w:tcPr>
            <w:tcW w:w="3754" w:type="dxa"/>
          </w:tcPr>
          <w:p w14:paraId="02A3BE63"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3</w:t>
            </w:r>
          </w:p>
        </w:tc>
      </w:tr>
      <w:tr w:rsidR="001F340B" w14:paraId="02A3BE68" w14:textId="77777777">
        <w:tc>
          <w:tcPr>
            <w:tcW w:w="470" w:type="dxa"/>
          </w:tcPr>
          <w:p w14:paraId="02A3BE65"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66"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High impact factor journal publication</w:t>
            </w:r>
          </w:p>
        </w:tc>
        <w:tc>
          <w:tcPr>
            <w:tcW w:w="3754" w:type="dxa"/>
          </w:tcPr>
          <w:p w14:paraId="02A3BE6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6C" w14:textId="77777777">
        <w:tc>
          <w:tcPr>
            <w:tcW w:w="470" w:type="dxa"/>
          </w:tcPr>
          <w:p w14:paraId="02A3BE6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6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Industry Article Citation Impact (i.e., the influence and impact)</w:t>
            </w:r>
          </w:p>
        </w:tc>
        <w:tc>
          <w:tcPr>
            <w:tcW w:w="3754" w:type="dxa"/>
          </w:tcPr>
          <w:p w14:paraId="02A3BE6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6E" w14:textId="77777777">
        <w:tc>
          <w:tcPr>
            <w:tcW w:w="8566" w:type="dxa"/>
            <w:gridSpan w:val="3"/>
          </w:tcPr>
          <w:p w14:paraId="02A3BE6D"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Patents</w:t>
            </w:r>
          </w:p>
        </w:tc>
      </w:tr>
      <w:tr w:rsidR="001F340B" w14:paraId="02A3BE72" w14:textId="77777777">
        <w:tc>
          <w:tcPr>
            <w:tcW w:w="470" w:type="dxa"/>
          </w:tcPr>
          <w:p w14:paraId="02A3BE6F"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70"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Total Patent Volume (registered under WIPO/ IPOPHL)</w:t>
            </w:r>
          </w:p>
        </w:tc>
        <w:tc>
          <w:tcPr>
            <w:tcW w:w="3754" w:type="dxa"/>
          </w:tcPr>
          <w:p w14:paraId="02A3BE71"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76" w14:textId="77777777">
        <w:tc>
          <w:tcPr>
            <w:tcW w:w="470" w:type="dxa"/>
          </w:tcPr>
          <w:p w14:paraId="02A3BE73"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74"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Total Patent Success (i.e., the ratio of patent application to grants over the assessed timeframe)</w:t>
            </w:r>
          </w:p>
        </w:tc>
        <w:tc>
          <w:tcPr>
            <w:tcW w:w="3754" w:type="dxa"/>
          </w:tcPr>
          <w:p w14:paraId="02A3BE75"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7A" w14:textId="77777777">
        <w:tc>
          <w:tcPr>
            <w:tcW w:w="470" w:type="dxa"/>
          </w:tcPr>
          <w:p w14:paraId="02A3BE77"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78"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Global Patents (…US, European and Japanese patent offices)</w:t>
            </w:r>
          </w:p>
        </w:tc>
        <w:tc>
          <w:tcPr>
            <w:tcW w:w="3754" w:type="dxa"/>
          </w:tcPr>
          <w:p w14:paraId="02A3BE79"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7E" w14:textId="77777777">
        <w:tc>
          <w:tcPr>
            <w:tcW w:w="470" w:type="dxa"/>
          </w:tcPr>
          <w:p w14:paraId="02A3BE7B"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7C"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utility models (filed and granted by WIPO/IPOPHL)</w:t>
            </w:r>
          </w:p>
        </w:tc>
        <w:tc>
          <w:tcPr>
            <w:tcW w:w="3754" w:type="dxa"/>
          </w:tcPr>
          <w:p w14:paraId="02A3BE7D"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1</w:t>
            </w:r>
          </w:p>
        </w:tc>
      </w:tr>
      <w:tr w:rsidR="001F340B" w14:paraId="02A3BE82" w14:textId="77777777">
        <w:tc>
          <w:tcPr>
            <w:tcW w:w="470" w:type="dxa"/>
          </w:tcPr>
          <w:p w14:paraId="02A3BE7F"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80"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Patent Citations (i.e., total number of times a patent has been cited by other patents)</w:t>
            </w:r>
          </w:p>
        </w:tc>
        <w:tc>
          <w:tcPr>
            <w:tcW w:w="3754" w:type="dxa"/>
          </w:tcPr>
          <w:p w14:paraId="02A3BE81"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86" w14:textId="77777777">
        <w:tc>
          <w:tcPr>
            <w:tcW w:w="470" w:type="dxa"/>
          </w:tcPr>
          <w:p w14:paraId="02A3BE83"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84"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Percent of Patents Cited (…cited by other patents one or more times)</w:t>
            </w:r>
          </w:p>
        </w:tc>
        <w:tc>
          <w:tcPr>
            <w:tcW w:w="3754" w:type="dxa"/>
          </w:tcPr>
          <w:p w14:paraId="02A3BE85"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8A" w14:textId="77777777">
        <w:tc>
          <w:tcPr>
            <w:tcW w:w="470" w:type="dxa"/>
          </w:tcPr>
          <w:p w14:paraId="02A3BE87"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88"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Utility Models filed</w:t>
            </w:r>
          </w:p>
        </w:tc>
        <w:tc>
          <w:tcPr>
            <w:tcW w:w="3754" w:type="dxa"/>
          </w:tcPr>
          <w:p w14:paraId="02A3BE89"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8E" w14:textId="77777777">
        <w:tc>
          <w:tcPr>
            <w:tcW w:w="470" w:type="dxa"/>
          </w:tcPr>
          <w:p w14:paraId="02A3BE8B"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8C" w14:textId="77777777" w:rsidR="001F340B" w:rsidRDefault="00A73F00">
            <w:pPr>
              <w:pBdr>
                <w:top w:val="nil"/>
                <w:left w:val="nil"/>
                <w:bottom w:val="nil"/>
                <w:right w:val="nil"/>
                <w:between w:val="nil"/>
              </w:pBdr>
              <w:ind w:hanging="2"/>
              <w:rPr>
                <w:rFonts w:ascii="Arial" w:eastAsia="Arial" w:hAnsi="Arial" w:cs="Arial"/>
                <w:color w:val="000000"/>
                <w:sz w:val="20"/>
                <w:szCs w:val="20"/>
              </w:rPr>
            </w:pPr>
            <w:r>
              <w:rPr>
                <w:rFonts w:ascii="Arial" w:eastAsia="Arial" w:hAnsi="Arial" w:cs="Arial"/>
                <w:color w:val="000000"/>
                <w:sz w:val="20"/>
                <w:szCs w:val="20"/>
              </w:rPr>
              <w:t>Number of Utility Models granted</w:t>
            </w:r>
          </w:p>
        </w:tc>
        <w:tc>
          <w:tcPr>
            <w:tcW w:w="3754" w:type="dxa"/>
          </w:tcPr>
          <w:p w14:paraId="02A3BE8D"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92" w14:textId="77777777">
        <w:tc>
          <w:tcPr>
            <w:tcW w:w="470" w:type="dxa"/>
          </w:tcPr>
          <w:p w14:paraId="02A3BE8F"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90" w14:textId="77777777" w:rsidR="001F340B" w:rsidRDefault="00A73F00">
            <w:pPr>
              <w:pBdr>
                <w:top w:val="nil"/>
                <w:left w:val="nil"/>
                <w:bottom w:val="nil"/>
                <w:right w:val="nil"/>
                <w:between w:val="nil"/>
              </w:pBdr>
              <w:ind w:hanging="2"/>
              <w:rPr>
                <w:rFonts w:ascii="Arial" w:eastAsia="Arial" w:hAnsi="Arial" w:cs="Arial"/>
                <w:color w:val="000000"/>
                <w:sz w:val="20"/>
                <w:szCs w:val="20"/>
              </w:rPr>
            </w:pPr>
            <w:r>
              <w:rPr>
                <w:rFonts w:ascii="Arial" w:eastAsia="Arial" w:hAnsi="Arial" w:cs="Arial"/>
                <w:color w:val="000000"/>
                <w:sz w:val="20"/>
                <w:szCs w:val="20"/>
              </w:rPr>
              <w:t>Number IP Patents filed</w:t>
            </w:r>
          </w:p>
        </w:tc>
        <w:tc>
          <w:tcPr>
            <w:tcW w:w="3754" w:type="dxa"/>
          </w:tcPr>
          <w:p w14:paraId="02A3BE91"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96" w14:textId="77777777">
        <w:tc>
          <w:tcPr>
            <w:tcW w:w="470" w:type="dxa"/>
          </w:tcPr>
          <w:p w14:paraId="02A3BE93"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94" w14:textId="77777777" w:rsidR="001F340B" w:rsidRDefault="00A73F00">
            <w:pPr>
              <w:pBdr>
                <w:top w:val="nil"/>
                <w:left w:val="nil"/>
                <w:bottom w:val="nil"/>
                <w:right w:val="nil"/>
                <w:between w:val="nil"/>
              </w:pBdr>
              <w:ind w:hanging="2"/>
              <w:rPr>
                <w:rFonts w:ascii="Arial" w:eastAsia="Arial" w:hAnsi="Arial" w:cs="Arial"/>
                <w:color w:val="000000"/>
                <w:sz w:val="20"/>
                <w:szCs w:val="20"/>
              </w:rPr>
            </w:pPr>
            <w:r>
              <w:rPr>
                <w:rFonts w:ascii="Arial" w:eastAsia="Arial" w:hAnsi="Arial" w:cs="Arial"/>
                <w:color w:val="000000"/>
                <w:sz w:val="20"/>
                <w:szCs w:val="20"/>
              </w:rPr>
              <w:t>Number of Patents granted</w:t>
            </w:r>
          </w:p>
        </w:tc>
        <w:tc>
          <w:tcPr>
            <w:tcW w:w="3754" w:type="dxa"/>
          </w:tcPr>
          <w:p w14:paraId="02A3BE95"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98" w14:textId="77777777">
        <w:tc>
          <w:tcPr>
            <w:tcW w:w="8566" w:type="dxa"/>
            <w:gridSpan w:val="3"/>
          </w:tcPr>
          <w:p w14:paraId="02A3BE97"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Products/Processes</w:t>
            </w:r>
          </w:p>
        </w:tc>
      </w:tr>
      <w:tr w:rsidR="001F340B" w14:paraId="02A3BE9C" w14:textId="77777777">
        <w:tc>
          <w:tcPr>
            <w:tcW w:w="470" w:type="dxa"/>
          </w:tcPr>
          <w:p w14:paraId="02A3BE99"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9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R&amp;D Ideation informed by industry, consumer, community, or market needs aligned with industry</w:t>
            </w:r>
          </w:p>
        </w:tc>
        <w:tc>
          <w:tcPr>
            <w:tcW w:w="3754" w:type="dxa"/>
          </w:tcPr>
          <w:p w14:paraId="02A3BE9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A0" w14:textId="77777777">
        <w:tc>
          <w:tcPr>
            <w:tcW w:w="470" w:type="dxa"/>
          </w:tcPr>
          <w:p w14:paraId="02A3BE9D"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c>
          <w:tcPr>
            <w:tcW w:w="4342" w:type="dxa"/>
          </w:tcPr>
          <w:p w14:paraId="02A3BE9E"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Technology Readiness (select the category that best fits the proposed R&amp;D)</w:t>
            </w:r>
          </w:p>
        </w:tc>
        <w:tc>
          <w:tcPr>
            <w:tcW w:w="3754" w:type="dxa"/>
          </w:tcPr>
          <w:p w14:paraId="02A3BE9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A4" w14:textId="77777777">
        <w:tc>
          <w:tcPr>
            <w:tcW w:w="470" w:type="dxa"/>
          </w:tcPr>
          <w:p w14:paraId="02A3BEA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A2"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1 – Basic principles and research</w:t>
            </w:r>
          </w:p>
        </w:tc>
        <w:tc>
          <w:tcPr>
            <w:tcW w:w="3754" w:type="dxa"/>
          </w:tcPr>
          <w:p w14:paraId="02A3BEA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A8" w14:textId="77777777">
        <w:tc>
          <w:tcPr>
            <w:tcW w:w="470" w:type="dxa"/>
          </w:tcPr>
          <w:p w14:paraId="02A3BEA5"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A6"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2 – Application formulated</w:t>
            </w:r>
          </w:p>
        </w:tc>
        <w:tc>
          <w:tcPr>
            <w:tcW w:w="3754" w:type="dxa"/>
          </w:tcPr>
          <w:p w14:paraId="02A3BEA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AC" w14:textId="77777777">
        <w:tc>
          <w:tcPr>
            <w:tcW w:w="470" w:type="dxa"/>
          </w:tcPr>
          <w:p w14:paraId="02A3BEA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AA"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3 – Proof of concept</w:t>
            </w:r>
          </w:p>
        </w:tc>
        <w:tc>
          <w:tcPr>
            <w:tcW w:w="3754" w:type="dxa"/>
          </w:tcPr>
          <w:p w14:paraId="02A3BEA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B0" w14:textId="77777777">
        <w:tc>
          <w:tcPr>
            <w:tcW w:w="470" w:type="dxa"/>
          </w:tcPr>
          <w:p w14:paraId="02A3BEA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AE"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4 – Components validated in laboratory environment</w:t>
            </w:r>
          </w:p>
        </w:tc>
        <w:tc>
          <w:tcPr>
            <w:tcW w:w="3754" w:type="dxa"/>
          </w:tcPr>
          <w:p w14:paraId="02A3BEA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B4" w14:textId="77777777">
        <w:tc>
          <w:tcPr>
            <w:tcW w:w="470" w:type="dxa"/>
          </w:tcPr>
          <w:p w14:paraId="02A3BEB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B2"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5 – Integrated components demonstrated in a laboratory environment</w:t>
            </w:r>
          </w:p>
        </w:tc>
        <w:tc>
          <w:tcPr>
            <w:tcW w:w="3754" w:type="dxa"/>
          </w:tcPr>
          <w:p w14:paraId="02A3BEB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B8" w14:textId="77777777">
        <w:tc>
          <w:tcPr>
            <w:tcW w:w="470" w:type="dxa"/>
          </w:tcPr>
          <w:p w14:paraId="02A3BEB5"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B6"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6 – Prototype system demonstrated in a relevant environment</w:t>
            </w:r>
          </w:p>
        </w:tc>
        <w:tc>
          <w:tcPr>
            <w:tcW w:w="3754" w:type="dxa"/>
          </w:tcPr>
          <w:p w14:paraId="02A3BEB7"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1</w:t>
            </w:r>
          </w:p>
        </w:tc>
      </w:tr>
      <w:tr w:rsidR="001F340B" w14:paraId="02A3BEBC" w14:textId="77777777">
        <w:tc>
          <w:tcPr>
            <w:tcW w:w="470" w:type="dxa"/>
          </w:tcPr>
          <w:p w14:paraId="02A3BEB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lastRenderedPageBreak/>
              <w:t>☐</w:t>
            </w:r>
          </w:p>
        </w:tc>
        <w:tc>
          <w:tcPr>
            <w:tcW w:w="4342" w:type="dxa"/>
          </w:tcPr>
          <w:p w14:paraId="02A3BEBA"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7 – Prototype demonstrated in operational environment</w:t>
            </w:r>
          </w:p>
        </w:tc>
        <w:tc>
          <w:tcPr>
            <w:tcW w:w="3754" w:type="dxa"/>
          </w:tcPr>
          <w:p w14:paraId="02A3BEB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C0" w14:textId="77777777">
        <w:tc>
          <w:tcPr>
            <w:tcW w:w="470" w:type="dxa"/>
          </w:tcPr>
          <w:p w14:paraId="02A3BEB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BE"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8 – Technology proven in operational environment</w:t>
            </w:r>
          </w:p>
        </w:tc>
        <w:tc>
          <w:tcPr>
            <w:tcW w:w="3754" w:type="dxa"/>
          </w:tcPr>
          <w:p w14:paraId="02A3BEB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C4" w14:textId="77777777">
        <w:tc>
          <w:tcPr>
            <w:tcW w:w="470" w:type="dxa"/>
          </w:tcPr>
          <w:p w14:paraId="02A3BEC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C2" w14:textId="77777777" w:rsidR="001F340B" w:rsidRDefault="00A73F00">
            <w:pPr>
              <w:pBdr>
                <w:top w:val="nil"/>
                <w:left w:val="nil"/>
                <w:bottom w:val="nil"/>
                <w:right w:val="nil"/>
                <w:between w:val="nil"/>
              </w:pBdr>
              <w:spacing w:after="0" w:line="240" w:lineRule="auto"/>
              <w:ind w:left="1037" w:hanging="763"/>
              <w:rPr>
                <w:rFonts w:ascii="Arial" w:eastAsia="Arial" w:hAnsi="Arial" w:cs="Arial"/>
                <w:color w:val="000000"/>
                <w:sz w:val="20"/>
                <w:szCs w:val="20"/>
              </w:rPr>
            </w:pPr>
            <w:r>
              <w:rPr>
                <w:rFonts w:ascii="Arial" w:eastAsia="Arial" w:hAnsi="Arial" w:cs="Arial"/>
                <w:color w:val="000000"/>
                <w:sz w:val="20"/>
                <w:szCs w:val="20"/>
              </w:rPr>
              <w:t>TRL 9 – Technology refined and adopted, and commercialized</w:t>
            </w:r>
          </w:p>
        </w:tc>
        <w:tc>
          <w:tcPr>
            <w:tcW w:w="3754" w:type="dxa"/>
          </w:tcPr>
          <w:p w14:paraId="02A3BEC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C8" w14:textId="77777777">
        <w:tc>
          <w:tcPr>
            <w:tcW w:w="470" w:type="dxa"/>
          </w:tcPr>
          <w:p w14:paraId="02A3BEC5" w14:textId="77777777" w:rsidR="001F340B" w:rsidRDefault="001F340B">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p>
        </w:tc>
        <w:tc>
          <w:tcPr>
            <w:tcW w:w="4342" w:type="dxa"/>
          </w:tcPr>
          <w:p w14:paraId="02A3BEC6" w14:textId="77777777" w:rsidR="001F340B" w:rsidRDefault="001F340B">
            <w:pPr>
              <w:pBdr>
                <w:top w:val="nil"/>
                <w:left w:val="nil"/>
                <w:bottom w:val="nil"/>
                <w:right w:val="nil"/>
                <w:between w:val="nil"/>
              </w:pBdr>
              <w:spacing w:after="0" w:line="240" w:lineRule="auto"/>
              <w:ind w:firstLine="0"/>
              <w:rPr>
                <w:rFonts w:ascii="Arial" w:eastAsia="Arial" w:hAnsi="Arial" w:cs="Arial"/>
                <w:color w:val="000000"/>
                <w:sz w:val="20"/>
                <w:szCs w:val="20"/>
              </w:rPr>
            </w:pPr>
          </w:p>
        </w:tc>
        <w:tc>
          <w:tcPr>
            <w:tcW w:w="3754" w:type="dxa"/>
          </w:tcPr>
          <w:p w14:paraId="02A3BEC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CC" w14:textId="77777777">
        <w:tc>
          <w:tcPr>
            <w:tcW w:w="470" w:type="dxa"/>
          </w:tcPr>
          <w:p w14:paraId="02A3BEC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C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Investment and Market Readiness Level</w:t>
            </w:r>
          </w:p>
        </w:tc>
        <w:tc>
          <w:tcPr>
            <w:tcW w:w="3754" w:type="dxa"/>
          </w:tcPr>
          <w:p w14:paraId="02A3BEC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D0" w14:textId="77777777">
        <w:tc>
          <w:tcPr>
            <w:tcW w:w="470" w:type="dxa"/>
          </w:tcPr>
          <w:p w14:paraId="02A3BEC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CE"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R&amp;D leading to any of the following Tech Transfer to Commercialization Modalities</w:t>
            </w:r>
          </w:p>
        </w:tc>
        <w:tc>
          <w:tcPr>
            <w:tcW w:w="3754" w:type="dxa"/>
          </w:tcPr>
          <w:p w14:paraId="02A3BEC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D4" w14:textId="77777777">
        <w:tc>
          <w:tcPr>
            <w:tcW w:w="470" w:type="dxa"/>
          </w:tcPr>
          <w:p w14:paraId="02A3BED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D2"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R&amp;D leading to Extension (i.e., knowledge diffusion and skills transfer)</w:t>
            </w:r>
          </w:p>
        </w:tc>
        <w:tc>
          <w:tcPr>
            <w:tcW w:w="3754" w:type="dxa"/>
          </w:tcPr>
          <w:p w14:paraId="02A3BED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D8" w14:textId="77777777">
        <w:tc>
          <w:tcPr>
            <w:tcW w:w="470" w:type="dxa"/>
          </w:tcPr>
          <w:p w14:paraId="02A3BED5"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D6"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Integrated and used market, customer/user, trade, system requirement info in the R&amp;D</w:t>
            </w:r>
          </w:p>
        </w:tc>
        <w:tc>
          <w:tcPr>
            <w:tcW w:w="3754" w:type="dxa"/>
          </w:tcPr>
          <w:p w14:paraId="02A3BED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DC" w14:textId="77777777">
        <w:tc>
          <w:tcPr>
            <w:tcW w:w="470" w:type="dxa"/>
          </w:tcPr>
          <w:p w14:paraId="02A3BED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D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Business canvas developed</w:t>
            </w:r>
          </w:p>
        </w:tc>
        <w:tc>
          <w:tcPr>
            <w:tcW w:w="3754" w:type="dxa"/>
          </w:tcPr>
          <w:p w14:paraId="02A3BED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E0" w14:textId="77777777">
        <w:tc>
          <w:tcPr>
            <w:tcW w:w="470" w:type="dxa"/>
          </w:tcPr>
          <w:p w14:paraId="02A3BED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DE"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R&amp;D product is commercialized</w:t>
            </w:r>
          </w:p>
        </w:tc>
        <w:tc>
          <w:tcPr>
            <w:tcW w:w="3754" w:type="dxa"/>
          </w:tcPr>
          <w:p w14:paraId="02A3BED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E2" w14:textId="77777777">
        <w:tc>
          <w:tcPr>
            <w:tcW w:w="8566" w:type="dxa"/>
            <w:gridSpan w:val="3"/>
          </w:tcPr>
          <w:p w14:paraId="02A3BEE1"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People Services</w:t>
            </w:r>
          </w:p>
        </w:tc>
      </w:tr>
      <w:tr w:rsidR="001F340B" w14:paraId="02A3BEE6" w14:textId="77777777">
        <w:tc>
          <w:tcPr>
            <w:tcW w:w="470" w:type="dxa"/>
          </w:tcPr>
          <w:p w14:paraId="02A3BEE3"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E4"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faculty provided support for graduate studies (MS/PhD)</w:t>
            </w:r>
          </w:p>
        </w:tc>
        <w:tc>
          <w:tcPr>
            <w:tcW w:w="3754" w:type="dxa"/>
          </w:tcPr>
          <w:p w14:paraId="02A3BEE5"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5</w:t>
            </w:r>
          </w:p>
        </w:tc>
      </w:tr>
      <w:tr w:rsidR="001F340B" w14:paraId="02A3BEEA" w14:textId="77777777">
        <w:tc>
          <w:tcPr>
            <w:tcW w:w="470" w:type="dxa"/>
          </w:tcPr>
          <w:p w14:paraId="02A3BEE7"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EE8"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faculty/ research staff provided support for continuing professional development</w:t>
            </w:r>
          </w:p>
        </w:tc>
        <w:tc>
          <w:tcPr>
            <w:tcW w:w="3754" w:type="dxa"/>
          </w:tcPr>
          <w:p w14:paraId="02A3BEE9"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5</w:t>
            </w:r>
          </w:p>
        </w:tc>
      </w:tr>
      <w:tr w:rsidR="001F340B" w14:paraId="02A3BEEE" w14:textId="77777777">
        <w:tc>
          <w:tcPr>
            <w:tcW w:w="470" w:type="dxa"/>
          </w:tcPr>
          <w:p w14:paraId="02A3BEEB"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EC"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policies, policy recommendations, local and national legislative bills developed, filed, and passed</w:t>
            </w:r>
          </w:p>
        </w:tc>
        <w:tc>
          <w:tcPr>
            <w:tcW w:w="3754" w:type="dxa"/>
          </w:tcPr>
          <w:p w14:paraId="02A3BEED"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F2" w14:textId="77777777">
        <w:tc>
          <w:tcPr>
            <w:tcW w:w="470" w:type="dxa"/>
          </w:tcPr>
          <w:p w14:paraId="02A3BEEF"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F0"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S&amp;T MSMEs assisted through skills transfer + Peso Value of S&amp;T SMEs</w:t>
            </w:r>
          </w:p>
        </w:tc>
        <w:tc>
          <w:tcPr>
            <w:tcW w:w="3754" w:type="dxa"/>
          </w:tcPr>
          <w:p w14:paraId="02A3BEF1"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F6" w14:textId="77777777">
        <w:tc>
          <w:tcPr>
            <w:tcW w:w="470" w:type="dxa"/>
          </w:tcPr>
          <w:p w14:paraId="02A3BEF3"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F4"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STI jobs created</w:t>
            </w:r>
          </w:p>
        </w:tc>
        <w:tc>
          <w:tcPr>
            <w:tcW w:w="3754" w:type="dxa"/>
          </w:tcPr>
          <w:p w14:paraId="02A3BEF5"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FA" w14:textId="77777777">
        <w:tc>
          <w:tcPr>
            <w:tcW w:w="470" w:type="dxa"/>
          </w:tcPr>
          <w:p w14:paraId="02A3BEF7"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F8"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S&amp;T startups or enterprises created</w:t>
            </w:r>
          </w:p>
        </w:tc>
        <w:tc>
          <w:tcPr>
            <w:tcW w:w="3754" w:type="dxa"/>
          </w:tcPr>
          <w:p w14:paraId="02A3BEF9"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EFE" w14:textId="77777777">
        <w:tc>
          <w:tcPr>
            <w:tcW w:w="470" w:type="dxa"/>
          </w:tcPr>
          <w:p w14:paraId="02A3BEFB"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EFC"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extension beneficiaries trained, and extension materials produced</w:t>
            </w:r>
          </w:p>
        </w:tc>
        <w:tc>
          <w:tcPr>
            <w:tcW w:w="3754" w:type="dxa"/>
          </w:tcPr>
          <w:p w14:paraId="02A3BEFD"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30</w:t>
            </w:r>
          </w:p>
        </w:tc>
      </w:tr>
      <w:tr w:rsidR="001F340B" w14:paraId="02A3BF00" w14:textId="77777777">
        <w:tc>
          <w:tcPr>
            <w:tcW w:w="8566" w:type="dxa"/>
            <w:gridSpan w:val="3"/>
          </w:tcPr>
          <w:p w14:paraId="02A3BEFF"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Places/ Partnerships</w:t>
            </w:r>
          </w:p>
        </w:tc>
      </w:tr>
      <w:tr w:rsidR="001F340B" w14:paraId="02A3BF04" w14:textId="77777777">
        <w:tc>
          <w:tcPr>
            <w:tcW w:w="470" w:type="dxa"/>
          </w:tcPr>
          <w:p w14:paraId="02A3BF01"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F02"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projects conducted jointly with industry</w:t>
            </w:r>
          </w:p>
        </w:tc>
        <w:tc>
          <w:tcPr>
            <w:tcW w:w="3754" w:type="dxa"/>
          </w:tcPr>
          <w:p w14:paraId="02A3BF03"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5</w:t>
            </w:r>
          </w:p>
        </w:tc>
      </w:tr>
      <w:tr w:rsidR="001F340B" w14:paraId="02A3BF08" w14:textId="77777777">
        <w:tc>
          <w:tcPr>
            <w:tcW w:w="470" w:type="dxa"/>
          </w:tcPr>
          <w:p w14:paraId="02A3BF05"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F06"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 xml:space="preserve">Number of </w:t>
            </w:r>
            <w:proofErr w:type="spellStart"/>
            <w:r>
              <w:rPr>
                <w:rFonts w:ascii="Arial" w:eastAsia="Arial" w:hAnsi="Arial" w:cs="Arial"/>
                <w:color w:val="000000"/>
                <w:sz w:val="20"/>
                <w:szCs w:val="20"/>
              </w:rPr>
              <w:t>incubatees</w:t>
            </w:r>
            <w:proofErr w:type="spellEnd"/>
            <w:r>
              <w:rPr>
                <w:rFonts w:ascii="Arial" w:eastAsia="Arial" w:hAnsi="Arial" w:cs="Arial"/>
                <w:color w:val="000000"/>
                <w:sz w:val="20"/>
                <w:szCs w:val="20"/>
              </w:rPr>
              <w:t xml:space="preserve"> assisted by Technology Business Incubators</w:t>
            </w:r>
          </w:p>
        </w:tc>
        <w:tc>
          <w:tcPr>
            <w:tcW w:w="3754" w:type="dxa"/>
          </w:tcPr>
          <w:p w14:paraId="02A3BF0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0C" w14:textId="77777777">
        <w:tc>
          <w:tcPr>
            <w:tcW w:w="470" w:type="dxa"/>
          </w:tcPr>
          <w:p w14:paraId="02A3BF0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0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Total investments or grants received by the startups under the Technology Business incubators</w:t>
            </w:r>
          </w:p>
        </w:tc>
        <w:tc>
          <w:tcPr>
            <w:tcW w:w="3754" w:type="dxa"/>
          </w:tcPr>
          <w:p w14:paraId="02A3BF0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10" w14:textId="77777777">
        <w:tc>
          <w:tcPr>
            <w:tcW w:w="470" w:type="dxa"/>
          </w:tcPr>
          <w:p w14:paraId="02A3BF0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0E"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Total Peso Value of industry-sponsored research expenditures</w:t>
            </w:r>
          </w:p>
        </w:tc>
        <w:tc>
          <w:tcPr>
            <w:tcW w:w="3754" w:type="dxa"/>
          </w:tcPr>
          <w:p w14:paraId="02A3BF0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14" w14:textId="77777777">
        <w:tc>
          <w:tcPr>
            <w:tcW w:w="470" w:type="dxa"/>
          </w:tcPr>
          <w:p w14:paraId="02A3BF1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12"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individual private sector entities funding research grants and contracts</w:t>
            </w:r>
          </w:p>
        </w:tc>
        <w:tc>
          <w:tcPr>
            <w:tcW w:w="3754" w:type="dxa"/>
          </w:tcPr>
          <w:p w14:paraId="02A3BF1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18" w14:textId="77777777">
        <w:tc>
          <w:tcPr>
            <w:tcW w:w="470" w:type="dxa"/>
          </w:tcPr>
          <w:p w14:paraId="02A3BF15"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16"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industry collaborators</w:t>
            </w:r>
          </w:p>
        </w:tc>
        <w:tc>
          <w:tcPr>
            <w:tcW w:w="3754" w:type="dxa"/>
          </w:tcPr>
          <w:p w14:paraId="02A3BF17"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1C" w14:textId="77777777">
        <w:tc>
          <w:tcPr>
            <w:tcW w:w="470" w:type="dxa"/>
          </w:tcPr>
          <w:p w14:paraId="02A3BF19"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1A"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community-based collaborators</w:t>
            </w:r>
          </w:p>
        </w:tc>
        <w:tc>
          <w:tcPr>
            <w:tcW w:w="3754" w:type="dxa"/>
          </w:tcPr>
          <w:p w14:paraId="02A3BF1B"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20" w14:textId="77777777">
        <w:tc>
          <w:tcPr>
            <w:tcW w:w="470" w:type="dxa"/>
          </w:tcPr>
          <w:p w14:paraId="02A3BF1D"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1E"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grants, contracts and sub-agreements from private sector entities</w:t>
            </w:r>
          </w:p>
        </w:tc>
        <w:tc>
          <w:tcPr>
            <w:tcW w:w="3754" w:type="dxa"/>
          </w:tcPr>
          <w:p w14:paraId="02A3BF1F"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24" w14:textId="77777777">
        <w:tc>
          <w:tcPr>
            <w:tcW w:w="470" w:type="dxa"/>
          </w:tcPr>
          <w:p w14:paraId="02A3BF21" w14:textId="77777777" w:rsidR="001F340B" w:rsidRDefault="00A73F00">
            <w:pPr>
              <w:pBdr>
                <w:top w:val="nil"/>
                <w:left w:val="nil"/>
                <w:bottom w:val="nil"/>
                <w:right w:val="nil"/>
                <w:between w:val="nil"/>
              </w:pBdr>
              <w:spacing w:after="0" w:line="240" w:lineRule="auto"/>
              <w:ind w:firstLine="0"/>
              <w:jc w:val="both"/>
              <w:rPr>
                <w:rFonts w:ascii="MS Gothic" w:eastAsia="MS Gothic" w:hAnsi="MS Gothic" w:cs="MS Gothic"/>
                <w:color w:val="000000"/>
                <w:sz w:val="20"/>
                <w:szCs w:val="20"/>
              </w:rPr>
            </w:pPr>
            <w:r>
              <w:rPr>
                <w:rFonts w:ascii="MS Gothic" w:eastAsia="MS Gothic" w:hAnsi="MS Gothic" w:cs="MS Gothic"/>
                <w:color w:val="000000"/>
                <w:sz w:val="20"/>
                <w:szCs w:val="20"/>
              </w:rPr>
              <w:t>☐</w:t>
            </w:r>
          </w:p>
        </w:tc>
        <w:tc>
          <w:tcPr>
            <w:tcW w:w="4342" w:type="dxa"/>
          </w:tcPr>
          <w:p w14:paraId="02A3BF22"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utility models commercialized/adopted by communities, LGUs, independent enterprises</w:t>
            </w:r>
          </w:p>
        </w:tc>
        <w:tc>
          <w:tcPr>
            <w:tcW w:w="3754" w:type="dxa"/>
          </w:tcPr>
          <w:p w14:paraId="02A3BF23" w14:textId="77777777" w:rsidR="001F340B" w:rsidRDefault="001F340B">
            <w:pPr>
              <w:pBdr>
                <w:top w:val="nil"/>
                <w:left w:val="nil"/>
                <w:bottom w:val="nil"/>
                <w:right w:val="nil"/>
                <w:between w:val="nil"/>
              </w:pBdr>
              <w:spacing w:after="0" w:line="240" w:lineRule="auto"/>
              <w:ind w:firstLine="0"/>
              <w:jc w:val="both"/>
              <w:rPr>
                <w:rFonts w:ascii="Arial" w:eastAsia="Arial" w:hAnsi="Arial" w:cs="Arial"/>
                <w:color w:val="000000"/>
                <w:sz w:val="20"/>
                <w:szCs w:val="20"/>
              </w:rPr>
            </w:pPr>
          </w:p>
        </w:tc>
      </w:tr>
      <w:tr w:rsidR="001F340B" w14:paraId="02A3BF26" w14:textId="77777777">
        <w:tc>
          <w:tcPr>
            <w:tcW w:w="8566" w:type="dxa"/>
            <w:gridSpan w:val="3"/>
          </w:tcPr>
          <w:p w14:paraId="02A3BF25"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color w:val="000000"/>
                <w:sz w:val="20"/>
                <w:szCs w:val="20"/>
              </w:rPr>
              <w:t>Policies</w:t>
            </w:r>
          </w:p>
        </w:tc>
      </w:tr>
      <w:tr w:rsidR="001F340B" w14:paraId="02A3BF2A" w14:textId="77777777">
        <w:tc>
          <w:tcPr>
            <w:tcW w:w="470" w:type="dxa"/>
          </w:tcPr>
          <w:p w14:paraId="02A3BF27"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MS Gothic" w:eastAsia="MS Gothic" w:hAnsi="MS Gothic" w:cs="MS Gothic"/>
                <w:color w:val="000000"/>
                <w:sz w:val="20"/>
                <w:szCs w:val="20"/>
              </w:rPr>
              <w:t>☐</w:t>
            </w:r>
          </w:p>
        </w:tc>
        <w:tc>
          <w:tcPr>
            <w:tcW w:w="4342" w:type="dxa"/>
          </w:tcPr>
          <w:p w14:paraId="02A3BF28" w14:textId="77777777" w:rsidR="001F340B" w:rsidRDefault="00A73F00">
            <w:pPr>
              <w:pBdr>
                <w:top w:val="nil"/>
                <w:left w:val="nil"/>
                <w:bottom w:val="nil"/>
                <w:right w:val="nil"/>
                <w:between w:val="nil"/>
              </w:pBdr>
              <w:spacing w:after="0" w:line="240" w:lineRule="auto"/>
              <w:ind w:firstLine="0"/>
              <w:rPr>
                <w:rFonts w:ascii="Arial" w:eastAsia="Arial" w:hAnsi="Arial" w:cs="Arial"/>
                <w:color w:val="000000"/>
                <w:sz w:val="20"/>
                <w:szCs w:val="20"/>
              </w:rPr>
            </w:pPr>
            <w:r>
              <w:rPr>
                <w:rFonts w:ascii="Arial" w:eastAsia="Arial" w:hAnsi="Arial" w:cs="Arial"/>
                <w:color w:val="000000"/>
                <w:sz w:val="20"/>
                <w:szCs w:val="20"/>
              </w:rPr>
              <w:t>Number of policies, policy recommendations, local and national legislative bills developed, filed, and passed</w:t>
            </w:r>
          </w:p>
        </w:tc>
        <w:tc>
          <w:tcPr>
            <w:tcW w:w="3754" w:type="dxa"/>
          </w:tcPr>
          <w:p w14:paraId="02A3BF29" w14:textId="77777777" w:rsidR="001F340B" w:rsidRDefault="00A73F00">
            <w:pPr>
              <w:pBdr>
                <w:top w:val="nil"/>
                <w:left w:val="nil"/>
                <w:bottom w:val="nil"/>
                <w:right w:val="nil"/>
                <w:between w:val="nil"/>
              </w:pBdr>
              <w:spacing w:after="0" w:line="240" w:lineRule="auto"/>
              <w:ind w:firstLine="0"/>
              <w:jc w:val="both"/>
              <w:rPr>
                <w:rFonts w:ascii="Arial" w:eastAsia="Arial" w:hAnsi="Arial" w:cs="Arial"/>
                <w:color w:val="000000"/>
                <w:sz w:val="20"/>
                <w:szCs w:val="20"/>
              </w:rPr>
            </w:pPr>
            <w:r>
              <w:rPr>
                <w:rFonts w:ascii="Arial" w:eastAsia="Arial" w:hAnsi="Arial" w:cs="Arial"/>
                <w:sz w:val="20"/>
                <w:szCs w:val="20"/>
              </w:rPr>
              <w:t xml:space="preserve">1 </w:t>
            </w:r>
          </w:p>
        </w:tc>
      </w:tr>
    </w:tbl>
    <w:p w14:paraId="02A3BF2B"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F2C" w14:textId="77777777" w:rsidR="001F340B" w:rsidRDefault="001F340B">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39027271" w14:textId="77777777" w:rsidR="001A43A9" w:rsidRDefault="001A43A9">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7D36C3FC" w14:textId="77777777" w:rsidR="001A43A9" w:rsidRDefault="001A43A9">
      <w:pPr>
        <w:pBdr>
          <w:top w:val="nil"/>
          <w:left w:val="nil"/>
          <w:bottom w:val="nil"/>
          <w:right w:val="nil"/>
          <w:between w:val="nil"/>
        </w:pBdr>
        <w:tabs>
          <w:tab w:val="left" w:pos="7589"/>
          <w:tab w:val="left" w:pos="9279"/>
        </w:tabs>
        <w:spacing w:after="0" w:line="240" w:lineRule="auto"/>
        <w:ind w:left="270"/>
        <w:jc w:val="both"/>
        <w:rPr>
          <w:rFonts w:ascii="Arial" w:eastAsia="Arial" w:hAnsi="Arial" w:cs="Arial"/>
          <w:color w:val="000000"/>
          <w:sz w:val="20"/>
          <w:szCs w:val="20"/>
        </w:rPr>
      </w:pPr>
    </w:p>
    <w:p w14:paraId="02A3BF2D"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lastRenderedPageBreak/>
        <w:t>TARGET BENEFICIARIES</w:t>
      </w:r>
    </w:p>
    <w:tbl>
      <w:tblPr>
        <w:tblStyle w:val="ad"/>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F35" w14:textId="77777777">
        <w:tc>
          <w:tcPr>
            <w:tcW w:w="8746" w:type="dxa"/>
          </w:tcPr>
          <w:p w14:paraId="02A3BF2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primary beneficiaries of the project will be public health institutions and personnel involved in disease surveillance, outbreak monitoring, health data reporting, and public health decision-making in Region I. These include the Department of Health–Center for Health Development Region I, provincial health offices, municipal health offices, rural health units, selected public hospitals, local epidemiology and surveillance units, and health program coordinators.</w:t>
            </w:r>
          </w:p>
          <w:p w14:paraId="02A3BF2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Disease surveillance officers, epidemiology staff, municipal health officers, public health nurses, hospital reporting personnel, and public health decision-makers may benefit from the platform through improved access to disease dashboards, trend visualizations, risk maps, forecast outputs, alerts, and reports. These tools may help them interpret surveillance data more efficiently and identify areas that require closer monitoring.</w:t>
            </w:r>
          </w:p>
          <w:p w14:paraId="02A3BF31"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2"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Healthcare institutions may also benefit from the project because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can support more timely interpretation of disease trends and possible outbreak signals. Although the platform will not replace official surveillance protocols or professional judgment, it may provide additional decision-support information for planning, monitoring, reporting, and coordination.</w:t>
            </w:r>
          </w:p>
          <w:p w14:paraId="02A3BF33"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Communities in Region I may indirectly benefit through improved outbreak preparedness, more timely disease monitoring, and better-informed public health actions. The project may also benefit researchers, students, and technical personnel by strengthening local capacity in artificial intelligence, health informatics, software development, and predictive analytics for public health.</w:t>
            </w:r>
          </w:p>
        </w:tc>
      </w:tr>
    </w:tbl>
    <w:p w14:paraId="02A3BF36" w14:textId="77777777" w:rsidR="001F340B" w:rsidRDefault="001F340B">
      <w:pPr>
        <w:pBdr>
          <w:top w:val="nil"/>
          <w:left w:val="nil"/>
          <w:bottom w:val="nil"/>
          <w:right w:val="nil"/>
          <w:between w:val="nil"/>
        </w:pBdr>
        <w:spacing w:after="0" w:line="240" w:lineRule="auto"/>
        <w:ind w:left="450"/>
        <w:jc w:val="both"/>
        <w:rPr>
          <w:rFonts w:ascii="Arial" w:eastAsia="Arial" w:hAnsi="Arial" w:cs="Arial"/>
          <w:color w:val="000000"/>
          <w:sz w:val="20"/>
          <w:szCs w:val="20"/>
        </w:rPr>
      </w:pPr>
    </w:p>
    <w:p w14:paraId="02A3BF37"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SUSTAINABILITY PLAN</w:t>
      </w:r>
    </w:p>
    <w:tbl>
      <w:tblPr>
        <w:tblStyle w:val="ae"/>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F41" w14:textId="77777777">
        <w:tc>
          <w:tcPr>
            <w:tcW w:w="8746" w:type="dxa"/>
          </w:tcPr>
          <w:p w14:paraId="02A3BF38"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sustainability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will depend on institutional interest, technical maintainability, data availability, user capacity, and continued collaboration with public health partners. To support sustainability, the project will produce technical documentation, user guides, model documentation, and implementation guidelines that can help partner institutions understand, maintain, and use the system after the project period.</w:t>
            </w:r>
          </w:p>
          <w:p w14:paraId="02A3BF3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platform will be designed using a modular and disease-extensible architecture. This will allow future disease models, additional approved data sources, and new dashboard functions to be added without redesigning the entire system. The use of commonly available tools such as Python, </w:t>
            </w:r>
            <w:proofErr w:type="spellStart"/>
            <w:r>
              <w:rPr>
                <w:rFonts w:ascii="Arial" w:eastAsia="Arial" w:hAnsi="Arial" w:cs="Arial"/>
                <w:sz w:val="20"/>
                <w:szCs w:val="20"/>
              </w:rPr>
              <w:t>FastAPI</w:t>
            </w:r>
            <w:proofErr w:type="spellEnd"/>
            <w:r>
              <w:rPr>
                <w:rFonts w:ascii="Arial" w:eastAsia="Arial" w:hAnsi="Arial" w:cs="Arial"/>
                <w:sz w:val="20"/>
                <w:szCs w:val="20"/>
              </w:rPr>
              <w:t xml:space="preserve">, PostgreSQL, </w:t>
            </w:r>
            <w:proofErr w:type="spellStart"/>
            <w:r>
              <w:rPr>
                <w:rFonts w:ascii="Arial" w:eastAsia="Arial" w:hAnsi="Arial" w:cs="Arial"/>
                <w:sz w:val="20"/>
                <w:szCs w:val="20"/>
              </w:rPr>
              <w:t>PostGIS</w:t>
            </w:r>
            <w:proofErr w:type="spellEnd"/>
            <w:r>
              <w:rPr>
                <w:rFonts w:ascii="Arial" w:eastAsia="Arial" w:hAnsi="Arial" w:cs="Arial"/>
                <w:sz w:val="20"/>
                <w:szCs w:val="20"/>
              </w:rPr>
              <w:t>, and web-based frontend technologies will also support maintainability because these tools have broad documentation and developer support.</w:t>
            </w:r>
          </w:p>
          <w:p w14:paraId="02A3BF3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Capacity-building activities will be conducted during pilot implementation. Public health users and system administrators will be trained on data upload, dashboard interpretation, forecast review, alert interpretation, report generation, data privacy, and responsible use of AI-generated outputs. These activities will help improve user readiness and reduce dependence on the research team.</w:t>
            </w:r>
          </w:p>
          <w:p w14:paraId="02A3BF3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3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system will initially support CSV or Excel-based data upload to ensure feasibility. If institutional approvals, technical resources, and data-sharing arrangements become available, future versions may support scheduled data import or API-based integration with approved health information systems. This staged approach will allow the platform to function under realistic technical conditions while keeping future interoperability possible.</w:t>
            </w:r>
          </w:p>
          <w:p w14:paraId="02A3BF3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4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project will also produce policy recommendations and implementation guidelines to support possible future scaling. These recommendations may address data-sharing arrangements, privacy safeguards, model validation, user training, alert interpretation, system maintenance, and possible expansion to other diseases or local government units.</w:t>
            </w:r>
          </w:p>
        </w:tc>
      </w:tr>
    </w:tbl>
    <w:p w14:paraId="02A3BF42" w14:textId="77777777" w:rsidR="001F340B" w:rsidRDefault="001F340B">
      <w:pPr>
        <w:pBdr>
          <w:top w:val="nil"/>
          <w:left w:val="nil"/>
          <w:bottom w:val="nil"/>
          <w:right w:val="nil"/>
          <w:between w:val="nil"/>
        </w:pBdr>
        <w:spacing w:after="0"/>
        <w:ind w:hanging="2"/>
        <w:rPr>
          <w:rFonts w:ascii="Arial" w:eastAsia="Arial" w:hAnsi="Arial" w:cs="Arial"/>
          <w:color w:val="000000"/>
          <w:sz w:val="20"/>
          <w:szCs w:val="20"/>
        </w:rPr>
      </w:pPr>
    </w:p>
    <w:p w14:paraId="02A3BF43"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GENDER AND DEVELOPMENT (GAD) SCORE</w:t>
      </w:r>
    </w:p>
    <w:tbl>
      <w:tblPr>
        <w:tblStyle w:val="af"/>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F45" w14:textId="77777777">
        <w:tc>
          <w:tcPr>
            <w:tcW w:w="8746" w:type="dxa"/>
          </w:tcPr>
          <w:p w14:paraId="02A3BF44"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color w:val="000000"/>
                <w:sz w:val="20"/>
                <w:szCs w:val="20"/>
              </w:rPr>
            </w:pPr>
            <w:r>
              <w:rPr>
                <w:rFonts w:ascii="Arial" w:eastAsia="Arial" w:hAnsi="Arial" w:cs="Arial"/>
                <w:sz w:val="20"/>
                <w:szCs w:val="20"/>
              </w:rPr>
              <w:t xml:space="preserve">13.65 </w:t>
            </w:r>
          </w:p>
        </w:tc>
      </w:tr>
    </w:tbl>
    <w:p w14:paraId="02A3BF46" w14:textId="77777777" w:rsidR="001F340B" w:rsidRDefault="001F340B">
      <w:pPr>
        <w:pBdr>
          <w:top w:val="nil"/>
          <w:left w:val="nil"/>
          <w:bottom w:val="nil"/>
          <w:right w:val="nil"/>
          <w:between w:val="nil"/>
        </w:pBdr>
        <w:spacing w:after="0"/>
        <w:ind w:hanging="2"/>
        <w:rPr>
          <w:rFonts w:ascii="Arial" w:eastAsia="Arial" w:hAnsi="Arial" w:cs="Arial"/>
          <w:color w:val="000000"/>
          <w:sz w:val="20"/>
          <w:szCs w:val="20"/>
        </w:rPr>
      </w:pPr>
    </w:p>
    <w:p w14:paraId="02A3BF47"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LIMITATIONS OF THE PROJECT</w:t>
      </w:r>
    </w:p>
    <w:tbl>
      <w:tblPr>
        <w:tblStyle w:val="af0"/>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14:paraId="02A3BF51" w14:textId="77777777">
        <w:tc>
          <w:tcPr>
            <w:tcW w:w="8746" w:type="dxa"/>
          </w:tcPr>
          <w:p w14:paraId="02A3BF48" w14:textId="7F7BA901"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 xml:space="preserve">The project will be limited to the development, pilot implementation, and validation of </w:t>
            </w:r>
            <w:proofErr w:type="spellStart"/>
            <w:r>
              <w:rPr>
                <w:rFonts w:ascii="Arial" w:eastAsia="Arial" w:hAnsi="Arial" w:cs="Arial"/>
                <w:sz w:val="20"/>
                <w:szCs w:val="20"/>
              </w:rPr>
              <w:t>BantayHealthAI</w:t>
            </w:r>
            <w:proofErr w:type="spellEnd"/>
            <w:r>
              <w:rPr>
                <w:rFonts w:ascii="Arial" w:eastAsia="Arial" w:hAnsi="Arial" w:cs="Arial"/>
                <w:sz w:val="20"/>
                <w:szCs w:val="20"/>
              </w:rPr>
              <w:t xml:space="preserve"> in selected public health and healthcare settings in Region I. The initial disease scope will focus on dengue fever, </w:t>
            </w:r>
            <w:r w:rsidR="000D5C78">
              <w:rPr>
                <w:rFonts w:ascii="Arial" w:eastAsia="Arial" w:hAnsi="Arial" w:cs="Arial"/>
                <w:sz w:val="20"/>
                <w:szCs w:val="20"/>
              </w:rPr>
              <w:t>measles</w:t>
            </w:r>
            <w:r>
              <w:rPr>
                <w:rFonts w:ascii="Arial" w:eastAsia="Arial" w:hAnsi="Arial" w:cs="Arial"/>
                <w:sz w:val="20"/>
                <w:szCs w:val="20"/>
              </w:rPr>
              <w:t>, and influenza-like illnesses. While the platform may be designed to accommodate additional diseases in the future, the development and validation activities of this project will focus primarily on these three priority diseases.</w:t>
            </w:r>
          </w:p>
          <w:p w14:paraId="02A3BF49"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4A"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performance of the predictive models will depend on the availability, completeness, timeliness, and quality of the datasets provided by participating institutions. Missing values, delayed reporting, inconsistent formats, changes in reporting practices, sparse case counts, and incomplete geographic information may affect model performance. The study will address these issues through data cleaning, preprocessing, validation, and error analysis, but some limitations may remain due to the nature of real-world surveillance data.</w:t>
            </w:r>
          </w:p>
          <w:p w14:paraId="02A3BF4B"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4C"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Supplementary data sources such as social media signals, crowdsourced reports, workplace health indicators, and other digital health-related records may be explored only when ethically approved, available, and technically compatible. These sources will not replace official surveillance data and will be treated only as supporting information for situational awareness and exploratory analysis.</w:t>
            </w:r>
          </w:p>
          <w:p w14:paraId="02A3BF4D"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4E"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platform will serve as a decision-support tool and will not make final public health decisions. Forecasts, risk classifications, and early warning alerts will require interpretation by authorized public health officials and healthcare professionals. The system may generate false alarms or miss some outbreak signals, especially during unusual events, reporting delays, incomplete data, or sudden changes in disease patterns.</w:t>
            </w:r>
          </w:p>
          <w:p w14:paraId="02A3BF4F" w14:textId="77777777" w:rsidR="001F340B" w:rsidRDefault="001F340B">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p>
          <w:p w14:paraId="02A3BF50" w14:textId="77777777" w:rsidR="001F340B" w:rsidRDefault="00A73F00">
            <w:pPr>
              <w:pBdr>
                <w:top w:val="nil"/>
                <w:left w:val="nil"/>
                <w:bottom w:val="nil"/>
                <w:right w:val="nil"/>
                <w:between w:val="nil"/>
              </w:pBdr>
              <w:tabs>
                <w:tab w:val="left" w:pos="7589"/>
                <w:tab w:val="left" w:pos="9279"/>
              </w:tabs>
              <w:spacing w:after="0" w:line="240" w:lineRule="auto"/>
              <w:ind w:firstLine="0"/>
              <w:jc w:val="both"/>
              <w:rPr>
                <w:rFonts w:ascii="Arial" w:eastAsia="Arial" w:hAnsi="Arial" w:cs="Arial"/>
                <w:sz w:val="20"/>
                <w:szCs w:val="20"/>
              </w:rPr>
            </w:pPr>
            <w:r>
              <w:rPr>
                <w:rFonts w:ascii="Arial" w:eastAsia="Arial" w:hAnsi="Arial" w:cs="Arial"/>
                <w:sz w:val="20"/>
                <w:szCs w:val="20"/>
              </w:rPr>
              <w:t>The pilot implementation may be affected by institutional readiness, internet connectivity, user availability, technical support, and data-sharing arrangements. Because the pilot will be conducted only in selected sites, the findings may not fully represent all public health settings in Region I or other regions of the Philippines.</w:t>
            </w:r>
          </w:p>
        </w:tc>
      </w:tr>
    </w:tbl>
    <w:p w14:paraId="02A3BF52" w14:textId="77777777" w:rsidR="001F340B" w:rsidRDefault="001F340B">
      <w:pPr>
        <w:pBdr>
          <w:top w:val="nil"/>
          <w:left w:val="nil"/>
          <w:bottom w:val="nil"/>
          <w:right w:val="nil"/>
          <w:between w:val="nil"/>
        </w:pBdr>
        <w:spacing w:after="0"/>
        <w:ind w:hanging="2"/>
        <w:rPr>
          <w:rFonts w:ascii="Arial" w:eastAsia="Arial" w:hAnsi="Arial" w:cs="Arial"/>
          <w:color w:val="000000"/>
          <w:sz w:val="20"/>
          <w:szCs w:val="20"/>
        </w:rPr>
      </w:pPr>
    </w:p>
    <w:p w14:paraId="02A3BF53"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t>LIST OF RISKS AND ASSUMPTIONS RISK MANAGEMENT PLAN</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2909"/>
        <w:gridCol w:w="2995"/>
      </w:tblGrid>
      <w:tr w:rsidR="000B5251" w:rsidRPr="00016926" w14:paraId="6A7FBD01" w14:textId="77777777" w:rsidTr="000B5251">
        <w:trPr>
          <w:trHeight w:val="791"/>
        </w:trPr>
        <w:tc>
          <w:tcPr>
            <w:tcW w:w="5714" w:type="dxa"/>
            <w:vAlign w:val="center"/>
          </w:tcPr>
          <w:p w14:paraId="095CEDE4" w14:textId="77777777" w:rsidR="000B5251" w:rsidRPr="008F4AEB" w:rsidRDefault="000B5251" w:rsidP="000B5251">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spacing w:after="0"/>
              <w:jc w:val="center"/>
              <w:rPr>
                <w:rFonts w:ascii="Arial" w:hAnsi="Arial" w:cs="Arial"/>
                <w:b/>
                <w:bCs/>
                <w:sz w:val="18"/>
                <w:szCs w:val="18"/>
              </w:rPr>
            </w:pPr>
            <w:r w:rsidRPr="008F4AEB">
              <w:rPr>
                <w:rFonts w:ascii="Arial" w:hAnsi="Arial" w:cs="Arial"/>
                <w:b/>
                <w:bCs/>
                <w:sz w:val="18"/>
                <w:szCs w:val="18"/>
              </w:rPr>
              <w:t>OBJECTIVES</w:t>
            </w:r>
          </w:p>
        </w:tc>
        <w:tc>
          <w:tcPr>
            <w:tcW w:w="5616" w:type="dxa"/>
            <w:vAlign w:val="center"/>
          </w:tcPr>
          <w:p w14:paraId="3B0A5A17" w14:textId="09986D62" w:rsidR="000B5251" w:rsidRPr="008F4AEB" w:rsidRDefault="000B5251" w:rsidP="000B5251">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spacing w:after="0"/>
              <w:jc w:val="center"/>
              <w:rPr>
                <w:rFonts w:ascii="Arial" w:hAnsi="Arial" w:cs="Arial"/>
                <w:b/>
                <w:bCs/>
                <w:sz w:val="18"/>
                <w:szCs w:val="18"/>
              </w:rPr>
            </w:pPr>
            <w:r w:rsidRPr="008F4AEB">
              <w:rPr>
                <w:rFonts w:ascii="Arial" w:hAnsi="Arial" w:cs="Arial"/>
                <w:b/>
                <w:bCs/>
                <w:sz w:val="18"/>
                <w:szCs w:val="18"/>
              </w:rPr>
              <w:t>RISKS AND ASSUMPTIONS</w:t>
            </w:r>
          </w:p>
        </w:tc>
        <w:tc>
          <w:tcPr>
            <w:tcW w:w="5812" w:type="dxa"/>
            <w:vAlign w:val="center"/>
          </w:tcPr>
          <w:p w14:paraId="00C396E0" w14:textId="411DA951" w:rsidR="000B5251" w:rsidRPr="00016926" w:rsidRDefault="000B5251" w:rsidP="000B5251">
            <w:pPr>
              <w:tabs>
                <w:tab w:val="left" w:pos="0"/>
              </w:tabs>
              <w:spacing w:after="0"/>
              <w:jc w:val="center"/>
              <w:rPr>
                <w:rFonts w:ascii="Arial" w:hAnsi="Arial" w:cs="Arial"/>
                <w:b/>
                <w:bCs/>
                <w:sz w:val="18"/>
                <w:szCs w:val="18"/>
              </w:rPr>
            </w:pPr>
            <w:r>
              <w:rPr>
                <w:rFonts w:ascii="Arial" w:hAnsi="Arial" w:cs="Arial"/>
                <w:b/>
                <w:bCs/>
                <w:sz w:val="18"/>
                <w:szCs w:val="18"/>
              </w:rPr>
              <w:t>RISK MANAGEMENT</w:t>
            </w:r>
            <w:r w:rsidRPr="00016926">
              <w:rPr>
                <w:rFonts w:ascii="Arial" w:hAnsi="Arial" w:cs="Arial"/>
                <w:b/>
                <w:bCs/>
                <w:sz w:val="18"/>
                <w:szCs w:val="18"/>
              </w:rPr>
              <w:t xml:space="preserve"> PLAN (use separate sheet if necessary)</w:t>
            </w:r>
          </w:p>
        </w:tc>
      </w:tr>
      <w:tr w:rsidR="000B5251" w:rsidRPr="008F4AEB" w14:paraId="155BC32B" w14:textId="77777777" w:rsidTr="00C81CE2">
        <w:tc>
          <w:tcPr>
            <w:tcW w:w="5714" w:type="dxa"/>
          </w:tcPr>
          <w:p w14:paraId="4182C0F5"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1: Data collection, preprocessing, integration, exploratory analysis, and development of disease-specific forecasting and outbreak risk classification models.</w:t>
            </w:r>
          </w:p>
        </w:tc>
        <w:tc>
          <w:tcPr>
            <w:tcW w:w="5616" w:type="dxa"/>
          </w:tcPr>
          <w:p w14:paraId="50314408"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Access to complete and timely surveillance data may be delayed or limited. Records may also contain missing values, inconsistent formats, reporting delays, or incomplete geographic fields. Supplementary data sources may not be available, approved, or technically compatible during the project period.</w:t>
            </w:r>
          </w:p>
        </w:tc>
        <w:tc>
          <w:tcPr>
            <w:tcW w:w="5812" w:type="dxa"/>
          </w:tcPr>
          <w:p w14:paraId="0D0BB642"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researchers will secure data-sharing agreements and institutional approvals early, use phased data acquisition, and prioritize official surveillance, environmental, geographic, and population data as core sources. Standardized CSV/Excel templates, data validation rules, cleaning procedures, and error analysis will be applied. Supplementary data will be treated as optional and used only when ethically approved and technically feasible.</w:t>
            </w:r>
          </w:p>
        </w:tc>
      </w:tr>
      <w:tr w:rsidR="000B5251" w:rsidRPr="008F4AEB" w14:paraId="7BAF12ED" w14:textId="77777777" w:rsidTr="00C81CE2">
        <w:tc>
          <w:tcPr>
            <w:tcW w:w="5714" w:type="dxa"/>
          </w:tcPr>
          <w:p w14:paraId="7C5AFD24"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1: Model training, validation, and selection of models for platform integration.</w:t>
            </w:r>
          </w:p>
        </w:tc>
        <w:tc>
          <w:tcPr>
            <w:tcW w:w="5616" w:type="dxa"/>
          </w:tcPr>
          <w:p w14:paraId="49AE5AF1"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Model performance may be affected by sparse case counts, seasonal variation, delayed reporting, changing disease patterns, or limited historical coverage. Forecasts and outbreak risk classifications may produce false alerts or miss some signals.</w:t>
            </w:r>
          </w:p>
        </w:tc>
        <w:tc>
          <w:tcPr>
            <w:tcW w:w="5812" w:type="dxa"/>
          </w:tcPr>
          <w:p w14:paraId="40E3BBF9"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study will use feasible and interpretable baseline and machine learning models, time-aware validation, walk-forward validation when data allow, and disease-specific error analysis. Thresholds will be reviewed using available epidemiological or statistical criteria. Model outputs will be presented as decision-support information and not as final public health decisions.</w:t>
            </w:r>
          </w:p>
        </w:tc>
      </w:tr>
      <w:tr w:rsidR="000B5251" w:rsidRPr="008F4AEB" w14:paraId="37D47146" w14:textId="77777777" w:rsidTr="00C81CE2">
        <w:tc>
          <w:tcPr>
            <w:tcW w:w="5714" w:type="dxa"/>
          </w:tcPr>
          <w:p w14:paraId="0675F547"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2: Requirements analysis, system design, platform development, and staged data integration.</w:t>
            </w:r>
          </w:p>
        </w:tc>
        <w:tc>
          <w:tcPr>
            <w:tcW w:w="5616" w:type="dxa"/>
          </w:tcPr>
          <w:p w14:paraId="764F5CE9"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 xml:space="preserve">User requirements may change during development, and direct integration with existing health information systems may not be immediately allowed due to </w:t>
            </w:r>
            <w:r>
              <w:rPr>
                <w:rFonts w:ascii="Arial" w:hAnsi="Arial"/>
                <w:sz w:val="17"/>
              </w:rPr>
              <w:lastRenderedPageBreak/>
              <w:t>technical, institutional, or cybersecurity requirements.</w:t>
            </w:r>
          </w:p>
        </w:tc>
        <w:tc>
          <w:tcPr>
            <w:tcW w:w="5812" w:type="dxa"/>
          </w:tcPr>
          <w:p w14:paraId="5DAC58B8"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lastRenderedPageBreak/>
              <w:t xml:space="preserve">The platform will be developed through iterative prototyping with stakeholder review. The initial prototype will support structured CSV or Excel upload from approved </w:t>
            </w:r>
            <w:r>
              <w:rPr>
                <w:rFonts w:ascii="Arial" w:hAnsi="Arial"/>
                <w:sz w:val="17"/>
              </w:rPr>
              <w:lastRenderedPageBreak/>
              <w:t>records. API-based or scheduled import will be considered only when data-sharing, technical access, and cybersecurity requirements are met. The system will use a modular architecture to allow future extension.</w:t>
            </w:r>
          </w:p>
        </w:tc>
      </w:tr>
      <w:tr w:rsidR="000B5251" w:rsidRPr="008F4AEB" w14:paraId="582D206E" w14:textId="77777777" w:rsidTr="00C81CE2">
        <w:tc>
          <w:tcPr>
            <w:tcW w:w="5714" w:type="dxa"/>
          </w:tcPr>
          <w:p w14:paraId="6C0A4984"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lastRenderedPageBreak/>
              <w:t>Study 2: Integration of predictive models, alert generation, model monitoring, and controlled continuous learning.</w:t>
            </w:r>
          </w:p>
        </w:tc>
        <w:tc>
          <w:tcPr>
            <w:tcW w:w="5616" w:type="dxa"/>
          </w:tcPr>
          <w:p w14:paraId="61B34AE8"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Model integration errors, unavailable model services, unstable model updates, or model performance decline over time may affect reliability and user trust.</w:t>
            </w:r>
          </w:p>
        </w:tc>
        <w:tc>
          <w:tcPr>
            <w:tcW w:w="5812" w:type="dxa"/>
          </w:tcPr>
          <w:p w14:paraId="364D8D29"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researchers will implement input validation, versioned model documentation, integration testing, error logging, and model monitoring. The model monitoring and retraining readiness function will only recommend retraining when sufficient validated data or performance decline is detected. Updated models will not automatically replace deployed models; they will be validated, compared, documented, and reviewed before deployment.</w:t>
            </w:r>
          </w:p>
        </w:tc>
      </w:tr>
      <w:tr w:rsidR="000B5251" w:rsidRPr="008F4AEB" w14:paraId="36C5CF6D" w14:textId="77777777" w:rsidTr="00C81CE2">
        <w:tc>
          <w:tcPr>
            <w:tcW w:w="5714" w:type="dxa"/>
          </w:tcPr>
          <w:p w14:paraId="56420130"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2 and Study 3: Security, privacy protection, and responsible handling of health-related surveillance data.</w:t>
            </w:r>
          </w:p>
        </w:tc>
        <w:tc>
          <w:tcPr>
            <w:tcW w:w="5616" w:type="dxa"/>
          </w:tcPr>
          <w:p w14:paraId="3D34777D"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Unauthorized access, weak account control, data leakage, or improper handling of health-related information may affect confidentiality and institutional trust.</w:t>
            </w:r>
          </w:p>
        </w:tc>
        <w:tc>
          <w:tcPr>
            <w:tcW w:w="5812" w:type="dxa"/>
          </w:tcPr>
          <w:p w14:paraId="20D8C337"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platform will apply role-based access control, secure login, data minimization, de-identification where appropriate, audit logs, database protection, backup procedures, and restricted access to datasets, model files, source code, and credentials. All data use will follow ethics clearance, institutional approvals, data-sharing agreements, and the Data Privacy Act of 2012.</w:t>
            </w:r>
          </w:p>
        </w:tc>
      </w:tr>
      <w:tr w:rsidR="000B5251" w:rsidRPr="008F4AEB" w14:paraId="15024689" w14:textId="77777777" w:rsidTr="00C81CE2">
        <w:tc>
          <w:tcPr>
            <w:tcW w:w="5714" w:type="dxa"/>
          </w:tcPr>
          <w:p w14:paraId="5DB35626"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3: Pilot deployment, user training, platform use, and operational evaluation in selected public health and healthcare settings.</w:t>
            </w:r>
          </w:p>
        </w:tc>
        <w:tc>
          <w:tcPr>
            <w:tcW w:w="5616" w:type="dxa"/>
          </w:tcPr>
          <w:p w14:paraId="43FCC992"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Pilot sites may have varying internet connectivity, device availability, user schedules, technical readiness, or institutional support. Users may also be unfamiliar with AI-assisted surveillance tools and may misinterpret forecasts or alerts.</w:t>
            </w:r>
          </w:p>
        </w:tc>
        <w:tc>
          <w:tcPr>
            <w:tcW w:w="5812" w:type="dxa"/>
          </w:tcPr>
          <w:p w14:paraId="53CDB0BE"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Before deployment, the researchers will conduct technical readiness checking and coordinate with focal persons and institutional IT personnel. User orientation, hands-on demonstrations, user guides, and quick-reference materials will be provided. Alert interpretation will emphasize that forecasts and risk classifications are decision-support outputs requiring professional review.</w:t>
            </w:r>
          </w:p>
        </w:tc>
      </w:tr>
      <w:tr w:rsidR="000B5251" w:rsidRPr="008F4AEB" w14:paraId="76FD0934" w14:textId="77777777" w:rsidTr="00C81CE2">
        <w:tc>
          <w:tcPr>
            <w:tcW w:w="5714" w:type="dxa"/>
          </w:tcPr>
          <w:p w14:paraId="1358C3A0"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Study 3: Validation, usability and acceptability assessment, documentation of implementation concerns, and development of policy recommendations.</w:t>
            </w:r>
          </w:p>
        </w:tc>
        <w:tc>
          <w:tcPr>
            <w:tcW w:w="5616" w:type="dxa"/>
          </w:tcPr>
          <w:p w14:paraId="4F557A09"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number of pilot sites and respondents may be limited, which may affect the generalizability of usability, acceptability, and operational findings. Some implementation issues may also emerge only after longer system use.</w:t>
            </w:r>
          </w:p>
        </w:tc>
        <w:tc>
          <w:tcPr>
            <w:tcW w:w="5812" w:type="dxa"/>
          </w:tcPr>
          <w:p w14:paraId="1D378BDB" w14:textId="77777777" w:rsidR="000B5251" w:rsidRPr="008F4AEB" w:rsidRDefault="000B5251" w:rsidP="00C81CE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hAnsi="Arial" w:cs="Arial"/>
                <w:sz w:val="20"/>
                <w:szCs w:val="20"/>
              </w:rPr>
            </w:pPr>
            <w:r>
              <w:rPr>
                <w:rFonts w:ascii="Arial" w:hAnsi="Arial"/>
                <w:sz w:val="17"/>
              </w:rPr>
              <w:t>The pilot evaluation will use multiple evidence sources, including user surveys, interviews, observation, system logs, implementation logs, and technical testing results. Findings will be reported as pilot-level evidence. Limitations will be documented, and policy recommendations will focus on practical adoption, responsible scaling, data governance, user training, model validation, and sustainability.</w:t>
            </w:r>
          </w:p>
        </w:tc>
      </w:tr>
    </w:tbl>
    <w:p w14:paraId="02A3BF67" w14:textId="77777777" w:rsidR="001F340B" w:rsidRDefault="001F340B">
      <w:pPr>
        <w:pBdr>
          <w:top w:val="nil"/>
          <w:left w:val="nil"/>
          <w:bottom w:val="nil"/>
          <w:right w:val="nil"/>
          <w:between w:val="nil"/>
        </w:pBdr>
        <w:spacing w:after="0"/>
        <w:ind w:hanging="2"/>
        <w:rPr>
          <w:rFonts w:ascii="Arial" w:eastAsia="Arial" w:hAnsi="Arial" w:cs="Arial"/>
          <w:color w:val="000000"/>
          <w:sz w:val="20"/>
          <w:szCs w:val="20"/>
        </w:rPr>
      </w:pPr>
    </w:p>
    <w:p w14:paraId="02A3BF68" w14:textId="77777777" w:rsidR="001F340B" w:rsidRDefault="00A73F00">
      <w:pPr>
        <w:numPr>
          <w:ilvl w:val="0"/>
          <w:numId w:val="2"/>
        </w:numPr>
        <w:pBdr>
          <w:top w:val="nil"/>
          <w:left w:val="nil"/>
          <w:bottom w:val="nil"/>
          <w:right w:val="nil"/>
          <w:between w:val="nil"/>
        </w:pBdr>
        <w:spacing w:after="0" w:line="240" w:lineRule="auto"/>
        <w:ind w:left="450" w:hanging="450"/>
        <w:jc w:val="both"/>
        <w:rPr>
          <w:rFonts w:ascii="Arial" w:eastAsia="Arial" w:hAnsi="Arial" w:cs="Arial"/>
          <w:color w:val="000000"/>
          <w:sz w:val="20"/>
          <w:szCs w:val="20"/>
        </w:rPr>
      </w:pPr>
      <w:r>
        <w:rPr>
          <w:rFonts w:ascii="Arial" w:eastAsia="Arial" w:hAnsi="Arial" w:cs="Arial"/>
          <w:color w:val="000000"/>
          <w:sz w:val="20"/>
          <w:szCs w:val="20"/>
        </w:rPr>
        <w:lastRenderedPageBreak/>
        <w:t>LITERATURE CITED</w:t>
      </w:r>
    </w:p>
    <w:tbl>
      <w:tblPr>
        <w:tblStyle w:val="af2"/>
        <w:tblW w:w="8746" w:type="dxa"/>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46"/>
      </w:tblGrid>
      <w:tr w:rsidR="001F340B" w:rsidRPr="000B0704" w14:paraId="02A3BFA0" w14:textId="77777777">
        <w:tc>
          <w:tcPr>
            <w:tcW w:w="8746" w:type="dxa"/>
          </w:tcPr>
          <w:p w14:paraId="02A3BF69"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AlQudah, A. A., Al-Emran, M., &amp; Shaalan, K. (2021). Technology acceptance in healthcare: A systematic review. </w:t>
            </w:r>
            <w:r w:rsidRPr="000B0704">
              <w:rPr>
                <w:rFonts w:ascii="Arial" w:eastAsia="Times New Roman" w:hAnsi="Arial" w:cs="Arial"/>
                <w:i/>
                <w:iCs/>
                <w:sz w:val="20"/>
                <w:szCs w:val="20"/>
              </w:rPr>
              <w:t>Applied Sciences, 11</w:t>
            </w:r>
            <w:r w:rsidRPr="000B0704">
              <w:rPr>
                <w:rFonts w:ascii="Arial" w:eastAsia="Times New Roman" w:hAnsi="Arial" w:cs="Arial"/>
                <w:sz w:val="20"/>
                <w:szCs w:val="20"/>
              </w:rPr>
              <w:t>(22), 10537.</w:t>
            </w:r>
          </w:p>
          <w:p w14:paraId="4D32AEC1" w14:textId="2C66F0DD" w:rsidR="003A62A2" w:rsidRDefault="003A62A2" w:rsidP="00D033EA">
            <w:pPr>
              <w:spacing w:after="280" w:line="240" w:lineRule="auto"/>
              <w:ind w:left="427" w:hanging="429"/>
              <w:rPr>
                <w:rFonts w:ascii="Arial" w:eastAsia="Times New Roman" w:hAnsi="Arial" w:cs="Arial"/>
                <w:color w:val="FF0000"/>
                <w:sz w:val="20"/>
                <w:szCs w:val="20"/>
              </w:rPr>
            </w:pPr>
            <w:r w:rsidRPr="006B2954">
              <w:rPr>
                <w:rFonts w:ascii="Arial" w:eastAsia="Times New Roman" w:hAnsi="Arial" w:cs="Arial"/>
                <w:sz w:val="20"/>
                <w:szCs w:val="20"/>
              </w:rPr>
              <w:t xml:space="preserve">Braun, V., &amp; Clarke, V. (2021). One size fits all? What counts as quality practice in reflexive thematic analysis? </w:t>
            </w:r>
            <w:r w:rsidRPr="006B2954">
              <w:rPr>
                <w:rFonts w:ascii="Arial" w:eastAsia="Times New Roman" w:hAnsi="Arial" w:cs="Arial"/>
                <w:i/>
                <w:iCs/>
                <w:sz w:val="20"/>
                <w:szCs w:val="20"/>
              </w:rPr>
              <w:t>Qualitative Research in Psychology, 18</w:t>
            </w:r>
            <w:r w:rsidRPr="006B2954">
              <w:rPr>
                <w:rFonts w:ascii="Arial" w:eastAsia="Times New Roman" w:hAnsi="Arial" w:cs="Arial"/>
                <w:sz w:val="20"/>
                <w:szCs w:val="20"/>
              </w:rPr>
              <w:t>(3), 328–352.</w:t>
            </w:r>
            <w:hyperlink r:id="rId13">
              <w:r w:rsidRPr="006B2954">
                <w:rPr>
                  <w:rFonts w:ascii="Arial" w:eastAsia="Times New Roman" w:hAnsi="Arial" w:cs="Arial"/>
                  <w:sz w:val="20"/>
                  <w:szCs w:val="20"/>
                </w:rPr>
                <w:t xml:space="preserve"> </w:t>
              </w:r>
            </w:hyperlink>
            <w:hyperlink r:id="rId14">
              <w:r w:rsidRPr="006B2954">
                <w:rPr>
                  <w:rFonts w:ascii="Arial" w:eastAsia="Times New Roman" w:hAnsi="Arial" w:cs="Arial"/>
                  <w:sz w:val="20"/>
                  <w:szCs w:val="20"/>
                  <w:u w:val="single"/>
                </w:rPr>
                <w:t>https://doi.org/10.1080/14780887.2020.1769238</w:t>
              </w:r>
            </w:hyperlink>
          </w:p>
          <w:p w14:paraId="5DD23B9B" w14:textId="77777777" w:rsidR="006D2739" w:rsidRPr="006B2954" w:rsidRDefault="006D2739"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Braun, V., &amp; Clarke, V. (2022). </w:t>
            </w:r>
            <w:r w:rsidRPr="006B2954">
              <w:rPr>
                <w:rFonts w:ascii="Arial" w:eastAsia="Times New Roman" w:hAnsi="Arial" w:cs="Arial"/>
                <w:i/>
                <w:iCs/>
                <w:sz w:val="20"/>
                <w:szCs w:val="20"/>
              </w:rPr>
              <w:t>Thematic analysis: A practical guide</w:t>
            </w:r>
            <w:r w:rsidRPr="006B2954">
              <w:rPr>
                <w:rFonts w:ascii="Arial" w:eastAsia="Times New Roman" w:hAnsi="Arial" w:cs="Arial"/>
                <w:sz w:val="20"/>
                <w:szCs w:val="20"/>
              </w:rPr>
              <w:t>. SAGE.</w:t>
            </w:r>
          </w:p>
          <w:p w14:paraId="337691C8" w14:textId="2AACA7F3" w:rsidR="000B0704" w:rsidRPr="003A62A2" w:rsidRDefault="000B0704" w:rsidP="00D033EA">
            <w:pPr>
              <w:spacing w:after="280" w:line="240" w:lineRule="auto"/>
              <w:ind w:left="427" w:hanging="429"/>
              <w:rPr>
                <w:rFonts w:ascii="Arial" w:eastAsia="Times New Roman" w:hAnsi="Arial" w:cs="Arial"/>
                <w:sz w:val="20"/>
                <w:szCs w:val="20"/>
              </w:rPr>
            </w:pPr>
            <w:r w:rsidRPr="003A62A2">
              <w:rPr>
                <w:rFonts w:ascii="Arial" w:eastAsia="Times New Roman" w:hAnsi="Arial" w:cs="Arial"/>
                <w:sz w:val="20"/>
                <w:szCs w:val="20"/>
              </w:rPr>
              <w:t>Cheng, H.-Y., Wu, Y.-C., Lin, M.-H., Liu, Y.-L., Tsai, Y.-Y., Wu, J.-H., ... Chuang, J.-H. (2020). Applying machine learning models with an ensemble approach for accurate real</w:t>
            </w:r>
            <w:r w:rsidRPr="003A62A2">
              <w:rPr>
                <w:rFonts w:ascii="Cambria Math" w:eastAsia="Times New Roman" w:hAnsi="Cambria Math" w:cs="Cambria Math"/>
                <w:sz w:val="20"/>
                <w:szCs w:val="20"/>
              </w:rPr>
              <w:t>‑</w:t>
            </w:r>
            <w:r w:rsidRPr="003A62A2">
              <w:rPr>
                <w:rFonts w:ascii="Arial" w:eastAsia="Times New Roman" w:hAnsi="Arial" w:cs="Arial"/>
                <w:sz w:val="20"/>
                <w:szCs w:val="20"/>
              </w:rPr>
              <w:t>time influenza forecasting in Taiwan: Development and validation study. Journal of Medical Internet Research, 22(8), e15394. https://doi.org/10.2196/15394</w:t>
            </w:r>
          </w:p>
          <w:p w14:paraId="02A3BF6B" w14:textId="590D0D31"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Cordero, D. A., Jr. (2024). Initiatives and challenges of dengue incidence in the Philippines. </w:t>
            </w:r>
            <w:r w:rsidRPr="000B0704">
              <w:rPr>
                <w:rFonts w:ascii="Arial" w:eastAsia="Times New Roman" w:hAnsi="Arial" w:cs="Arial"/>
                <w:i/>
                <w:iCs/>
                <w:sz w:val="20"/>
                <w:szCs w:val="20"/>
              </w:rPr>
              <w:t xml:space="preserve">The Journal of </w:t>
            </w:r>
            <w:r w:rsidRPr="00D033EA">
              <w:rPr>
                <w:rFonts w:ascii="Arial" w:eastAsia="Times New Roman" w:hAnsi="Arial" w:cs="Arial"/>
                <w:sz w:val="20"/>
                <w:szCs w:val="20"/>
              </w:rPr>
              <w:t>Infectious</w:t>
            </w:r>
            <w:r w:rsidRPr="000B0704">
              <w:rPr>
                <w:rFonts w:ascii="Arial" w:eastAsia="Times New Roman" w:hAnsi="Arial" w:cs="Arial"/>
                <w:i/>
                <w:iCs/>
                <w:sz w:val="20"/>
                <w:szCs w:val="20"/>
              </w:rPr>
              <w:t xml:space="preserve"> Diseases, 229</w:t>
            </w:r>
            <w:r w:rsidRPr="000B0704">
              <w:rPr>
                <w:rFonts w:ascii="Arial" w:eastAsia="Times New Roman" w:hAnsi="Arial" w:cs="Arial"/>
                <w:sz w:val="20"/>
                <w:szCs w:val="20"/>
              </w:rPr>
              <w:t>(5), 1597–1598. https://doi.org/10.1093/infdis/jiae082</w:t>
            </w:r>
          </w:p>
          <w:p w14:paraId="02A3BF6C"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Department of Health. (2024, July 16). </w:t>
            </w:r>
            <w:r w:rsidRPr="000B0704">
              <w:rPr>
                <w:rFonts w:ascii="Arial" w:eastAsia="Times New Roman" w:hAnsi="Arial" w:cs="Arial"/>
                <w:i/>
                <w:iCs/>
                <w:sz w:val="20"/>
                <w:szCs w:val="20"/>
              </w:rPr>
              <w:t>Dengue rising with rain; mosquitoes to blame</w:t>
            </w:r>
            <w:r w:rsidRPr="000B0704">
              <w:rPr>
                <w:rFonts w:ascii="Arial" w:eastAsia="Times New Roman" w:hAnsi="Arial" w:cs="Arial"/>
                <w:sz w:val="20"/>
                <w:szCs w:val="20"/>
              </w:rPr>
              <w:t>. Government of the Philippines. https://caro.doh.gov.ph/</w:t>
            </w:r>
          </w:p>
          <w:p w14:paraId="02A3BF6D"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Department of Health (DOH). (2024). </w:t>
            </w:r>
            <w:r w:rsidRPr="000B0704">
              <w:rPr>
                <w:rFonts w:ascii="Arial" w:eastAsia="Times New Roman" w:hAnsi="Arial" w:cs="Arial"/>
                <w:i/>
                <w:iCs/>
                <w:sz w:val="20"/>
                <w:szCs w:val="20"/>
              </w:rPr>
              <w:t>Weekly Disease Surveillance Report</w:t>
            </w:r>
            <w:r w:rsidRPr="000B0704">
              <w:rPr>
                <w:rFonts w:ascii="Arial" w:eastAsia="Times New Roman" w:hAnsi="Arial" w:cs="Arial"/>
                <w:sz w:val="20"/>
                <w:szCs w:val="20"/>
              </w:rPr>
              <w:t>. Epidemiology Bureau, Manila, Philippines.</w:t>
            </w:r>
          </w:p>
          <w:p w14:paraId="02A3BF6E"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Department of Health–Center for Health Development Region I. (2024). </w:t>
            </w:r>
            <w:r w:rsidRPr="000B0704">
              <w:rPr>
                <w:rFonts w:ascii="Arial" w:eastAsia="Times New Roman" w:hAnsi="Arial" w:cs="Arial"/>
                <w:i/>
                <w:iCs/>
                <w:sz w:val="20"/>
                <w:szCs w:val="20"/>
              </w:rPr>
              <w:t>Regional Epidemiology and Surveillance Reports</w:t>
            </w:r>
            <w:r w:rsidRPr="000B0704">
              <w:rPr>
                <w:rFonts w:ascii="Arial" w:eastAsia="Times New Roman" w:hAnsi="Arial" w:cs="Arial"/>
                <w:sz w:val="20"/>
                <w:szCs w:val="20"/>
              </w:rPr>
              <w:t>. San Fernando City, La Union.</w:t>
            </w:r>
          </w:p>
          <w:p w14:paraId="02A3BF6F"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Department of Science and Technology–Philippine Council for Health Research and Development. (2025a). </w:t>
            </w:r>
            <w:proofErr w:type="spellStart"/>
            <w:r w:rsidRPr="000B0704">
              <w:rPr>
                <w:rFonts w:ascii="Arial" w:eastAsia="Times New Roman" w:hAnsi="Arial" w:cs="Arial"/>
                <w:i/>
                <w:iCs/>
                <w:sz w:val="20"/>
                <w:szCs w:val="20"/>
              </w:rPr>
              <w:t>HealthPH</w:t>
            </w:r>
            <w:proofErr w:type="spellEnd"/>
            <w:r w:rsidRPr="000B0704">
              <w:rPr>
                <w:rFonts w:ascii="Arial" w:eastAsia="Times New Roman" w:hAnsi="Arial" w:cs="Arial"/>
                <w:i/>
                <w:iCs/>
                <w:sz w:val="20"/>
                <w:szCs w:val="20"/>
              </w:rPr>
              <w:t>: Intelligent disease surveillance for public health using social media</w:t>
            </w:r>
            <w:r w:rsidRPr="000B0704">
              <w:rPr>
                <w:rFonts w:ascii="Arial" w:eastAsia="Times New Roman" w:hAnsi="Arial" w:cs="Arial"/>
                <w:sz w:val="20"/>
                <w:szCs w:val="20"/>
              </w:rPr>
              <w:t>. Retrieved May 11, 2026, from https://www.pchrd.dost.gov.ph/heartnovation/healthph-intelligent-disease-surveillance-for-public-health-using-social-media/</w:t>
            </w:r>
          </w:p>
          <w:p w14:paraId="02A3BF70"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Department of Science and Technology–Philippine Council for Health Research and Development. (2025b). </w:t>
            </w:r>
            <w:r w:rsidRPr="00D033EA">
              <w:rPr>
                <w:rFonts w:ascii="Arial" w:eastAsia="Times New Roman" w:hAnsi="Arial" w:cs="Arial"/>
                <w:sz w:val="20"/>
                <w:szCs w:val="20"/>
              </w:rPr>
              <w:t>ICT for health</w:t>
            </w:r>
            <w:r w:rsidRPr="000B0704">
              <w:rPr>
                <w:rFonts w:ascii="Arial" w:eastAsia="Times New Roman" w:hAnsi="Arial" w:cs="Arial"/>
                <w:sz w:val="20"/>
                <w:szCs w:val="20"/>
              </w:rPr>
              <w:t>. Retrieved May 11, 2026, from https://www.pchrd.dost.gov.ph/ict-for-health/</w:t>
            </w:r>
          </w:p>
          <w:p w14:paraId="02A3BF71"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Du, H., Zhao, Y., Zhao, J., Xu, S., Lin, X., Chen, Y., Gardner, L. M., &amp; Yang, H. F. (2025). Advancing real-time infectious disease forecasting using large language models. </w:t>
            </w:r>
            <w:r w:rsidRPr="00D033EA">
              <w:rPr>
                <w:rFonts w:ascii="Arial" w:eastAsia="Times New Roman" w:hAnsi="Arial" w:cs="Arial"/>
                <w:sz w:val="20"/>
                <w:szCs w:val="20"/>
              </w:rPr>
              <w:t>Nature Computational Science, 5</w:t>
            </w:r>
            <w:r w:rsidRPr="000B0704">
              <w:rPr>
                <w:rFonts w:ascii="Arial" w:eastAsia="Times New Roman" w:hAnsi="Arial" w:cs="Arial"/>
                <w:sz w:val="20"/>
                <w:szCs w:val="20"/>
              </w:rPr>
              <w:t xml:space="preserve">(6), 467–480. </w:t>
            </w:r>
            <w:hyperlink r:id="rId15">
              <w:r w:rsidRPr="00D033EA">
                <w:rPr>
                  <w:rFonts w:ascii="Arial" w:eastAsia="Times New Roman" w:hAnsi="Arial" w:cs="Arial"/>
                  <w:sz w:val="20"/>
                  <w:szCs w:val="20"/>
                </w:rPr>
                <w:t>https://doi.org/10.1038/s43588-025-00798-6</w:t>
              </w:r>
            </w:hyperlink>
          </w:p>
          <w:p w14:paraId="02A3BF72"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Esteva, A., Robicquet, A., Ramsundar, B., Kuleshov, V., DePristo, M., Chou, K., &amp; Dean, J. (2021). A guide to deep learning in healthcare. </w:t>
            </w:r>
            <w:r w:rsidRPr="000B0704">
              <w:rPr>
                <w:rFonts w:ascii="Arial" w:eastAsia="Times New Roman" w:hAnsi="Arial" w:cs="Arial"/>
                <w:i/>
                <w:iCs/>
                <w:sz w:val="20"/>
                <w:szCs w:val="20"/>
              </w:rPr>
              <w:t>Nature Medicine, 27</w:t>
            </w:r>
            <w:r w:rsidRPr="000B0704">
              <w:rPr>
                <w:rFonts w:ascii="Arial" w:eastAsia="Times New Roman" w:hAnsi="Arial" w:cs="Arial"/>
                <w:sz w:val="20"/>
                <w:szCs w:val="20"/>
              </w:rPr>
              <w:t>(1), 24–29.</w:t>
            </w:r>
          </w:p>
          <w:p w14:paraId="02A3BF74" w14:textId="77777777" w:rsidR="001F340B" w:rsidRPr="000B0704" w:rsidRDefault="00A73F00" w:rsidP="00D033EA">
            <w:pPr>
              <w:spacing w:after="280" w:line="240" w:lineRule="auto"/>
              <w:ind w:left="427" w:hanging="429"/>
              <w:rPr>
                <w:rFonts w:ascii="Arial" w:eastAsia="Times New Roman" w:hAnsi="Arial" w:cs="Arial"/>
                <w:sz w:val="20"/>
                <w:szCs w:val="20"/>
              </w:rPr>
            </w:pPr>
            <w:proofErr w:type="spellStart"/>
            <w:r w:rsidRPr="000B0704">
              <w:rPr>
                <w:rFonts w:ascii="Arial" w:eastAsia="Times New Roman" w:hAnsi="Arial" w:cs="Arial"/>
                <w:sz w:val="20"/>
                <w:szCs w:val="20"/>
              </w:rPr>
              <w:t>Getsova</w:t>
            </w:r>
            <w:proofErr w:type="spellEnd"/>
            <w:r w:rsidRPr="000B0704">
              <w:rPr>
                <w:rFonts w:ascii="Arial" w:eastAsia="Times New Roman" w:hAnsi="Arial" w:cs="Arial"/>
                <w:sz w:val="20"/>
                <w:szCs w:val="20"/>
              </w:rPr>
              <w:t xml:space="preserve">, Z., &amp; </w:t>
            </w:r>
            <w:proofErr w:type="spellStart"/>
            <w:r w:rsidRPr="000B0704">
              <w:rPr>
                <w:rFonts w:ascii="Arial" w:eastAsia="Times New Roman" w:hAnsi="Arial" w:cs="Arial"/>
                <w:sz w:val="20"/>
                <w:szCs w:val="20"/>
              </w:rPr>
              <w:t>Rangelova</w:t>
            </w:r>
            <w:proofErr w:type="spellEnd"/>
            <w:r w:rsidRPr="000B0704">
              <w:rPr>
                <w:rFonts w:ascii="Arial" w:eastAsia="Times New Roman" w:hAnsi="Arial" w:cs="Arial"/>
                <w:sz w:val="20"/>
                <w:szCs w:val="20"/>
              </w:rPr>
              <w:t>, V. (2026). Syndromic Surveillance—Review on Different Practices’ Performance and Added Value for Public Health. </w:t>
            </w:r>
            <w:proofErr w:type="spellStart"/>
            <w:r w:rsidRPr="00D033EA">
              <w:rPr>
                <w:rFonts w:ascii="Arial" w:eastAsia="Times New Roman" w:hAnsi="Arial" w:cs="Arial"/>
                <w:sz w:val="20"/>
                <w:szCs w:val="20"/>
              </w:rPr>
              <w:t>Epidemiologia</w:t>
            </w:r>
            <w:proofErr w:type="spellEnd"/>
            <w:r w:rsidRPr="000B0704">
              <w:rPr>
                <w:rFonts w:ascii="Arial" w:eastAsia="Times New Roman" w:hAnsi="Arial" w:cs="Arial"/>
                <w:sz w:val="20"/>
                <w:szCs w:val="20"/>
              </w:rPr>
              <w:t>, </w:t>
            </w:r>
            <w:r w:rsidRPr="00D033EA">
              <w:rPr>
                <w:rFonts w:ascii="Arial" w:eastAsia="Times New Roman" w:hAnsi="Arial" w:cs="Arial"/>
                <w:sz w:val="20"/>
                <w:szCs w:val="20"/>
              </w:rPr>
              <w:t>7</w:t>
            </w:r>
            <w:r w:rsidRPr="000B0704">
              <w:rPr>
                <w:rFonts w:ascii="Arial" w:eastAsia="Times New Roman" w:hAnsi="Arial" w:cs="Arial"/>
                <w:sz w:val="20"/>
                <w:szCs w:val="20"/>
              </w:rPr>
              <w:t>(1), 23.</w:t>
            </w:r>
          </w:p>
          <w:p w14:paraId="02A3BF75"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Guo, C., Zhou, Z., Wen, Z., Liu, Y., Zeng, C., Xiao, D., &amp; Yang, G. (2023). Global epidemiology of dengue outbreaks in the 21st century: A systematic review and meta-analysis. </w:t>
            </w:r>
            <w:r w:rsidRPr="00D033EA">
              <w:rPr>
                <w:rFonts w:ascii="Arial" w:eastAsia="Times New Roman" w:hAnsi="Arial" w:cs="Arial"/>
                <w:sz w:val="20"/>
                <w:szCs w:val="20"/>
              </w:rPr>
              <w:t>Frontiers in Public Health, 11</w:t>
            </w:r>
            <w:r w:rsidRPr="000B0704">
              <w:rPr>
                <w:rFonts w:ascii="Arial" w:eastAsia="Times New Roman" w:hAnsi="Arial" w:cs="Arial"/>
                <w:sz w:val="20"/>
                <w:szCs w:val="20"/>
              </w:rPr>
              <w:t>, 1173456.</w:t>
            </w:r>
          </w:p>
          <w:p w14:paraId="448DB734" w14:textId="0BBA21E8" w:rsidR="00D8289F" w:rsidRDefault="00D8289F"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Hicks, S. A., </w:t>
            </w:r>
            <w:proofErr w:type="spellStart"/>
            <w:r w:rsidRPr="006B2954">
              <w:rPr>
                <w:rFonts w:ascii="Arial" w:eastAsia="Times New Roman" w:hAnsi="Arial" w:cs="Arial"/>
                <w:sz w:val="20"/>
                <w:szCs w:val="20"/>
              </w:rPr>
              <w:t>Strümke</w:t>
            </w:r>
            <w:proofErr w:type="spellEnd"/>
            <w:r w:rsidRPr="006B2954">
              <w:rPr>
                <w:rFonts w:ascii="Arial" w:eastAsia="Times New Roman" w:hAnsi="Arial" w:cs="Arial"/>
                <w:sz w:val="20"/>
                <w:szCs w:val="20"/>
              </w:rPr>
              <w:t xml:space="preserve">, I., </w:t>
            </w:r>
            <w:proofErr w:type="spellStart"/>
            <w:r w:rsidRPr="006B2954">
              <w:rPr>
                <w:rFonts w:ascii="Arial" w:eastAsia="Times New Roman" w:hAnsi="Arial" w:cs="Arial"/>
                <w:sz w:val="20"/>
                <w:szCs w:val="20"/>
              </w:rPr>
              <w:t>Thambawita</w:t>
            </w:r>
            <w:proofErr w:type="spellEnd"/>
            <w:r w:rsidRPr="006B2954">
              <w:rPr>
                <w:rFonts w:ascii="Arial" w:eastAsia="Times New Roman" w:hAnsi="Arial" w:cs="Arial"/>
                <w:sz w:val="20"/>
                <w:szCs w:val="20"/>
              </w:rPr>
              <w:t xml:space="preserve">, V., Hammou, M., Riegler, M. A., Halvorsen, P., &amp; Parasa, S. (2022). On evaluation metrics for medical applications of artificial intelligence. </w:t>
            </w:r>
            <w:r w:rsidRPr="006B2954">
              <w:rPr>
                <w:rFonts w:ascii="Arial" w:eastAsia="Times New Roman" w:hAnsi="Arial" w:cs="Arial"/>
                <w:i/>
                <w:iCs/>
                <w:sz w:val="20"/>
                <w:szCs w:val="20"/>
              </w:rPr>
              <w:t>Scientific Reports, 12</w:t>
            </w:r>
            <w:r w:rsidRPr="006B2954">
              <w:rPr>
                <w:rFonts w:ascii="Arial" w:eastAsia="Times New Roman" w:hAnsi="Arial" w:cs="Arial"/>
                <w:sz w:val="20"/>
                <w:szCs w:val="20"/>
              </w:rPr>
              <w:t>, Article 5979.</w:t>
            </w:r>
            <w:hyperlink r:id="rId16">
              <w:r w:rsidRPr="006B2954">
                <w:rPr>
                  <w:rFonts w:ascii="Arial" w:eastAsia="Times New Roman" w:hAnsi="Arial" w:cs="Arial"/>
                  <w:sz w:val="20"/>
                  <w:szCs w:val="20"/>
                </w:rPr>
                <w:t xml:space="preserve"> </w:t>
              </w:r>
            </w:hyperlink>
            <w:hyperlink r:id="rId17">
              <w:r w:rsidRPr="006B2954">
                <w:rPr>
                  <w:rFonts w:ascii="Arial" w:eastAsia="Times New Roman" w:hAnsi="Arial" w:cs="Arial"/>
                  <w:sz w:val="20"/>
                  <w:szCs w:val="20"/>
                  <w:u w:val="single"/>
                </w:rPr>
                <w:t>https://doi.org/10.1038/s41598-022-09954-8</w:t>
              </w:r>
            </w:hyperlink>
          </w:p>
          <w:p w14:paraId="02A3BF76" w14:textId="21C603D5"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lastRenderedPageBreak/>
              <w:t xml:space="preserve">Honeyman, D., </w:t>
            </w:r>
            <w:proofErr w:type="spellStart"/>
            <w:r w:rsidRPr="000B0704">
              <w:rPr>
                <w:rFonts w:ascii="Arial" w:eastAsia="Times New Roman" w:hAnsi="Arial" w:cs="Arial"/>
                <w:sz w:val="20"/>
                <w:szCs w:val="20"/>
              </w:rPr>
              <w:t>Gurdasani</w:t>
            </w:r>
            <w:proofErr w:type="spellEnd"/>
            <w:r w:rsidRPr="000B0704">
              <w:rPr>
                <w:rFonts w:ascii="Arial" w:eastAsia="Times New Roman" w:hAnsi="Arial" w:cs="Arial"/>
                <w:sz w:val="20"/>
                <w:szCs w:val="20"/>
              </w:rPr>
              <w:t xml:space="preserve">, D., </w:t>
            </w:r>
            <w:proofErr w:type="spellStart"/>
            <w:r w:rsidRPr="000B0704">
              <w:rPr>
                <w:rFonts w:ascii="Arial" w:eastAsia="Times New Roman" w:hAnsi="Arial" w:cs="Arial"/>
                <w:sz w:val="20"/>
                <w:szCs w:val="20"/>
              </w:rPr>
              <w:t>Notaras</w:t>
            </w:r>
            <w:proofErr w:type="spellEnd"/>
            <w:r w:rsidRPr="000B0704">
              <w:rPr>
                <w:rFonts w:ascii="Arial" w:eastAsia="Times New Roman" w:hAnsi="Arial" w:cs="Arial"/>
                <w:sz w:val="20"/>
                <w:szCs w:val="20"/>
              </w:rPr>
              <w:t>, A., Akhtar, Z., Edgeworth, J., Moa, A., ... &amp; MacIntyre, C. R. (2025). Global epidemiology of outbreaks of unknown cause identified by open-source intelligence, 2020–2022. </w:t>
            </w:r>
            <w:r w:rsidRPr="00D033EA">
              <w:rPr>
                <w:rFonts w:ascii="Arial" w:eastAsia="Times New Roman" w:hAnsi="Arial" w:cs="Arial"/>
                <w:sz w:val="20"/>
                <w:szCs w:val="20"/>
              </w:rPr>
              <w:t>Emerging Infectious Diseases</w:t>
            </w:r>
            <w:r w:rsidRPr="000B0704">
              <w:rPr>
                <w:rFonts w:ascii="Arial" w:eastAsia="Times New Roman" w:hAnsi="Arial" w:cs="Arial"/>
                <w:sz w:val="20"/>
                <w:szCs w:val="20"/>
              </w:rPr>
              <w:t>, </w:t>
            </w:r>
            <w:r w:rsidRPr="00D033EA">
              <w:rPr>
                <w:rFonts w:ascii="Arial" w:eastAsia="Times New Roman" w:hAnsi="Arial" w:cs="Arial"/>
                <w:sz w:val="20"/>
                <w:szCs w:val="20"/>
              </w:rPr>
              <w:t>31</w:t>
            </w:r>
            <w:r w:rsidRPr="000B0704">
              <w:rPr>
                <w:rFonts w:ascii="Arial" w:eastAsia="Times New Roman" w:hAnsi="Arial" w:cs="Arial"/>
                <w:sz w:val="20"/>
                <w:szCs w:val="20"/>
              </w:rPr>
              <w:t>(2), 298.</w:t>
            </w:r>
          </w:p>
          <w:p w14:paraId="5BB7EDED" w14:textId="3A2F7E81" w:rsidR="007D3FCF" w:rsidRDefault="007D3FCF"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Hosmer, D. W., </w:t>
            </w:r>
            <w:proofErr w:type="spellStart"/>
            <w:r w:rsidRPr="006B2954">
              <w:rPr>
                <w:rFonts w:ascii="Arial" w:eastAsia="Times New Roman" w:hAnsi="Arial" w:cs="Arial"/>
                <w:sz w:val="20"/>
                <w:szCs w:val="20"/>
              </w:rPr>
              <w:t>Lemeshow</w:t>
            </w:r>
            <w:proofErr w:type="spellEnd"/>
            <w:r w:rsidRPr="006B2954">
              <w:rPr>
                <w:rFonts w:ascii="Arial" w:eastAsia="Times New Roman" w:hAnsi="Arial" w:cs="Arial"/>
                <w:sz w:val="20"/>
                <w:szCs w:val="20"/>
              </w:rPr>
              <w:t>, S., &amp; Sturdivant, R. X. (2020). Applied logistic regression (3rd ed.). Wiley. (Recent reprints / editions and use in epidemiology).</w:t>
            </w:r>
          </w:p>
          <w:p w14:paraId="7D67844A" w14:textId="074B18F3" w:rsidR="003A62A2" w:rsidRDefault="003A62A2"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Hyndman, R. J., &amp; Athanasopoulos, G. (2021). </w:t>
            </w:r>
            <w:r w:rsidRPr="00D033EA">
              <w:rPr>
                <w:rFonts w:ascii="Arial" w:eastAsia="Times New Roman" w:hAnsi="Arial" w:cs="Arial"/>
                <w:sz w:val="20"/>
                <w:szCs w:val="20"/>
              </w:rPr>
              <w:t xml:space="preserve">Forecasting: principles and practice </w:t>
            </w:r>
            <w:r w:rsidRPr="006B2954">
              <w:rPr>
                <w:rFonts w:ascii="Arial" w:eastAsia="Times New Roman" w:hAnsi="Arial" w:cs="Arial"/>
                <w:sz w:val="20"/>
                <w:szCs w:val="20"/>
              </w:rPr>
              <w:t xml:space="preserve">(3rd ed. online). </w:t>
            </w:r>
            <w:proofErr w:type="spellStart"/>
            <w:r w:rsidRPr="006B2954">
              <w:rPr>
                <w:rFonts w:ascii="Arial" w:eastAsia="Times New Roman" w:hAnsi="Arial" w:cs="Arial"/>
                <w:sz w:val="20"/>
                <w:szCs w:val="20"/>
              </w:rPr>
              <w:t>OTexts</w:t>
            </w:r>
            <w:proofErr w:type="spellEnd"/>
            <w:r w:rsidRPr="006B2954">
              <w:rPr>
                <w:rFonts w:ascii="Arial" w:eastAsia="Times New Roman" w:hAnsi="Arial" w:cs="Arial"/>
                <w:sz w:val="20"/>
                <w:szCs w:val="20"/>
              </w:rPr>
              <w:t>. https://otexts.com/fpp3/</w:t>
            </w:r>
          </w:p>
          <w:p w14:paraId="10C02C14" w14:textId="0952D62B" w:rsidR="00330372" w:rsidRPr="00D033EA" w:rsidRDefault="00330372"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Hyzy, M., Bond, R., Mulvenna, M., Bai, L., Dix, A., Leigh, S., Hunt, S., &amp; Burns, W. (2022). System Usability Scale benchmarking for digital health apps: Meta-analysis. </w:t>
            </w:r>
            <w:r w:rsidRPr="00D033EA">
              <w:rPr>
                <w:rFonts w:ascii="Arial" w:eastAsia="Times New Roman" w:hAnsi="Arial" w:cs="Arial"/>
                <w:sz w:val="20"/>
                <w:szCs w:val="20"/>
              </w:rPr>
              <w:t xml:space="preserve">JMIR mHealth and </w:t>
            </w:r>
            <w:proofErr w:type="spellStart"/>
            <w:r w:rsidRPr="00D033EA">
              <w:rPr>
                <w:rFonts w:ascii="Arial" w:eastAsia="Times New Roman" w:hAnsi="Arial" w:cs="Arial"/>
                <w:sz w:val="20"/>
                <w:szCs w:val="20"/>
              </w:rPr>
              <w:t>uHealth</w:t>
            </w:r>
            <w:proofErr w:type="spellEnd"/>
            <w:r w:rsidRPr="00D033EA">
              <w:rPr>
                <w:rFonts w:ascii="Arial" w:eastAsia="Times New Roman" w:hAnsi="Arial" w:cs="Arial"/>
                <w:sz w:val="20"/>
                <w:szCs w:val="20"/>
              </w:rPr>
              <w:t>, 10</w:t>
            </w:r>
            <w:r w:rsidRPr="006B2954">
              <w:rPr>
                <w:rFonts w:ascii="Arial" w:eastAsia="Times New Roman" w:hAnsi="Arial" w:cs="Arial"/>
                <w:sz w:val="20"/>
                <w:szCs w:val="20"/>
              </w:rPr>
              <w:t>(8), Article e37290.</w:t>
            </w:r>
            <w:hyperlink r:id="rId18">
              <w:r w:rsidRPr="006B2954">
                <w:rPr>
                  <w:rFonts w:ascii="Arial" w:eastAsia="Times New Roman" w:hAnsi="Arial" w:cs="Arial"/>
                  <w:sz w:val="20"/>
                  <w:szCs w:val="20"/>
                </w:rPr>
                <w:t xml:space="preserve"> </w:t>
              </w:r>
            </w:hyperlink>
            <w:hyperlink r:id="rId19">
              <w:r w:rsidRPr="00D033EA">
                <w:rPr>
                  <w:rFonts w:ascii="Arial" w:eastAsia="Times New Roman" w:hAnsi="Arial" w:cs="Arial"/>
                  <w:sz w:val="20"/>
                  <w:szCs w:val="20"/>
                </w:rPr>
                <w:t>https://doi.org/10.2196/37290</w:t>
              </w:r>
            </w:hyperlink>
          </w:p>
          <w:p w14:paraId="2EDA6EC8" w14:textId="0CD8C01B" w:rsidR="00330372" w:rsidRDefault="00330372"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International Organization for Standardization. (2023). </w:t>
            </w:r>
            <w:r w:rsidRPr="00D033EA">
              <w:rPr>
                <w:rFonts w:ascii="Arial" w:eastAsia="Times New Roman" w:hAnsi="Arial" w:cs="Arial"/>
                <w:sz w:val="20"/>
                <w:szCs w:val="20"/>
              </w:rPr>
              <w:t>ISO/IEC 25010:2023 Systems and software engineering—Systems and software Quality Requirements and Evaluation (</w:t>
            </w:r>
            <w:proofErr w:type="spellStart"/>
            <w:r w:rsidRPr="00D033EA">
              <w:rPr>
                <w:rFonts w:ascii="Arial" w:eastAsia="Times New Roman" w:hAnsi="Arial" w:cs="Arial"/>
                <w:sz w:val="20"/>
                <w:szCs w:val="20"/>
              </w:rPr>
              <w:t>SQuaRE</w:t>
            </w:r>
            <w:proofErr w:type="spellEnd"/>
            <w:r w:rsidRPr="00D033EA">
              <w:rPr>
                <w:rFonts w:ascii="Arial" w:eastAsia="Times New Roman" w:hAnsi="Arial" w:cs="Arial"/>
                <w:sz w:val="20"/>
                <w:szCs w:val="20"/>
              </w:rPr>
              <w:t>)—Product quality model</w:t>
            </w:r>
            <w:r w:rsidRPr="006B2954">
              <w:rPr>
                <w:rFonts w:ascii="Arial" w:eastAsia="Times New Roman" w:hAnsi="Arial" w:cs="Arial"/>
                <w:sz w:val="20"/>
                <w:szCs w:val="20"/>
              </w:rPr>
              <w:t>. ISO.</w:t>
            </w:r>
          </w:p>
          <w:p w14:paraId="02A3BF79" w14:textId="6EA9E43A" w:rsidR="001F340B" w:rsidRPr="000B0704" w:rsidRDefault="00A73F00" w:rsidP="000D5C78">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Jeyaraj, A. (2020). </w:t>
            </w:r>
            <w:proofErr w:type="spellStart"/>
            <w:r w:rsidRPr="000B0704">
              <w:rPr>
                <w:rFonts w:ascii="Arial" w:eastAsia="Times New Roman" w:hAnsi="Arial" w:cs="Arial"/>
                <w:sz w:val="20"/>
                <w:szCs w:val="20"/>
              </w:rPr>
              <w:t>DeLone</w:t>
            </w:r>
            <w:proofErr w:type="spellEnd"/>
            <w:r w:rsidRPr="000B0704">
              <w:rPr>
                <w:rFonts w:ascii="Arial" w:eastAsia="Times New Roman" w:hAnsi="Arial" w:cs="Arial"/>
                <w:sz w:val="20"/>
                <w:szCs w:val="20"/>
              </w:rPr>
              <w:t xml:space="preserve"> &amp; McLean models of information system success: Critical meta-review and research directions. </w:t>
            </w:r>
            <w:r w:rsidRPr="00D033EA">
              <w:rPr>
                <w:rFonts w:ascii="Arial" w:eastAsia="Times New Roman" w:hAnsi="Arial" w:cs="Arial"/>
                <w:sz w:val="20"/>
                <w:szCs w:val="20"/>
              </w:rPr>
              <w:t>International Journal of Information Management, 54</w:t>
            </w:r>
            <w:r w:rsidRPr="000B0704">
              <w:rPr>
                <w:rFonts w:ascii="Arial" w:eastAsia="Times New Roman" w:hAnsi="Arial" w:cs="Arial"/>
                <w:sz w:val="20"/>
                <w:szCs w:val="20"/>
              </w:rPr>
              <w:t>, 102139. https://doi.org/10.1016/j.ijinfomgt.2020.102139</w:t>
            </w:r>
            <w:r w:rsidR="000D5C78" w:rsidRPr="000B0704">
              <w:rPr>
                <w:rFonts w:ascii="Arial" w:eastAsia="Times New Roman" w:hAnsi="Arial" w:cs="Arial"/>
                <w:sz w:val="20"/>
                <w:szCs w:val="20"/>
              </w:rPr>
              <w:t xml:space="preserve"> </w:t>
            </w:r>
          </w:p>
          <w:p w14:paraId="02A3BF7A"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Lowe, R., Lee, S. A., O’Reilly, K. M., Brady, O. J., Bastos, L., Carrasco-Escobar, G., &amp; Barcellos, C. (2021). Combined effects of hydrometeorological hazards and </w:t>
            </w:r>
            <w:proofErr w:type="spellStart"/>
            <w:r w:rsidRPr="000B0704">
              <w:rPr>
                <w:rFonts w:ascii="Arial" w:eastAsia="Times New Roman" w:hAnsi="Arial" w:cs="Arial"/>
                <w:sz w:val="20"/>
                <w:szCs w:val="20"/>
              </w:rPr>
              <w:t>urbanisation</w:t>
            </w:r>
            <w:proofErr w:type="spellEnd"/>
            <w:r w:rsidRPr="000B0704">
              <w:rPr>
                <w:rFonts w:ascii="Arial" w:eastAsia="Times New Roman" w:hAnsi="Arial" w:cs="Arial"/>
                <w:sz w:val="20"/>
                <w:szCs w:val="20"/>
              </w:rPr>
              <w:t xml:space="preserve"> on dengue risk in Brazil: A spatiotemporal modelling study. </w:t>
            </w:r>
            <w:r w:rsidRPr="00D033EA">
              <w:rPr>
                <w:rFonts w:ascii="Arial" w:eastAsia="Times New Roman" w:hAnsi="Arial" w:cs="Arial"/>
                <w:sz w:val="20"/>
                <w:szCs w:val="20"/>
              </w:rPr>
              <w:t>The Lancet Planetary Health, 5</w:t>
            </w:r>
            <w:r w:rsidRPr="000B0704">
              <w:rPr>
                <w:rFonts w:ascii="Arial" w:eastAsia="Times New Roman" w:hAnsi="Arial" w:cs="Arial"/>
                <w:sz w:val="20"/>
                <w:szCs w:val="20"/>
              </w:rPr>
              <w:t>(4), e209–e219.</w:t>
            </w:r>
          </w:p>
          <w:p w14:paraId="02A3BF7B"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Mahmood, S., Hasan, K., Colder Carras, M., &amp; </w:t>
            </w:r>
            <w:proofErr w:type="spellStart"/>
            <w:r w:rsidRPr="000B0704">
              <w:rPr>
                <w:rFonts w:ascii="Arial" w:eastAsia="Times New Roman" w:hAnsi="Arial" w:cs="Arial"/>
                <w:sz w:val="20"/>
                <w:szCs w:val="20"/>
              </w:rPr>
              <w:t>Labrique</w:t>
            </w:r>
            <w:proofErr w:type="spellEnd"/>
            <w:r w:rsidRPr="000B0704">
              <w:rPr>
                <w:rFonts w:ascii="Arial" w:eastAsia="Times New Roman" w:hAnsi="Arial" w:cs="Arial"/>
                <w:sz w:val="20"/>
                <w:szCs w:val="20"/>
              </w:rPr>
              <w:t xml:space="preserve">, A. (2024). Artificial intelligence and public health surveillance: Opportunities, challenges, and future directions. </w:t>
            </w:r>
            <w:r w:rsidRPr="00D033EA">
              <w:rPr>
                <w:rFonts w:ascii="Arial" w:eastAsia="Times New Roman" w:hAnsi="Arial" w:cs="Arial"/>
                <w:sz w:val="20"/>
                <w:szCs w:val="20"/>
              </w:rPr>
              <w:t>Frontiers in Digital Health, 6</w:t>
            </w:r>
            <w:r w:rsidRPr="000B0704">
              <w:rPr>
                <w:rFonts w:ascii="Arial" w:eastAsia="Times New Roman" w:hAnsi="Arial" w:cs="Arial"/>
                <w:sz w:val="20"/>
                <w:szCs w:val="20"/>
              </w:rPr>
              <w:t>, 1342210.</w:t>
            </w:r>
          </w:p>
          <w:p w14:paraId="02A3BF7C"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Ng, V., Rees, E. E., Niu, J., </w:t>
            </w:r>
            <w:proofErr w:type="spellStart"/>
            <w:r w:rsidRPr="000B0704">
              <w:rPr>
                <w:rFonts w:ascii="Arial" w:eastAsia="Times New Roman" w:hAnsi="Arial" w:cs="Arial"/>
                <w:sz w:val="20"/>
                <w:szCs w:val="20"/>
              </w:rPr>
              <w:t>Zaghlool</w:t>
            </w:r>
            <w:proofErr w:type="spellEnd"/>
            <w:r w:rsidRPr="000B0704">
              <w:rPr>
                <w:rFonts w:ascii="Arial" w:eastAsia="Times New Roman" w:hAnsi="Arial" w:cs="Arial"/>
                <w:sz w:val="20"/>
                <w:szCs w:val="20"/>
              </w:rPr>
              <w:t xml:space="preserve">, A., Ghiasbeglou, H., &amp; Verster, A. (2020). Application of natural language processing algorithms for extracting information from news articles in event-based surveillance. </w:t>
            </w:r>
            <w:r w:rsidRPr="00D033EA">
              <w:rPr>
                <w:rFonts w:ascii="Arial" w:eastAsia="Times New Roman" w:hAnsi="Arial" w:cs="Arial"/>
                <w:sz w:val="20"/>
                <w:szCs w:val="20"/>
              </w:rPr>
              <w:t>Online Journal of Public Health Informatics, 12</w:t>
            </w:r>
            <w:r w:rsidRPr="000B0704">
              <w:rPr>
                <w:rFonts w:ascii="Arial" w:eastAsia="Times New Roman" w:hAnsi="Arial" w:cs="Arial"/>
                <w:sz w:val="20"/>
                <w:szCs w:val="20"/>
              </w:rPr>
              <w:t xml:space="preserve">(1), Article e9. </w:t>
            </w:r>
            <w:hyperlink r:id="rId20">
              <w:r w:rsidRPr="00D033EA">
                <w:rPr>
                  <w:rFonts w:ascii="Arial" w:eastAsia="Times New Roman" w:hAnsi="Arial" w:cs="Arial"/>
                  <w:sz w:val="20"/>
                  <w:szCs w:val="20"/>
                </w:rPr>
                <w:t>https://doi.org/10.5210/ojphi.v12i1.10601</w:t>
              </w:r>
            </w:hyperlink>
          </w:p>
          <w:p w14:paraId="73206584" w14:textId="77777777" w:rsidR="00444453" w:rsidRPr="006B2954" w:rsidRDefault="00444453"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Nguyen, V. H., Tran, T. H., Nguyen, H. H., &amp; Pham, Q. T. (2022). Deep learning models for forecasting dengue fever based on meteorological factors and surveillance data. </w:t>
            </w:r>
            <w:r w:rsidRPr="00444453">
              <w:rPr>
                <w:rFonts w:ascii="Arial" w:eastAsia="Times New Roman" w:hAnsi="Arial" w:cs="Arial"/>
                <w:i/>
                <w:iCs/>
                <w:sz w:val="20"/>
                <w:szCs w:val="20"/>
              </w:rPr>
              <w:t>Scientific Reports</w:t>
            </w:r>
            <w:r w:rsidRPr="006B2954">
              <w:rPr>
                <w:rFonts w:ascii="Arial" w:eastAsia="Times New Roman" w:hAnsi="Arial" w:cs="Arial"/>
                <w:sz w:val="20"/>
                <w:szCs w:val="20"/>
              </w:rPr>
              <w:t>, 12, 9234. https://doi.org/10.1038/s41598-022-12012-3</w:t>
            </w:r>
          </w:p>
          <w:p w14:paraId="6C0D9F4F" w14:textId="61A58632" w:rsidR="00444453" w:rsidRDefault="00444453"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Olson, R. S., La Cava, W., Orzechowski, P., Urbanowicz, R. J., &amp; Moore, J. H. (2021). Data</w:t>
            </w:r>
            <w:r w:rsidRPr="006B2954">
              <w:rPr>
                <w:rFonts w:ascii="Cambria Math" w:eastAsia="Times New Roman" w:hAnsi="Cambria Math" w:cs="Cambria Math"/>
                <w:sz w:val="20"/>
                <w:szCs w:val="20"/>
              </w:rPr>
              <w:t>‑</w:t>
            </w:r>
            <w:r w:rsidRPr="006B2954">
              <w:rPr>
                <w:rFonts w:ascii="Arial" w:eastAsia="Times New Roman" w:hAnsi="Arial" w:cs="Arial"/>
                <w:sz w:val="20"/>
                <w:szCs w:val="20"/>
              </w:rPr>
              <w:t xml:space="preserve">driven advice for applying machine learning to bioinformatics problems. Briefings in </w:t>
            </w:r>
            <w:r w:rsidRPr="00D033EA">
              <w:rPr>
                <w:rFonts w:ascii="Arial" w:eastAsia="Times New Roman" w:hAnsi="Arial" w:cs="Arial"/>
                <w:sz w:val="20"/>
                <w:szCs w:val="20"/>
              </w:rPr>
              <w:t>Bioinformatics</w:t>
            </w:r>
            <w:r w:rsidRPr="006B2954">
              <w:rPr>
                <w:rFonts w:ascii="Arial" w:eastAsia="Times New Roman" w:hAnsi="Arial" w:cs="Arial"/>
                <w:sz w:val="20"/>
                <w:szCs w:val="20"/>
              </w:rPr>
              <w:t xml:space="preserve">, </w:t>
            </w:r>
            <w:r w:rsidRPr="00D033EA">
              <w:rPr>
                <w:rFonts w:ascii="Arial" w:eastAsia="Times New Roman" w:hAnsi="Arial" w:cs="Arial"/>
                <w:sz w:val="20"/>
                <w:szCs w:val="20"/>
              </w:rPr>
              <w:t>22</w:t>
            </w:r>
            <w:r w:rsidRPr="006B2954">
              <w:rPr>
                <w:rFonts w:ascii="Arial" w:eastAsia="Times New Roman" w:hAnsi="Arial" w:cs="Arial"/>
                <w:sz w:val="20"/>
                <w:szCs w:val="20"/>
              </w:rPr>
              <w:t>(2), 1487–1502. https://doi.org/10.1093/bib/bbaa175</w:t>
            </w:r>
          </w:p>
          <w:p w14:paraId="02A3BF7D" w14:textId="5354820A" w:rsidR="001F340B" w:rsidRPr="000B0704" w:rsidRDefault="00A73F00" w:rsidP="00D033EA">
            <w:pPr>
              <w:spacing w:after="280" w:line="240" w:lineRule="auto"/>
              <w:ind w:left="427" w:hanging="429"/>
              <w:rPr>
                <w:rFonts w:ascii="Arial" w:eastAsia="Times New Roman" w:hAnsi="Arial" w:cs="Arial"/>
                <w:sz w:val="20"/>
                <w:szCs w:val="20"/>
              </w:rPr>
            </w:pPr>
            <w:proofErr w:type="spellStart"/>
            <w:r w:rsidRPr="000B0704">
              <w:rPr>
                <w:rFonts w:ascii="Arial" w:eastAsia="Times New Roman" w:hAnsi="Arial" w:cs="Arial"/>
                <w:sz w:val="20"/>
                <w:szCs w:val="20"/>
              </w:rPr>
              <w:t>Otomaru</w:t>
            </w:r>
            <w:proofErr w:type="spellEnd"/>
            <w:r w:rsidRPr="000B0704">
              <w:rPr>
                <w:rFonts w:ascii="Arial" w:eastAsia="Times New Roman" w:hAnsi="Arial" w:cs="Arial"/>
                <w:sz w:val="20"/>
                <w:szCs w:val="20"/>
              </w:rPr>
              <w:t xml:space="preserve">, H., </w:t>
            </w:r>
            <w:proofErr w:type="spellStart"/>
            <w:r w:rsidRPr="000B0704">
              <w:rPr>
                <w:rFonts w:ascii="Arial" w:eastAsia="Times New Roman" w:hAnsi="Arial" w:cs="Arial"/>
                <w:sz w:val="20"/>
                <w:szCs w:val="20"/>
              </w:rPr>
              <w:t>Kamigaki</w:t>
            </w:r>
            <w:proofErr w:type="spellEnd"/>
            <w:r w:rsidRPr="000B0704">
              <w:rPr>
                <w:rFonts w:ascii="Arial" w:eastAsia="Times New Roman" w:hAnsi="Arial" w:cs="Arial"/>
                <w:sz w:val="20"/>
                <w:szCs w:val="20"/>
              </w:rPr>
              <w:t xml:space="preserve">, T., Tamaki, R., Opinion, J., Santo, A., Daya, E., Okamoto, M., Tallo, V. L., </w:t>
            </w:r>
            <w:proofErr w:type="spellStart"/>
            <w:r w:rsidRPr="000B0704">
              <w:rPr>
                <w:rFonts w:ascii="Arial" w:eastAsia="Times New Roman" w:hAnsi="Arial" w:cs="Arial"/>
                <w:sz w:val="20"/>
                <w:szCs w:val="20"/>
              </w:rPr>
              <w:t>Lupisan</w:t>
            </w:r>
            <w:proofErr w:type="spellEnd"/>
            <w:r w:rsidRPr="000B0704">
              <w:rPr>
                <w:rFonts w:ascii="Arial" w:eastAsia="Times New Roman" w:hAnsi="Arial" w:cs="Arial"/>
                <w:sz w:val="20"/>
                <w:szCs w:val="20"/>
              </w:rPr>
              <w:t xml:space="preserve">, S. P., </w:t>
            </w:r>
            <w:proofErr w:type="spellStart"/>
            <w:r w:rsidRPr="000B0704">
              <w:rPr>
                <w:rFonts w:ascii="Arial" w:eastAsia="Times New Roman" w:hAnsi="Arial" w:cs="Arial"/>
                <w:sz w:val="20"/>
                <w:szCs w:val="20"/>
              </w:rPr>
              <w:t>Oshitani</w:t>
            </w:r>
            <w:proofErr w:type="spellEnd"/>
            <w:r w:rsidRPr="000B0704">
              <w:rPr>
                <w:rFonts w:ascii="Arial" w:eastAsia="Times New Roman" w:hAnsi="Arial" w:cs="Arial"/>
                <w:sz w:val="20"/>
                <w:szCs w:val="20"/>
              </w:rPr>
              <w:t xml:space="preserve">, H., &amp; Suzuki, A. (2015). Influenza and other respiratory viruses detected by influenza-like illness surveillance in Leyte Island, the Philippines, 2010–2013. </w:t>
            </w:r>
            <w:r w:rsidRPr="00D033EA">
              <w:rPr>
                <w:rFonts w:ascii="Arial" w:eastAsia="Times New Roman" w:hAnsi="Arial" w:cs="Arial"/>
                <w:sz w:val="20"/>
                <w:szCs w:val="20"/>
              </w:rPr>
              <w:t>PLOS ONE, 10</w:t>
            </w:r>
            <w:r w:rsidRPr="000B0704">
              <w:rPr>
                <w:rFonts w:ascii="Arial" w:eastAsia="Times New Roman" w:hAnsi="Arial" w:cs="Arial"/>
                <w:sz w:val="20"/>
                <w:szCs w:val="20"/>
              </w:rPr>
              <w:t xml:space="preserve">(4), Article e0123755. </w:t>
            </w:r>
            <w:hyperlink r:id="rId21">
              <w:r w:rsidRPr="00D033EA">
                <w:rPr>
                  <w:rFonts w:ascii="Arial" w:eastAsia="Times New Roman" w:hAnsi="Arial" w:cs="Arial"/>
                  <w:sz w:val="20"/>
                  <w:szCs w:val="20"/>
                </w:rPr>
                <w:t>https://doi.org/10.1371/journal.pone.0123755</w:t>
              </w:r>
            </w:hyperlink>
          </w:p>
          <w:p w14:paraId="02A3BF7E"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Paireau, J., Andronico, A., </w:t>
            </w:r>
            <w:proofErr w:type="spellStart"/>
            <w:r w:rsidRPr="000B0704">
              <w:rPr>
                <w:rFonts w:ascii="Arial" w:eastAsia="Times New Roman" w:hAnsi="Arial" w:cs="Arial"/>
                <w:sz w:val="20"/>
                <w:szCs w:val="20"/>
              </w:rPr>
              <w:t>Hozé</w:t>
            </w:r>
            <w:proofErr w:type="spellEnd"/>
            <w:r w:rsidRPr="000B0704">
              <w:rPr>
                <w:rFonts w:ascii="Arial" w:eastAsia="Times New Roman" w:hAnsi="Arial" w:cs="Arial"/>
                <w:sz w:val="20"/>
                <w:szCs w:val="20"/>
              </w:rPr>
              <w:t xml:space="preserve">, N., Layan, M., &amp; </w:t>
            </w:r>
            <w:proofErr w:type="spellStart"/>
            <w:r w:rsidRPr="000B0704">
              <w:rPr>
                <w:rFonts w:ascii="Arial" w:eastAsia="Times New Roman" w:hAnsi="Arial" w:cs="Arial"/>
                <w:sz w:val="20"/>
                <w:szCs w:val="20"/>
              </w:rPr>
              <w:t>Cauchemez</w:t>
            </w:r>
            <w:proofErr w:type="spellEnd"/>
            <w:r w:rsidRPr="000B0704">
              <w:rPr>
                <w:rFonts w:ascii="Arial" w:eastAsia="Times New Roman" w:hAnsi="Arial" w:cs="Arial"/>
                <w:sz w:val="20"/>
                <w:szCs w:val="20"/>
              </w:rPr>
              <w:t xml:space="preserve">, S. (2022). Digital epidemiology and surveillance systems for influenza and emerging respiratory infections. </w:t>
            </w:r>
            <w:r w:rsidRPr="00D033EA">
              <w:rPr>
                <w:rFonts w:ascii="Arial" w:eastAsia="Times New Roman" w:hAnsi="Arial" w:cs="Arial"/>
                <w:sz w:val="20"/>
                <w:szCs w:val="20"/>
              </w:rPr>
              <w:t>Eurosurveillance, 27</w:t>
            </w:r>
            <w:r w:rsidRPr="000B0704">
              <w:rPr>
                <w:rFonts w:ascii="Arial" w:eastAsia="Times New Roman" w:hAnsi="Arial" w:cs="Arial"/>
                <w:sz w:val="20"/>
                <w:szCs w:val="20"/>
              </w:rPr>
              <w:t>(45), 2200043.</w:t>
            </w:r>
          </w:p>
          <w:p w14:paraId="02A3BF7F"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Polonsky, J. A., Baidjoe, A., Kamvar, Z. N., Cori, A., Durski, K., Edmunds, W. J., Eggo, R. M., Funk, S., Kaiser, L., Keating, P., Le </w:t>
            </w:r>
            <w:proofErr w:type="spellStart"/>
            <w:r w:rsidRPr="000B0704">
              <w:rPr>
                <w:rFonts w:ascii="Arial" w:eastAsia="Times New Roman" w:hAnsi="Arial" w:cs="Arial"/>
                <w:sz w:val="20"/>
                <w:szCs w:val="20"/>
              </w:rPr>
              <w:t>Polain</w:t>
            </w:r>
            <w:proofErr w:type="spellEnd"/>
            <w:r w:rsidRPr="000B0704">
              <w:rPr>
                <w:rFonts w:ascii="Arial" w:eastAsia="Times New Roman" w:hAnsi="Arial" w:cs="Arial"/>
                <w:sz w:val="20"/>
                <w:szCs w:val="20"/>
              </w:rPr>
              <w:t xml:space="preserve"> de </w:t>
            </w:r>
            <w:proofErr w:type="spellStart"/>
            <w:r w:rsidRPr="000B0704">
              <w:rPr>
                <w:rFonts w:ascii="Arial" w:eastAsia="Times New Roman" w:hAnsi="Arial" w:cs="Arial"/>
                <w:sz w:val="20"/>
                <w:szCs w:val="20"/>
              </w:rPr>
              <w:t>Waroux</w:t>
            </w:r>
            <w:proofErr w:type="spellEnd"/>
            <w:r w:rsidRPr="000B0704">
              <w:rPr>
                <w:rFonts w:ascii="Arial" w:eastAsia="Times New Roman" w:hAnsi="Arial" w:cs="Arial"/>
                <w:sz w:val="20"/>
                <w:szCs w:val="20"/>
              </w:rPr>
              <w:t xml:space="preserve">, O., Marks, M., Moraga, P., Morgan, O., </w:t>
            </w:r>
            <w:proofErr w:type="spellStart"/>
            <w:r w:rsidRPr="000B0704">
              <w:rPr>
                <w:rFonts w:ascii="Arial" w:eastAsia="Times New Roman" w:hAnsi="Arial" w:cs="Arial"/>
                <w:sz w:val="20"/>
                <w:szCs w:val="20"/>
              </w:rPr>
              <w:t>Nouvellet</w:t>
            </w:r>
            <w:proofErr w:type="spellEnd"/>
            <w:r w:rsidRPr="000B0704">
              <w:rPr>
                <w:rFonts w:ascii="Arial" w:eastAsia="Times New Roman" w:hAnsi="Arial" w:cs="Arial"/>
                <w:sz w:val="20"/>
                <w:szCs w:val="20"/>
              </w:rPr>
              <w:t xml:space="preserve">, P., Ratnayake, R., Riley, S., Scarpino, S. V., ... </w:t>
            </w:r>
            <w:proofErr w:type="spellStart"/>
            <w:r w:rsidRPr="000B0704">
              <w:rPr>
                <w:rFonts w:ascii="Arial" w:eastAsia="Times New Roman" w:hAnsi="Arial" w:cs="Arial"/>
                <w:sz w:val="20"/>
                <w:szCs w:val="20"/>
              </w:rPr>
              <w:t>Jombart</w:t>
            </w:r>
            <w:proofErr w:type="spellEnd"/>
            <w:r w:rsidRPr="000B0704">
              <w:rPr>
                <w:rFonts w:ascii="Arial" w:eastAsia="Times New Roman" w:hAnsi="Arial" w:cs="Arial"/>
                <w:sz w:val="20"/>
                <w:szCs w:val="20"/>
              </w:rPr>
              <w:t xml:space="preserve">, T. (2019). Outbreak analytics: A developing data science for informing the response to emerging pathogens. </w:t>
            </w:r>
            <w:r w:rsidRPr="000B0704">
              <w:rPr>
                <w:rFonts w:ascii="Arial" w:eastAsia="Times New Roman" w:hAnsi="Arial" w:cs="Arial"/>
                <w:i/>
                <w:iCs/>
                <w:sz w:val="20"/>
                <w:szCs w:val="20"/>
              </w:rPr>
              <w:lastRenderedPageBreak/>
              <w:t>Philosophical Transactions of the Royal Society B: Biological Sciences, 374</w:t>
            </w:r>
            <w:r w:rsidRPr="000B0704">
              <w:rPr>
                <w:rFonts w:ascii="Arial" w:eastAsia="Times New Roman" w:hAnsi="Arial" w:cs="Arial"/>
                <w:sz w:val="20"/>
                <w:szCs w:val="20"/>
              </w:rPr>
              <w:t xml:space="preserve">(1776), Article 20180276. </w:t>
            </w:r>
            <w:hyperlink r:id="rId22">
              <w:r w:rsidRPr="000B0704">
                <w:rPr>
                  <w:rFonts w:ascii="Arial" w:eastAsia="Times New Roman" w:hAnsi="Arial" w:cs="Arial"/>
                  <w:color w:val="0563C1"/>
                  <w:sz w:val="20"/>
                  <w:szCs w:val="20"/>
                  <w:u w:val="single"/>
                </w:rPr>
                <w:t>https://doi.org/10.1098/rstb.2018.0276</w:t>
              </w:r>
            </w:hyperlink>
          </w:p>
          <w:p w14:paraId="2C1994C5" w14:textId="2C1BF9BB" w:rsidR="002F167E" w:rsidRPr="00D033EA" w:rsidRDefault="002F167E" w:rsidP="00D033EA">
            <w:pPr>
              <w:spacing w:after="280" w:line="240" w:lineRule="auto"/>
              <w:ind w:left="427" w:hanging="429"/>
              <w:rPr>
                <w:rFonts w:ascii="Arial" w:eastAsia="Times New Roman" w:hAnsi="Arial" w:cs="Arial"/>
                <w:sz w:val="20"/>
                <w:szCs w:val="20"/>
              </w:rPr>
            </w:pPr>
            <w:proofErr w:type="spellStart"/>
            <w:r w:rsidRPr="006B2954">
              <w:rPr>
                <w:rFonts w:ascii="Arial" w:eastAsia="Times New Roman" w:hAnsi="Arial" w:cs="Arial"/>
                <w:sz w:val="20"/>
                <w:szCs w:val="20"/>
              </w:rPr>
              <w:t>Rainio</w:t>
            </w:r>
            <w:proofErr w:type="spellEnd"/>
            <w:r w:rsidRPr="006B2954">
              <w:rPr>
                <w:rFonts w:ascii="Arial" w:eastAsia="Times New Roman" w:hAnsi="Arial" w:cs="Arial"/>
                <w:sz w:val="20"/>
                <w:szCs w:val="20"/>
              </w:rPr>
              <w:t xml:space="preserve">, O., Teuho, J., &amp; </w:t>
            </w:r>
            <w:proofErr w:type="spellStart"/>
            <w:r w:rsidRPr="006B2954">
              <w:rPr>
                <w:rFonts w:ascii="Arial" w:eastAsia="Times New Roman" w:hAnsi="Arial" w:cs="Arial"/>
                <w:sz w:val="20"/>
                <w:szCs w:val="20"/>
              </w:rPr>
              <w:t>Klén</w:t>
            </w:r>
            <w:proofErr w:type="spellEnd"/>
            <w:r w:rsidRPr="006B2954">
              <w:rPr>
                <w:rFonts w:ascii="Arial" w:eastAsia="Times New Roman" w:hAnsi="Arial" w:cs="Arial"/>
                <w:sz w:val="20"/>
                <w:szCs w:val="20"/>
              </w:rPr>
              <w:t xml:space="preserve">, R. (2024). Evaluation metrics and statistical tests for machine learning. </w:t>
            </w:r>
            <w:r w:rsidRPr="00D033EA">
              <w:rPr>
                <w:rFonts w:ascii="Arial" w:eastAsia="Times New Roman" w:hAnsi="Arial" w:cs="Arial"/>
                <w:sz w:val="20"/>
                <w:szCs w:val="20"/>
              </w:rPr>
              <w:t>Scientific Reports, 14</w:t>
            </w:r>
            <w:r w:rsidRPr="006B2954">
              <w:rPr>
                <w:rFonts w:ascii="Arial" w:eastAsia="Times New Roman" w:hAnsi="Arial" w:cs="Arial"/>
                <w:sz w:val="20"/>
                <w:szCs w:val="20"/>
              </w:rPr>
              <w:t>, Article 6086.</w:t>
            </w:r>
            <w:hyperlink r:id="rId23">
              <w:r w:rsidRPr="006B2954">
                <w:rPr>
                  <w:rFonts w:ascii="Arial" w:eastAsia="Times New Roman" w:hAnsi="Arial" w:cs="Arial"/>
                  <w:sz w:val="20"/>
                  <w:szCs w:val="20"/>
                </w:rPr>
                <w:t xml:space="preserve"> </w:t>
              </w:r>
            </w:hyperlink>
            <w:hyperlink r:id="rId24">
              <w:r w:rsidRPr="00D033EA">
                <w:rPr>
                  <w:rFonts w:ascii="Arial" w:eastAsia="Times New Roman" w:hAnsi="Arial" w:cs="Arial"/>
                  <w:sz w:val="20"/>
                  <w:szCs w:val="20"/>
                </w:rPr>
                <w:t>https://doi.org/10.1038/s41598-024-56706-x</w:t>
              </w:r>
            </w:hyperlink>
          </w:p>
          <w:p w14:paraId="02A3BF80" w14:textId="1AE05B41"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Roppelt, J. S., </w:t>
            </w:r>
            <w:proofErr w:type="spellStart"/>
            <w:r w:rsidRPr="000B0704">
              <w:rPr>
                <w:rFonts w:ascii="Arial" w:eastAsia="Times New Roman" w:hAnsi="Arial" w:cs="Arial"/>
                <w:sz w:val="20"/>
                <w:szCs w:val="20"/>
              </w:rPr>
              <w:t>Kanbach</w:t>
            </w:r>
            <w:proofErr w:type="spellEnd"/>
            <w:r w:rsidRPr="000B0704">
              <w:rPr>
                <w:rFonts w:ascii="Arial" w:eastAsia="Times New Roman" w:hAnsi="Arial" w:cs="Arial"/>
                <w:sz w:val="20"/>
                <w:szCs w:val="20"/>
              </w:rPr>
              <w:t xml:space="preserve">, D. K., &amp; Kraus, S. (2024). Artificial intelligence in healthcare institutions: A systematic literature review on influencing factors. </w:t>
            </w:r>
            <w:r w:rsidRPr="00D033EA">
              <w:rPr>
                <w:rFonts w:ascii="Arial" w:eastAsia="Times New Roman" w:hAnsi="Arial" w:cs="Arial"/>
                <w:sz w:val="20"/>
                <w:szCs w:val="20"/>
              </w:rPr>
              <w:t>Technology in Society, 76</w:t>
            </w:r>
            <w:r w:rsidRPr="000B0704">
              <w:rPr>
                <w:rFonts w:ascii="Arial" w:eastAsia="Times New Roman" w:hAnsi="Arial" w:cs="Arial"/>
                <w:sz w:val="20"/>
                <w:szCs w:val="20"/>
              </w:rPr>
              <w:t xml:space="preserve">, Article 102443. </w:t>
            </w:r>
            <w:hyperlink r:id="rId25">
              <w:r w:rsidRPr="00D033EA">
                <w:rPr>
                  <w:rFonts w:ascii="Arial" w:eastAsia="Times New Roman" w:hAnsi="Arial" w:cs="Arial"/>
                  <w:sz w:val="20"/>
                  <w:szCs w:val="20"/>
                </w:rPr>
                <w:t>https://doi.org/10.1016/j.techsoc.2023.102443</w:t>
              </w:r>
            </w:hyperlink>
          </w:p>
          <w:p w14:paraId="02A3BF81" w14:textId="77777777" w:rsidR="001F340B" w:rsidRPr="000B0704" w:rsidRDefault="00A73F00" w:rsidP="00D033EA">
            <w:pPr>
              <w:spacing w:after="280" w:line="240" w:lineRule="auto"/>
              <w:ind w:left="427" w:hanging="429"/>
              <w:rPr>
                <w:rFonts w:ascii="Arial" w:eastAsia="Times New Roman" w:hAnsi="Arial" w:cs="Arial"/>
                <w:sz w:val="20"/>
                <w:szCs w:val="20"/>
              </w:rPr>
            </w:pPr>
            <w:proofErr w:type="spellStart"/>
            <w:r w:rsidRPr="000B0704">
              <w:rPr>
                <w:rFonts w:ascii="Arial" w:eastAsia="Times New Roman" w:hAnsi="Arial" w:cs="Arial"/>
                <w:sz w:val="20"/>
                <w:szCs w:val="20"/>
              </w:rPr>
              <w:t>Rouidi</w:t>
            </w:r>
            <w:proofErr w:type="spellEnd"/>
            <w:r w:rsidRPr="000B0704">
              <w:rPr>
                <w:rFonts w:ascii="Arial" w:eastAsia="Times New Roman" w:hAnsi="Arial" w:cs="Arial"/>
                <w:sz w:val="20"/>
                <w:szCs w:val="20"/>
              </w:rPr>
              <w:t xml:space="preserve">, M., </w:t>
            </w:r>
            <w:proofErr w:type="spellStart"/>
            <w:r w:rsidRPr="000B0704">
              <w:rPr>
                <w:rFonts w:ascii="Arial" w:eastAsia="Times New Roman" w:hAnsi="Arial" w:cs="Arial"/>
                <w:sz w:val="20"/>
                <w:szCs w:val="20"/>
              </w:rPr>
              <w:t>Elouadi</w:t>
            </w:r>
            <w:proofErr w:type="spellEnd"/>
            <w:r w:rsidRPr="000B0704">
              <w:rPr>
                <w:rFonts w:ascii="Arial" w:eastAsia="Times New Roman" w:hAnsi="Arial" w:cs="Arial"/>
                <w:sz w:val="20"/>
                <w:szCs w:val="20"/>
              </w:rPr>
              <w:t xml:space="preserve">, A. E., </w:t>
            </w:r>
            <w:proofErr w:type="spellStart"/>
            <w:r w:rsidRPr="000B0704">
              <w:rPr>
                <w:rFonts w:ascii="Arial" w:eastAsia="Times New Roman" w:hAnsi="Arial" w:cs="Arial"/>
                <w:sz w:val="20"/>
                <w:szCs w:val="20"/>
              </w:rPr>
              <w:t>Hamdoune</w:t>
            </w:r>
            <w:proofErr w:type="spellEnd"/>
            <w:r w:rsidRPr="000B0704">
              <w:rPr>
                <w:rFonts w:ascii="Arial" w:eastAsia="Times New Roman" w:hAnsi="Arial" w:cs="Arial"/>
                <w:sz w:val="20"/>
                <w:szCs w:val="20"/>
              </w:rPr>
              <w:t xml:space="preserve">, A., </w:t>
            </w:r>
            <w:proofErr w:type="spellStart"/>
            <w:r w:rsidRPr="000B0704">
              <w:rPr>
                <w:rFonts w:ascii="Arial" w:eastAsia="Times New Roman" w:hAnsi="Arial" w:cs="Arial"/>
                <w:sz w:val="20"/>
                <w:szCs w:val="20"/>
              </w:rPr>
              <w:t>Choujtani</w:t>
            </w:r>
            <w:proofErr w:type="spellEnd"/>
            <w:r w:rsidRPr="000B0704">
              <w:rPr>
                <w:rFonts w:ascii="Arial" w:eastAsia="Times New Roman" w:hAnsi="Arial" w:cs="Arial"/>
                <w:sz w:val="20"/>
                <w:szCs w:val="20"/>
              </w:rPr>
              <w:t xml:space="preserve">, K., &amp; Chati, A. (2022). TAM-UTAUT and the acceptance of remote healthcare technologies by healthcare professionals: A systematic review. </w:t>
            </w:r>
            <w:r w:rsidRPr="00D033EA">
              <w:rPr>
                <w:rFonts w:ascii="Arial" w:eastAsia="Times New Roman" w:hAnsi="Arial" w:cs="Arial"/>
                <w:sz w:val="20"/>
                <w:szCs w:val="20"/>
              </w:rPr>
              <w:t>Informatics in Medicine Unlocked, 32</w:t>
            </w:r>
            <w:r w:rsidRPr="000B0704">
              <w:rPr>
                <w:rFonts w:ascii="Arial" w:eastAsia="Times New Roman" w:hAnsi="Arial" w:cs="Arial"/>
                <w:sz w:val="20"/>
                <w:szCs w:val="20"/>
              </w:rPr>
              <w:t xml:space="preserve">, Article 101008. </w:t>
            </w:r>
            <w:hyperlink r:id="rId26">
              <w:r w:rsidRPr="00D033EA">
                <w:rPr>
                  <w:rFonts w:ascii="Arial" w:eastAsia="Times New Roman" w:hAnsi="Arial" w:cs="Arial"/>
                  <w:sz w:val="20"/>
                  <w:szCs w:val="20"/>
                </w:rPr>
                <w:t>https://doi.org/10.1016/j.imu.2022.101008</w:t>
              </w:r>
            </w:hyperlink>
          </w:p>
          <w:p w14:paraId="45CE8E92" w14:textId="14E06401" w:rsidR="00D033EA" w:rsidRDefault="00D033EA" w:rsidP="00D033EA">
            <w:pPr>
              <w:spacing w:after="280" w:line="240" w:lineRule="auto"/>
              <w:ind w:left="427" w:hanging="429"/>
              <w:rPr>
                <w:rFonts w:ascii="Arial" w:eastAsia="Times New Roman" w:hAnsi="Arial" w:cs="Arial"/>
                <w:sz w:val="20"/>
                <w:szCs w:val="20"/>
              </w:rPr>
            </w:pPr>
            <w:r w:rsidRPr="006B2954">
              <w:rPr>
                <w:rFonts w:ascii="Arial" w:eastAsia="Times New Roman" w:hAnsi="Arial" w:cs="Arial"/>
                <w:sz w:val="20"/>
                <w:szCs w:val="20"/>
              </w:rPr>
              <w:t xml:space="preserve">Sadeghi, Z., </w:t>
            </w:r>
            <w:proofErr w:type="spellStart"/>
            <w:r w:rsidRPr="006B2954">
              <w:rPr>
                <w:rFonts w:ascii="Arial" w:eastAsia="Times New Roman" w:hAnsi="Arial" w:cs="Arial"/>
                <w:sz w:val="20"/>
                <w:szCs w:val="20"/>
              </w:rPr>
              <w:t>Bastan</w:t>
            </w:r>
            <w:proofErr w:type="spellEnd"/>
            <w:r w:rsidRPr="006B2954">
              <w:rPr>
                <w:rFonts w:ascii="Arial" w:eastAsia="Times New Roman" w:hAnsi="Arial" w:cs="Arial"/>
                <w:sz w:val="20"/>
                <w:szCs w:val="20"/>
              </w:rPr>
              <w:t xml:space="preserve">, M., &amp; Rashidi, H. H. (2024). A review of explainable artificial intelligence in healthcare. </w:t>
            </w:r>
            <w:r w:rsidRPr="00D033EA">
              <w:rPr>
                <w:rFonts w:ascii="Arial" w:eastAsia="Times New Roman" w:hAnsi="Arial" w:cs="Arial"/>
                <w:sz w:val="20"/>
                <w:szCs w:val="20"/>
              </w:rPr>
              <w:t>Computers in Biology and Medicine, 182</w:t>
            </w:r>
            <w:r w:rsidRPr="006B2954">
              <w:rPr>
                <w:rFonts w:ascii="Arial" w:eastAsia="Times New Roman" w:hAnsi="Arial" w:cs="Arial"/>
                <w:sz w:val="20"/>
                <w:szCs w:val="20"/>
              </w:rPr>
              <w:t>, Article 109174. https://doi.org/10.1016/j.compbiomed.2024.109174</w:t>
            </w:r>
          </w:p>
          <w:p w14:paraId="02A3BF82" w14:textId="6588A27D"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Sanchez-</w:t>
            </w:r>
            <w:proofErr w:type="spellStart"/>
            <w:r w:rsidRPr="000B0704">
              <w:rPr>
                <w:rFonts w:ascii="Arial" w:eastAsia="Times New Roman" w:hAnsi="Arial" w:cs="Arial"/>
                <w:sz w:val="20"/>
                <w:szCs w:val="20"/>
              </w:rPr>
              <w:t>Gendriz</w:t>
            </w:r>
            <w:proofErr w:type="spellEnd"/>
            <w:r w:rsidRPr="000B0704">
              <w:rPr>
                <w:rFonts w:ascii="Arial" w:eastAsia="Times New Roman" w:hAnsi="Arial" w:cs="Arial"/>
                <w:sz w:val="20"/>
                <w:szCs w:val="20"/>
              </w:rPr>
              <w:t xml:space="preserve">, I., de Souza, G. F., de Andrade, I. G. M., Doria Neto, A. D., Tavares, A. de M., Barros, D. M. S., de Morais, A. H. F., Galvão-Lima, L. J., &amp; Valentim, R. A. de M. (2022). Data-driven computational intelligence applied to dengue outbreak forecasting: A case study at the scale of the city of Natal, RN-Brazil. </w:t>
            </w:r>
            <w:r w:rsidRPr="000B0704">
              <w:rPr>
                <w:rFonts w:ascii="Arial" w:eastAsia="Times New Roman" w:hAnsi="Arial" w:cs="Arial"/>
                <w:i/>
                <w:iCs/>
                <w:sz w:val="20"/>
                <w:szCs w:val="20"/>
              </w:rPr>
              <w:t>Scientific Reports, 12</w:t>
            </w:r>
            <w:r w:rsidRPr="000B0704">
              <w:rPr>
                <w:rFonts w:ascii="Arial" w:eastAsia="Times New Roman" w:hAnsi="Arial" w:cs="Arial"/>
                <w:sz w:val="20"/>
                <w:szCs w:val="20"/>
              </w:rPr>
              <w:t xml:space="preserve">, Article 6550. </w:t>
            </w:r>
            <w:hyperlink r:id="rId27">
              <w:r w:rsidRPr="000B0704">
                <w:rPr>
                  <w:rFonts w:ascii="Arial" w:eastAsia="Times New Roman" w:hAnsi="Arial" w:cs="Arial"/>
                  <w:color w:val="0563C1"/>
                  <w:sz w:val="20"/>
                  <w:szCs w:val="20"/>
                  <w:u w:val="single"/>
                </w:rPr>
                <w:t>https://doi.org/10.1038/s41598-022-10512-5</w:t>
              </w:r>
            </w:hyperlink>
          </w:p>
          <w:p w14:paraId="02A3BF84"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Tuan, D. A., Dang, T. N., Phan, T. V., Pham, T. T. H., Nguyen, T. T. H., Tran, Q. D., &amp; Nguyen, T. H. (2024). Leveraging climate data for dengue forecasting in Ba Ria Vung Tau Province, Vietnam: An application of machine learning models. </w:t>
            </w:r>
            <w:r w:rsidRPr="00D033EA">
              <w:rPr>
                <w:rFonts w:ascii="Arial" w:eastAsia="Times New Roman" w:hAnsi="Arial" w:cs="Arial"/>
                <w:sz w:val="20"/>
                <w:szCs w:val="20"/>
              </w:rPr>
              <w:t>Tropical Medicine and Infectious Disease, 9</w:t>
            </w:r>
            <w:r w:rsidRPr="000B0704">
              <w:rPr>
                <w:rFonts w:ascii="Arial" w:eastAsia="Times New Roman" w:hAnsi="Arial" w:cs="Arial"/>
                <w:sz w:val="20"/>
                <w:szCs w:val="20"/>
              </w:rPr>
              <w:t xml:space="preserve">(10), Article 250. </w:t>
            </w:r>
            <w:hyperlink r:id="rId28">
              <w:r w:rsidRPr="00D033EA">
                <w:rPr>
                  <w:rFonts w:ascii="Arial" w:eastAsia="Times New Roman" w:hAnsi="Arial" w:cs="Arial"/>
                  <w:sz w:val="20"/>
                  <w:szCs w:val="20"/>
                </w:rPr>
                <w:t>https://doi.org/10.3390/tropicalmed9100250</w:t>
              </w:r>
            </w:hyperlink>
          </w:p>
          <w:p w14:paraId="02A3BF85"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Villanueva-Miranda, I., Xiao, G., &amp; Xie, Y. (2025). Artificial intelligence in early warning systems for infectious disease surveillance: A systematic review. </w:t>
            </w:r>
            <w:r w:rsidRPr="00D033EA">
              <w:rPr>
                <w:rFonts w:ascii="Arial" w:eastAsia="Times New Roman" w:hAnsi="Arial" w:cs="Arial"/>
                <w:sz w:val="20"/>
                <w:szCs w:val="20"/>
              </w:rPr>
              <w:t>Frontiers in Public Health, 13</w:t>
            </w:r>
            <w:r w:rsidRPr="000B0704">
              <w:rPr>
                <w:rFonts w:ascii="Arial" w:eastAsia="Times New Roman" w:hAnsi="Arial" w:cs="Arial"/>
                <w:sz w:val="20"/>
                <w:szCs w:val="20"/>
              </w:rPr>
              <w:t xml:space="preserve">, Article 1609615. </w:t>
            </w:r>
            <w:hyperlink r:id="rId29">
              <w:r w:rsidRPr="00D033EA">
                <w:rPr>
                  <w:rFonts w:ascii="Arial" w:eastAsia="Times New Roman" w:hAnsi="Arial" w:cs="Arial"/>
                  <w:sz w:val="20"/>
                  <w:szCs w:val="20"/>
                </w:rPr>
                <w:t>https://doi.org/10.3389/fpubh.2025.1609615</w:t>
              </w:r>
            </w:hyperlink>
          </w:p>
          <w:p w14:paraId="02A3BF86"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World Health Organization (WHO). (2023). </w:t>
            </w:r>
            <w:r w:rsidRPr="00D033EA">
              <w:rPr>
                <w:rFonts w:ascii="Arial" w:eastAsia="Times New Roman" w:hAnsi="Arial" w:cs="Arial"/>
                <w:sz w:val="20"/>
                <w:szCs w:val="20"/>
              </w:rPr>
              <w:t>Strengthening surveillance systems for respiratory diseases and</w:t>
            </w:r>
            <w:r w:rsidRPr="000B0704">
              <w:rPr>
                <w:rFonts w:ascii="Arial" w:eastAsia="Times New Roman" w:hAnsi="Arial" w:cs="Arial"/>
                <w:i/>
                <w:iCs/>
                <w:sz w:val="20"/>
                <w:szCs w:val="20"/>
              </w:rPr>
              <w:t xml:space="preserve"> pandemic preparedness</w:t>
            </w:r>
            <w:r w:rsidRPr="000B0704">
              <w:rPr>
                <w:rFonts w:ascii="Arial" w:eastAsia="Times New Roman" w:hAnsi="Arial" w:cs="Arial"/>
                <w:sz w:val="20"/>
                <w:szCs w:val="20"/>
              </w:rPr>
              <w:t>. Geneva, Switzerland: World Health Organization.</w:t>
            </w:r>
          </w:p>
          <w:p w14:paraId="02A3BF87"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World Health Organization (WHO). (2024). </w:t>
            </w:r>
            <w:r w:rsidRPr="000B0704">
              <w:rPr>
                <w:rFonts w:ascii="Arial" w:eastAsia="Times New Roman" w:hAnsi="Arial" w:cs="Arial"/>
                <w:i/>
                <w:iCs/>
                <w:sz w:val="20"/>
                <w:szCs w:val="20"/>
              </w:rPr>
              <w:t>Public health surveillance and response systems</w:t>
            </w:r>
            <w:r w:rsidRPr="000B0704">
              <w:rPr>
                <w:rFonts w:ascii="Arial" w:eastAsia="Times New Roman" w:hAnsi="Arial" w:cs="Arial"/>
                <w:sz w:val="20"/>
                <w:szCs w:val="20"/>
              </w:rPr>
              <w:t>. Geneva, Switzerland: World Health Organization.</w:t>
            </w:r>
          </w:p>
          <w:p w14:paraId="02A3BF88" w14:textId="77777777"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World Health Organization. (2024). </w:t>
            </w:r>
            <w:r w:rsidRPr="00D033EA">
              <w:rPr>
                <w:rFonts w:ascii="Arial" w:eastAsia="Times New Roman" w:hAnsi="Arial" w:cs="Arial"/>
                <w:sz w:val="20"/>
                <w:szCs w:val="20"/>
              </w:rPr>
              <w:t>Surveillance and alert</w:t>
            </w:r>
            <w:r w:rsidRPr="000B0704">
              <w:rPr>
                <w:rFonts w:ascii="Arial" w:eastAsia="Times New Roman" w:hAnsi="Arial" w:cs="Arial"/>
                <w:sz w:val="20"/>
                <w:szCs w:val="20"/>
              </w:rPr>
              <w:t xml:space="preserve">. </w:t>
            </w:r>
            <w:hyperlink r:id="rId30">
              <w:r w:rsidRPr="00D033EA">
                <w:rPr>
                  <w:rFonts w:ascii="Arial" w:eastAsia="Times New Roman" w:hAnsi="Arial" w:cs="Arial"/>
                  <w:sz w:val="20"/>
                  <w:szCs w:val="20"/>
                </w:rPr>
                <w:t>https://www.who.int/southeastasia/outbreaks-and-emergencies/surveillance-and-alert</w:t>
              </w:r>
            </w:hyperlink>
          </w:p>
          <w:p w14:paraId="02A3BF9E" w14:textId="792B041B" w:rsidR="001F340B" w:rsidRPr="000B0704" w:rsidRDefault="00A73F00" w:rsidP="00D033EA">
            <w:pPr>
              <w:spacing w:after="280" w:line="240" w:lineRule="auto"/>
              <w:ind w:left="427" w:hanging="429"/>
              <w:rPr>
                <w:rFonts w:ascii="Arial" w:eastAsia="Times New Roman" w:hAnsi="Arial" w:cs="Arial"/>
                <w:sz w:val="20"/>
                <w:szCs w:val="20"/>
              </w:rPr>
            </w:pPr>
            <w:r w:rsidRPr="000B0704">
              <w:rPr>
                <w:rFonts w:ascii="Arial" w:eastAsia="Times New Roman" w:hAnsi="Arial" w:cs="Arial"/>
                <w:sz w:val="20"/>
                <w:szCs w:val="20"/>
              </w:rPr>
              <w:t xml:space="preserve">World Health Organization. (2025, August 21). </w:t>
            </w:r>
            <w:r w:rsidRPr="00D033EA">
              <w:rPr>
                <w:rFonts w:ascii="Arial" w:eastAsia="Times New Roman" w:hAnsi="Arial" w:cs="Arial"/>
                <w:sz w:val="20"/>
                <w:szCs w:val="20"/>
              </w:rPr>
              <w:t>Dengue and severe dengue</w:t>
            </w:r>
            <w:r w:rsidRPr="000B0704">
              <w:rPr>
                <w:rFonts w:ascii="Arial" w:eastAsia="Times New Roman" w:hAnsi="Arial" w:cs="Arial"/>
                <w:sz w:val="20"/>
                <w:szCs w:val="20"/>
              </w:rPr>
              <w:t xml:space="preserve">. </w:t>
            </w:r>
            <w:hyperlink r:id="rId31">
              <w:r w:rsidRPr="00D033EA">
                <w:rPr>
                  <w:rFonts w:ascii="Arial" w:eastAsia="Times New Roman" w:hAnsi="Arial" w:cs="Arial"/>
                  <w:sz w:val="20"/>
                  <w:szCs w:val="20"/>
                </w:rPr>
                <w:t>https://www.who.int/news-room/fact-sheets/detail/dengue-and-severe-dengue</w:t>
              </w:r>
            </w:hyperlink>
          </w:p>
          <w:p w14:paraId="02A3BF9F" w14:textId="77777777" w:rsidR="001F340B" w:rsidRPr="000B0704" w:rsidRDefault="001F340B">
            <w:pPr>
              <w:tabs>
                <w:tab w:val="left" w:pos="7589"/>
                <w:tab w:val="left" w:pos="9279"/>
              </w:tabs>
              <w:spacing w:after="0" w:line="240" w:lineRule="auto"/>
              <w:ind w:hanging="2"/>
              <w:jc w:val="both"/>
              <w:rPr>
                <w:rFonts w:ascii="Arial" w:eastAsia="Arial" w:hAnsi="Arial" w:cs="Arial"/>
                <w:sz w:val="20"/>
                <w:szCs w:val="20"/>
              </w:rPr>
            </w:pPr>
          </w:p>
        </w:tc>
      </w:tr>
    </w:tbl>
    <w:p w14:paraId="02A3BFA3" w14:textId="77777777" w:rsidR="001F340B" w:rsidRDefault="001F340B">
      <w:pPr>
        <w:tabs>
          <w:tab w:val="left" w:pos="2177"/>
          <w:tab w:val="left" w:pos="3775"/>
          <w:tab w:val="left" w:pos="5638"/>
          <w:tab w:val="left" w:pos="7652"/>
        </w:tabs>
        <w:spacing w:after="0" w:line="240" w:lineRule="auto"/>
        <w:jc w:val="both"/>
        <w:rPr>
          <w:rFonts w:ascii="Arial" w:eastAsia="Arial" w:hAnsi="Arial" w:cs="Arial"/>
          <w:sz w:val="20"/>
          <w:szCs w:val="20"/>
        </w:rPr>
      </w:pPr>
    </w:p>
    <w:p w14:paraId="02A3BFA4" w14:textId="77777777" w:rsidR="001F340B" w:rsidRDefault="00A73F00">
      <w:pPr>
        <w:tabs>
          <w:tab w:val="left" w:pos="2177"/>
          <w:tab w:val="left" w:pos="3775"/>
          <w:tab w:val="left" w:pos="5638"/>
          <w:tab w:val="left" w:pos="7652"/>
        </w:tabs>
        <w:spacing w:after="0" w:line="240" w:lineRule="auto"/>
        <w:ind w:left="450"/>
        <w:jc w:val="both"/>
        <w:rPr>
          <w:rFonts w:ascii="Arial" w:eastAsia="Arial" w:hAnsi="Arial" w:cs="Arial"/>
          <w:sz w:val="20"/>
          <w:szCs w:val="20"/>
        </w:rPr>
      </w:pP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p>
    <w:tbl>
      <w:tblPr>
        <w:tblStyle w:val="af3"/>
        <w:tblW w:w="8773"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7"/>
        <w:gridCol w:w="6896"/>
      </w:tblGrid>
      <w:tr w:rsidR="001F340B" w14:paraId="02A3BFA7" w14:textId="77777777">
        <w:trPr>
          <w:trHeight w:val="324"/>
        </w:trPr>
        <w:tc>
          <w:tcPr>
            <w:tcW w:w="1877" w:type="dxa"/>
          </w:tcPr>
          <w:p w14:paraId="02A3BFA5" w14:textId="59F45713" w:rsidR="001F340B" w:rsidRDefault="001F340B">
            <w:pPr>
              <w:pBdr>
                <w:top w:val="nil"/>
                <w:left w:val="nil"/>
                <w:bottom w:val="nil"/>
                <w:right w:val="nil"/>
                <w:between w:val="nil"/>
              </w:pBdr>
              <w:spacing w:after="0" w:line="240" w:lineRule="auto"/>
              <w:rPr>
                <w:rFonts w:ascii="Arial" w:eastAsia="Arial" w:hAnsi="Arial" w:cs="Arial"/>
                <w:color w:val="000000"/>
                <w:sz w:val="20"/>
                <w:szCs w:val="20"/>
              </w:rPr>
            </w:pPr>
          </w:p>
        </w:tc>
        <w:tc>
          <w:tcPr>
            <w:tcW w:w="6896" w:type="dxa"/>
          </w:tcPr>
          <w:p w14:paraId="02A3BFA6" w14:textId="77777777" w:rsidR="001F340B" w:rsidRDefault="00A73F00">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b/>
                <w:bCs/>
                <w:color w:val="000000"/>
                <w:sz w:val="20"/>
                <w:szCs w:val="20"/>
              </w:rPr>
              <w:t>SUBMITTED BY (Project Leader)</w:t>
            </w:r>
          </w:p>
        </w:tc>
      </w:tr>
      <w:tr w:rsidR="001F340B" w14:paraId="02A3BFAB" w14:textId="77777777">
        <w:trPr>
          <w:trHeight w:val="324"/>
        </w:trPr>
        <w:tc>
          <w:tcPr>
            <w:tcW w:w="1877" w:type="dxa"/>
            <w:vAlign w:val="center"/>
          </w:tcPr>
          <w:p w14:paraId="02A3BFA8"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Signature</w:t>
            </w:r>
          </w:p>
        </w:tc>
        <w:tc>
          <w:tcPr>
            <w:tcW w:w="6896" w:type="dxa"/>
          </w:tcPr>
          <w:p w14:paraId="02A3BFA9"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w:t>
            </w:r>
            <w:r>
              <w:rPr>
                <w:noProof/>
              </w:rPr>
              <w:drawing>
                <wp:anchor distT="0" distB="0" distL="114300" distR="114300" simplePos="0" relativeHeight="251658240" behindDoc="0" locked="0" layoutInCell="1" hidden="0" allowOverlap="1" wp14:anchorId="02A3BFC4" wp14:editId="02A3BFC5">
                  <wp:simplePos x="0" y="0"/>
                  <wp:positionH relativeFrom="column">
                    <wp:posOffset>11749</wp:posOffset>
                  </wp:positionH>
                  <wp:positionV relativeFrom="paragraph">
                    <wp:posOffset>-184784</wp:posOffset>
                  </wp:positionV>
                  <wp:extent cx="1216496" cy="687897"/>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1216496" cy="687897"/>
                          </a:xfrm>
                          <a:prstGeom prst="rect">
                            <a:avLst/>
                          </a:prstGeom>
                          <a:ln/>
                        </pic:spPr>
                      </pic:pic>
                    </a:graphicData>
                  </a:graphic>
                </wp:anchor>
              </w:drawing>
            </w:r>
          </w:p>
          <w:p w14:paraId="02A3BFAA"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w:t>
            </w:r>
          </w:p>
        </w:tc>
      </w:tr>
      <w:tr w:rsidR="001F340B" w14:paraId="02A3BFAF" w14:textId="77777777">
        <w:trPr>
          <w:trHeight w:val="324"/>
        </w:trPr>
        <w:tc>
          <w:tcPr>
            <w:tcW w:w="1877" w:type="dxa"/>
            <w:vAlign w:val="center"/>
          </w:tcPr>
          <w:p w14:paraId="02A3BFAC"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Printed Name</w:t>
            </w:r>
          </w:p>
        </w:tc>
        <w:tc>
          <w:tcPr>
            <w:tcW w:w="6896" w:type="dxa"/>
          </w:tcPr>
          <w:p w14:paraId="02A3BFAD" w14:textId="0121AC7A"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sz w:val="20"/>
                <w:szCs w:val="20"/>
              </w:rPr>
              <w:t>CHARLIE S. MARZAN</w:t>
            </w:r>
          </w:p>
          <w:p w14:paraId="02A3BFAE"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 </w:t>
            </w:r>
          </w:p>
        </w:tc>
      </w:tr>
      <w:tr w:rsidR="001F340B" w14:paraId="02A3BFB3" w14:textId="77777777">
        <w:trPr>
          <w:trHeight w:val="324"/>
        </w:trPr>
        <w:tc>
          <w:tcPr>
            <w:tcW w:w="1877" w:type="dxa"/>
            <w:vAlign w:val="center"/>
          </w:tcPr>
          <w:p w14:paraId="02A3BFB0"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Designation/Title</w:t>
            </w:r>
          </w:p>
        </w:tc>
        <w:tc>
          <w:tcPr>
            <w:tcW w:w="6896" w:type="dxa"/>
          </w:tcPr>
          <w:p w14:paraId="02A3BFB1"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 Faculty Member</w:t>
            </w:r>
          </w:p>
          <w:p w14:paraId="02A3BFB2"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 </w:t>
            </w:r>
          </w:p>
        </w:tc>
      </w:tr>
      <w:tr w:rsidR="001F340B" w14:paraId="02A3BFB7" w14:textId="77777777">
        <w:trPr>
          <w:trHeight w:val="324"/>
        </w:trPr>
        <w:tc>
          <w:tcPr>
            <w:tcW w:w="1877" w:type="dxa"/>
            <w:vAlign w:val="center"/>
          </w:tcPr>
          <w:p w14:paraId="02A3BFB4" w14:textId="77777777" w:rsidR="001F340B" w:rsidRDefault="00A73F00">
            <w:pPr>
              <w:spacing w:after="0" w:line="240" w:lineRule="auto"/>
              <w:rPr>
                <w:rFonts w:ascii="Arial" w:eastAsia="Arial" w:hAnsi="Arial" w:cs="Arial"/>
                <w:sz w:val="20"/>
                <w:szCs w:val="20"/>
              </w:rPr>
            </w:pPr>
            <w:r>
              <w:rPr>
                <w:rFonts w:ascii="Arial" w:eastAsia="Arial" w:hAnsi="Arial" w:cs="Arial"/>
                <w:sz w:val="20"/>
                <w:szCs w:val="20"/>
              </w:rPr>
              <w:t>Date</w:t>
            </w:r>
          </w:p>
        </w:tc>
        <w:tc>
          <w:tcPr>
            <w:tcW w:w="6896" w:type="dxa"/>
          </w:tcPr>
          <w:p w14:paraId="02A3BFB5" w14:textId="77777777"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 </w:t>
            </w:r>
          </w:p>
          <w:p w14:paraId="02A3BFB6" w14:textId="4FBB63ED" w:rsidR="001F340B" w:rsidRDefault="00A73F00">
            <w:p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 </w:t>
            </w:r>
            <w:r w:rsidR="006F0890">
              <w:rPr>
                <w:rFonts w:ascii="Arial" w:eastAsia="Arial" w:hAnsi="Arial" w:cs="Arial"/>
                <w:b/>
                <w:bCs/>
                <w:color w:val="000000"/>
                <w:sz w:val="20"/>
                <w:szCs w:val="20"/>
              </w:rPr>
              <w:t>May 31</w:t>
            </w:r>
            <w:r>
              <w:rPr>
                <w:rFonts w:ascii="Arial" w:eastAsia="Arial" w:hAnsi="Arial" w:cs="Arial"/>
                <w:b/>
                <w:bCs/>
                <w:color w:val="000000"/>
                <w:sz w:val="20"/>
                <w:szCs w:val="20"/>
              </w:rPr>
              <w:t>, 2026</w:t>
            </w:r>
          </w:p>
        </w:tc>
      </w:tr>
    </w:tbl>
    <w:p w14:paraId="02A3BFB9" w14:textId="057800A2" w:rsidR="001F340B" w:rsidRDefault="001F340B" w:rsidP="000B5251">
      <w:pPr>
        <w:pBdr>
          <w:top w:val="nil"/>
          <w:left w:val="nil"/>
          <w:bottom w:val="nil"/>
          <w:right w:val="nil"/>
          <w:between w:val="nil"/>
        </w:pBdr>
        <w:spacing w:after="0" w:line="240" w:lineRule="auto"/>
        <w:jc w:val="both"/>
        <w:rPr>
          <w:rFonts w:ascii="Arial" w:eastAsia="Arial" w:hAnsi="Arial" w:cs="Arial"/>
          <w:color w:val="000000"/>
          <w:sz w:val="16"/>
          <w:szCs w:val="16"/>
        </w:rPr>
      </w:pPr>
    </w:p>
    <w:sectPr w:rsidR="001F340B">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81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5E5E" w14:textId="77777777" w:rsidR="002429C0" w:rsidRDefault="002429C0">
      <w:pPr>
        <w:spacing w:after="0" w:line="240" w:lineRule="auto"/>
      </w:pPr>
      <w:r>
        <w:separator/>
      </w:r>
    </w:p>
  </w:endnote>
  <w:endnote w:type="continuationSeparator" w:id="0">
    <w:p w14:paraId="2CE18921" w14:textId="77777777" w:rsidR="002429C0" w:rsidRDefault="00242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0B1B97-9906-4D6F-9BC3-BC2066A5E94D}"/>
    <w:embedBold r:id="rId2" w:fontKey="{E60EB881-B483-43B1-944C-66F1D849106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8ED457A-3C3E-42E7-A3F4-9A79C088D841}"/>
  </w:font>
  <w:font w:name="MS Gothic">
    <w:altName w:val="ＭＳ ゴシック"/>
    <w:panose1 w:val="020B0609070205080204"/>
    <w:charset w:val="80"/>
    <w:family w:val="modern"/>
    <w:pitch w:val="fixed"/>
    <w:sig w:usb0="E00002FF" w:usb1="6AC7FDFB" w:usb2="08000012" w:usb3="00000000" w:csb0="0002009F" w:csb1="00000000"/>
    <w:embedRegular r:id="rId4" w:subsetted="1" w:fontKey="{DB08F3CB-B53E-4434-A227-11C469246032}"/>
  </w:font>
  <w:font w:name="Cambria Math">
    <w:panose1 w:val="02040503050406030204"/>
    <w:charset w:val="00"/>
    <w:family w:val="roman"/>
    <w:pitch w:val="variable"/>
    <w:sig w:usb0="E00006FF" w:usb1="420024FF" w:usb2="02000000" w:usb3="00000000" w:csb0="0000019F" w:csb1="00000000"/>
    <w:embedRegular r:id="rId5" w:fontKey="{5F4DB2C2-FB1C-46AC-B483-216A9C020BFD}"/>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6" w:fontKey="{FF752BB0-240B-4937-AC71-7C652C872639}"/>
  </w:font>
  <w:font w:name="Cambria">
    <w:panose1 w:val="02040503050406030204"/>
    <w:charset w:val="00"/>
    <w:family w:val="roman"/>
    <w:pitch w:val="variable"/>
    <w:sig w:usb0="E00006FF" w:usb1="420024FF" w:usb2="02000000" w:usb3="00000000" w:csb0="0000019F" w:csb1="00000000"/>
    <w:embedRegular r:id="rId7" w:fontKey="{22FB4BFB-3090-4FFB-8A6A-3CBCEE8788C4}"/>
  </w:font>
  <w:font w:name="Cordia New">
    <w:panose1 w:val="020B0304020202020204"/>
    <w:charset w:val="DE"/>
    <w:family w:val="swiss"/>
    <w:pitch w:val="variable"/>
    <w:sig w:usb0="81000003" w:usb1="00000000" w:usb2="00000000" w:usb3="00000000" w:csb0="00010001" w:csb1="00000000"/>
    <w:embedRegular r:id="rId8" w:fontKey="{321E6767-A403-41CE-B50E-45DC85B52A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8" w14:textId="77777777" w:rsidR="001F340B" w:rsidRDefault="001F340B">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9" w14:textId="77777777" w:rsidR="001F340B" w:rsidRDefault="001F340B">
    <w:pPr>
      <w:pBdr>
        <w:top w:val="nil"/>
        <w:left w:val="nil"/>
        <w:bottom w:val="nil"/>
        <w:right w:val="nil"/>
        <w:between w:val="nil"/>
      </w:pBdr>
      <w:tabs>
        <w:tab w:val="center" w:pos="4680"/>
        <w:tab w:val="right" w:pos="9360"/>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C" w14:textId="77777777" w:rsidR="001F340B" w:rsidRDefault="001F340B">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BBC0" w14:textId="77777777" w:rsidR="002429C0" w:rsidRDefault="002429C0">
      <w:pPr>
        <w:spacing w:after="0" w:line="240" w:lineRule="auto"/>
      </w:pPr>
      <w:r>
        <w:separator/>
      </w:r>
    </w:p>
  </w:footnote>
  <w:footnote w:type="continuationSeparator" w:id="0">
    <w:p w14:paraId="30933958" w14:textId="77777777" w:rsidR="002429C0" w:rsidRDefault="00242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6" w14:textId="77777777" w:rsidR="001F340B" w:rsidRDefault="001F340B">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7" w14:textId="77777777" w:rsidR="001F340B" w:rsidRDefault="001F340B">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BFCA" w14:textId="77777777" w:rsidR="001F340B" w:rsidRDefault="00A73F00">
    <w:pPr>
      <w:pBdr>
        <w:top w:val="nil"/>
        <w:left w:val="nil"/>
        <w:bottom w:val="nil"/>
        <w:right w:val="nil"/>
        <w:between w:val="nil"/>
      </w:pBdr>
      <w:tabs>
        <w:tab w:val="center" w:pos="4680"/>
        <w:tab w:val="right" w:pos="9360"/>
        <w:tab w:val="left" w:pos="8280"/>
      </w:tabs>
      <w:rPr>
        <w:color w:val="000000"/>
      </w:rPr>
    </w:pPr>
    <w:r>
      <w:rPr>
        <w:noProof/>
      </w:rPr>
      <mc:AlternateContent>
        <mc:Choice Requires="wps">
          <w:drawing>
            <wp:anchor distT="45720" distB="45720" distL="114300" distR="114300" simplePos="0" relativeHeight="251658240" behindDoc="0" locked="0" layoutInCell="1" hidden="0" allowOverlap="1" wp14:anchorId="02A3BFCD" wp14:editId="02A3BFCE">
              <wp:simplePos x="0" y="0"/>
              <wp:positionH relativeFrom="column">
                <wp:posOffset>621030</wp:posOffset>
              </wp:positionH>
              <wp:positionV relativeFrom="paragraph">
                <wp:posOffset>36198</wp:posOffset>
              </wp:positionV>
              <wp:extent cx="4489450" cy="608965"/>
              <wp:effectExtent l="0" t="0" r="0" b="0"/>
              <wp:wrapTopAndBottom distT="45720" distB="45720"/>
              <wp:docPr id="1" name="Rectangle 1"/>
              <wp:cNvGraphicFramePr/>
              <a:graphic xmlns:a="http://schemas.openxmlformats.org/drawingml/2006/main">
                <a:graphicData uri="http://schemas.microsoft.com/office/word/2010/wordprocessingShape">
                  <wps:wsp>
                    <wps:cNvSpPr/>
                    <wps:spPr>
                      <a:xfrm>
                        <a:off x="3120325" y="3494568"/>
                        <a:ext cx="4451350" cy="570865"/>
                      </a:xfrm>
                      <a:prstGeom prst="rect">
                        <a:avLst/>
                      </a:prstGeom>
                      <a:solidFill>
                        <a:srgbClr val="FFFFFF"/>
                      </a:solidFill>
                      <a:ln>
                        <a:noFill/>
                      </a:ln>
                    </wps:spPr>
                    <wps:txbx>
                      <w:txbxContent>
                        <w:p w14:paraId="02A3BFD3" w14:textId="77777777" w:rsidR="001F340B" w:rsidRDefault="00A73F00">
                          <w:pPr>
                            <w:spacing w:line="275" w:lineRule="auto"/>
                            <w:textDirection w:val="btLr"/>
                          </w:pPr>
                          <w:r>
                            <w:rPr>
                              <w:rFonts w:ascii="Arial" w:eastAsia="Arial" w:hAnsi="Arial" w:cs="Arial"/>
                              <w:color w:val="000000"/>
                              <w:sz w:val="20"/>
                            </w:rPr>
                            <w:t>Republic of the Philippines</w:t>
                          </w:r>
                        </w:p>
                        <w:p w14:paraId="02A3BFD4" w14:textId="77777777" w:rsidR="001F340B" w:rsidRDefault="00A73F00">
                          <w:pPr>
                            <w:spacing w:line="275" w:lineRule="auto"/>
                            <w:textDirection w:val="btLr"/>
                          </w:pPr>
                          <w:r>
                            <w:rPr>
                              <w:rFonts w:ascii="Arial" w:eastAsia="Arial" w:hAnsi="Arial" w:cs="Arial"/>
                              <w:b/>
                              <w:color w:val="000000"/>
                              <w:sz w:val="28"/>
                            </w:rPr>
                            <w:t>DEPARTMENT OF SCIENCE AND TECHNOLOGY</w:t>
                          </w:r>
                        </w:p>
                        <w:p w14:paraId="02A3BFD5" w14:textId="77777777" w:rsidR="001F340B" w:rsidRDefault="001F340B">
                          <w:pPr>
                            <w:spacing w:line="275" w:lineRule="auto"/>
                            <w:textDirection w:val="btLr"/>
                          </w:pPr>
                        </w:p>
                        <w:p w14:paraId="02A3BFD6" w14:textId="77777777" w:rsidR="001F340B" w:rsidRDefault="001F340B">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02A3BFCD" id="Rectangle 1" o:spid="_x0000_s1026" style="position:absolute;margin-left:48.9pt;margin-top:2.85pt;width:353.5pt;height:47.9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" stroked="f">
              <v:textbox inset="2.53958mm,1.2694mm,2.53958mm,1.2694mm">
                <w:txbxContent>
                  <w:p w14:paraId="02A3BFD3" w14:textId="77777777" w:rsidR="001F340B" w:rsidRDefault="00A73F00">
                    <w:pPr>
                      <w:spacing w:line="275" w:lineRule="auto"/>
                      <w:textDirection w:val="btLr"/>
                    </w:pPr>
                    <w:r>
                      <w:rPr>
                        <w:rFonts w:ascii="Arial" w:eastAsia="Arial" w:hAnsi="Arial" w:cs="Arial"/>
                        <w:color w:val="000000"/>
                        <w:sz w:val="20"/>
                      </w:rPr>
                      <w:t>Republic of the Philippines</w:t>
                    </w:r>
                  </w:p>
                  <w:p w14:paraId="02A3BFD4" w14:textId="77777777" w:rsidR="001F340B" w:rsidRDefault="00A73F00">
                    <w:pPr>
                      <w:spacing w:line="275" w:lineRule="auto"/>
                      <w:textDirection w:val="btLr"/>
                    </w:pPr>
                    <w:r>
                      <w:rPr>
                        <w:rFonts w:ascii="Arial" w:eastAsia="Arial" w:hAnsi="Arial" w:cs="Arial"/>
                        <w:b/>
                        <w:color w:val="000000"/>
                        <w:sz w:val="28"/>
                      </w:rPr>
                      <w:t>DEPARTMENT OF SCIENCE AND TECHNOLOGY</w:t>
                    </w:r>
                  </w:p>
                  <w:p w14:paraId="02A3BFD5" w14:textId="77777777" w:rsidR="001F340B" w:rsidRDefault="001F340B">
                    <w:pPr>
                      <w:spacing w:line="275" w:lineRule="auto"/>
                      <w:textDirection w:val="btLr"/>
                    </w:pPr>
                  </w:p>
                  <w:p w14:paraId="02A3BFD6" w14:textId="77777777" w:rsidR="001F340B" w:rsidRDefault="001F340B">
                    <w:pPr>
                      <w:spacing w:line="275" w:lineRule="auto"/>
                      <w:textDirection w:val="btLr"/>
                    </w:pPr>
                  </w:p>
                </w:txbxContent>
              </v:textbox>
              <w10:wrap type="topAndBottom"/>
            </v:rect>
          </w:pict>
        </mc:Fallback>
      </mc:AlternateContent>
    </w:r>
    <w:r>
      <w:rPr>
        <w:noProof/>
      </w:rPr>
      <w:drawing>
        <wp:anchor distT="0" distB="0" distL="114300" distR="114300" simplePos="0" relativeHeight="251659264" behindDoc="0" locked="0" layoutInCell="1" hidden="0" allowOverlap="1" wp14:anchorId="02A3BFCF" wp14:editId="02A3BFD0">
          <wp:simplePos x="0" y="0"/>
          <wp:positionH relativeFrom="column">
            <wp:posOffset>5186680</wp:posOffset>
          </wp:positionH>
          <wp:positionV relativeFrom="paragraph">
            <wp:posOffset>-106040</wp:posOffset>
          </wp:positionV>
          <wp:extent cx="792480" cy="732155"/>
          <wp:effectExtent l="0" t="0" r="0" b="0"/>
          <wp:wrapTopAndBottom distT="0" dist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92480" cy="73215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02A3BFD1" wp14:editId="02A3BFD2">
          <wp:simplePos x="0" y="0"/>
          <wp:positionH relativeFrom="column">
            <wp:posOffset>4</wp:posOffset>
          </wp:positionH>
          <wp:positionV relativeFrom="paragraph">
            <wp:posOffset>-5711</wp:posOffset>
          </wp:positionV>
          <wp:extent cx="685800" cy="685800"/>
          <wp:effectExtent l="0" t="0" r="0" b="0"/>
          <wp:wrapTopAndBottom distT="0" distB="0"/>
          <wp:docPr id="9" name="image2.png" descr="DOST corporate logo_shadow"/>
          <wp:cNvGraphicFramePr/>
          <a:graphic xmlns:a="http://schemas.openxmlformats.org/drawingml/2006/main">
            <a:graphicData uri="http://schemas.openxmlformats.org/drawingml/2006/picture">
              <pic:pic xmlns:pic="http://schemas.openxmlformats.org/drawingml/2006/picture">
                <pic:nvPicPr>
                  <pic:cNvPr id="0" name="image2.png" descr="DOST corporate logo_shadow"/>
                  <pic:cNvPicPr preferRelativeResize="0"/>
                </pic:nvPicPr>
                <pic:blipFill>
                  <a:blip r:embed="rId2"/>
                  <a:srcRect/>
                  <a:stretch>
                    <a:fillRect/>
                  </a:stretch>
                </pic:blipFill>
                <pic:spPr>
                  <a:xfrm>
                    <a:off x="0" y="0"/>
                    <a:ext cx="685800" cy="685800"/>
                  </a:xfrm>
                  <a:prstGeom prst="rect">
                    <a:avLst/>
                  </a:prstGeom>
                  <a:ln/>
                </pic:spPr>
              </pic:pic>
            </a:graphicData>
          </a:graphic>
        </wp:anchor>
      </w:drawing>
    </w:r>
  </w:p>
  <w:p w14:paraId="02A3BFCB" w14:textId="77777777" w:rsidR="001F340B" w:rsidRDefault="001F340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861"/>
    <w:multiLevelType w:val="multilevel"/>
    <w:tmpl w:val="CB66B5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F903C1"/>
    <w:multiLevelType w:val="multilevel"/>
    <w:tmpl w:val="7F4E3A3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00C4008"/>
    <w:multiLevelType w:val="multilevel"/>
    <w:tmpl w:val="65782690"/>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4FF7B24"/>
    <w:multiLevelType w:val="multilevel"/>
    <w:tmpl w:val="E522049A"/>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5E681836"/>
    <w:multiLevelType w:val="multilevel"/>
    <w:tmpl w:val="F9DAE7DE"/>
    <w:lvl w:ilvl="0">
      <w:start w:val="1"/>
      <w:numFmt w:val="decimal"/>
      <w:lvlText w:val="%1."/>
      <w:lvlJc w:val="left"/>
      <w:pPr>
        <w:ind w:left="720" w:hanging="360"/>
      </w:pPr>
      <w:rPr>
        <w:b w:val="0"/>
        <w:bCs w:val="0"/>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75A45730"/>
    <w:multiLevelType w:val="multilevel"/>
    <w:tmpl w:val="472E32E0"/>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9295075">
    <w:abstractNumId w:val="4"/>
  </w:num>
  <w:num w:numId="2" w16cid:durableId="610818453">
    <w:abstractNumId w:val="5"/>
  </w:num>
  <w:num w:numId="3" w16cid:durableId="1941405279">
    <w:abstractNumId w:val="0"/>
  </w:num>
  <w:num w:numId="4" w16cid:durableId="404650020">
    <w:abstractNumId w:val="1"/>
  </w:num>
  <w:num w:numId="5" w16cid:durableId="1536775592">
    <w:abstractNumId w:val="3"/>
  </w:num>
  <w:num w:numId="6" w16cid:durableId="12986040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40B"/>
    <w:rsid w:val="00032913"/>
    <w:rsid w:val="0005650C"/>
    <w:rsid w:val="000B0704"/>
    <w:rsid w:val="000B5251"/>
    <w:rsid w:val="000D5C78"/>
    <w:rsid w:val="000F3BA4"/>
    <w:rsid w:val="001A43A9"/>
    <w:rsid w:val="001F340B"/>
    <w:rsid w:val="002374CD"/>
    <w:rsid w:val="002429C0"/>
    <w:rsid w:val="0024527A"/>
    <w:rsid w:val="002D020C"/>
    <w:rsid w:val="002F167E"/>
    <w:rsid w:val="00304F19"/>
    <w:rsid w:val="00330372"/>
    <w:rsid w:val="003431CC"/>
    <w:rsid w:val="00345ACB"/>
    <w:rsid w:val="003A62A2"/>
    <w:rsid w:val="00444453"/>
    <w:rsid w:val="004A277F"/>
    <w:rsid w:val="0050789B"/>
    <w:rsid w:val="00544DC9"/>
    <w:rsid w:val="005B1048"/>
    <w:rsid w:val="005B18D0"/>
    <w:rsid w:val="005B27E0"/>
    <w:rsid w:val="006121FB"/>
    <w:rsid w:val="006242AA"/>
    <w:rsid w:val="0067221C"/>
    <w:rsid w:val="006B40F5"/>
    <w:rsid w:val="006D2739"/>
    <w:rsid w:val="006F0890"/>
    <w:rsid w:val="00716926"/>
    <w:rsid w:val="00751E58"/>
    <w:rsid w:val="00755098"/>
    <w:rsid w:val="0078108F"/>
    <w:rsid w:val="007C209D"/>
    <w:rsid w:val="007D3FCF"/>
    <w:rsid w:val="00837BC8"/>
    <w:rsid w:val="008426FA"/>
    <w:rsid w:val="0084466C"/>
    <w:rsid w:val="008F640F"/>
    <w:rsid w:val="00987D86"/>
    <w:rsid w:val="009934C6"/>
    <w:rsid w:val="009A6D56"/>
    <w:rsid w:val="009C24F3"/>
    <w:rsid w:val="00A03A97"/>
    <w:rsid w:val="00A26579"/>
    <w:rsid w:val="00A73F00"/>
    <w:rsid w:val="00AD675A"/>
    <w:rsid w:val="00AD6829"/>
    <w:rsid w:val="00AE6291"/>
    <w:rsid w:val="00C27A2D"/>
    <w:rsid w:val="00C464E9"/>
    <w:rsid w:val="00CC42D6"/>
    <w:rsid w:val="00CD5E1D"/>
    <w:rsid w:val="00CF2538"/>
    <w:rsid w:val="00D033EA"/>
    <w:rsid w:val="00D8289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BBD6"/>
  <w15:docId w15:val="{E8B220C0-6E52-4402-949B-DE294DDD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zh-CN"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after="0" w:line="240" w:lineRule="auto"/>
      <w:ind w:left="720" w:hanging="720"/>
      <w:outlineLvl w:val="0"/>
    </w:pPr>
    <w:rPr>
      <w:rFonts w:ascii="Arial" w:eastAsia="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ind w:hanging="1"/>
    </w:pPr>
    <w:tblPr>
      <w:tblStyleRowBandSize w:val="1"/>
      <w:tblStyleColBandSize w:val="1"/>
      <w:tblCellMar>
        <w:top w:w="0" w:type="dxa"/>
        <w:left w:w="108" w:type="dxa"/>
        <w:bottom w:w="0" w:type="dxa"/>
        <w:right w:w="108" w:type="dxa"/>
      </w:tblCellMar>
    </w:tblPr>
  </w:style>
  <w:style w:type="table" w:customStyle="1" w:styleId="a1">
    <w:basedOn w:val="TableNormal0"/>
    <w:pPr>
      <w:ind w:hanging="1"/>
    </w:pPr>
    <w:tblPr>
      <w:tblStyleRowBandSize w:val="1"/>
      <w:tblStyleColBandSize w:val="1"/>
      <w:tblCellMar>
        <w:top w:w="0" w:type="dxa"/>
        <w:left w:w="108" w:type="dxa"/>
        <w:bottom w:w="0" w:type="dxa"/>
        <w:right w:w="108" w:type="dxa"/>
      </w:tblCellMar>
    </w:tblPr>
  </w:style>
  <w:style w:type="table" w:customStyle="1" w:styleId="a2">
    <w:basedOn w:val="TableNormal0"/>
    <w:pPr>
      <w:ind w:hanging="1"/>
    </w:pPr>
    <w:tblPr>
      <w:tblStyleRowBandSize w:val="1"/>
      <w:tblStyleColBandSize w:val="1"/>
      <w:tblCellMar>
        <w:top w:w="0" w:type="dxa"/>
        <w:left w:w="108" w:type="dxa"/>
        <w:bottom w:w="0" w:type="dxa"/>
        <w:right w:w="108" w:type="dxa"/>
      </w:tblCellMar>
    </w:tblPr>
  </w:style>
  <w:style w:type="table" w:customStyle="1" w:styleId="a3">
    <w:basedOn w:val="TableNormal0"/>
    <w:pPr>
      <w:ind w:hanging="1"/>
    </w:pPr>
    <w:tblPr>
      <w:tblStyleRowBandSize w:val="1"/>
      <w:tblStyleColBandSize w:val="1"/>
      <w:tblCellMar>
        <w:top w:w="0" w:type="dxa"/>
        <w:left w:w="108" w:type="dxa"/>
        <w:bottom w:w="0" w:type="dxa"/>
        <w:right w:w="108" w:type="dxa"/>
      </w:tblCellMar>
    </w:tblPr>
  </w:style>
  <w:style w:type="table" w:customStyle="1" w:styleId="a4">
    <w:basedOn w:val="TableNormal0"/>
    <w:pPr>
      <w:ind w:hanging="1"/>
    </w:pPr>
    <w:tblPr>
      <w:tblStyleRowBandSize w:val="1"/>
      <w:tblStyleColBandSize w:val="1"/>
      <w:tblCellMar>
        <w:top w:w="0" w:type="dxa"/>
        <w:left w:w="108" w:type="dxa"/>
        <w:bottom w:w="0" w:type="dxa"/>
        <w:right w:w="108" w:type="dxa"/>
      </w:tblCellMar>
    </w:tblPr>
  </w:style>
  <w:style w:type="table" w:customStyle="1" w:styleId="a5">
    <w:basedOn w:val="TableNormal0"/>
    <w:pPr>
      <w:ind w:hanging="1"/>
    </w:pPr>
    <w:tblPr>
      <w:tblStyleRowBandSize w:val="1"/>
      <w:tblStyleColBandSize w:val="1"/>
      <w:tblCellMar>
        <w:top w:w="0" w:type="dxa"/>
        <w:left w:w="108" w:type="dxa"/>
        <w:bottom w:w="0" w:type="dxa"/>
        <w:right w:w="108" w:type="dxa"/>
      </w:tblCellMar>
    </w:tblPr>
  </w:style>
  <w:style w:type="table" w:customStyle="1" w:styleId="a6">
    <w:basedOn w:val="TableNormal0"/>
    <w:pPr>
      <w:ind w:hanging="1"/>
    </w:pPr>
    <w:tblPr>
      <w:tblStyleRowBandSize w:val="1"/>
      <w:tblStyleColBandSize w:val="1"/>
      <w:tblCellMar>
        <w:top w:w="0" w:type="dxa"/>
        <w:left w:w="108" w:type="dxa"/>
        <w:bottom w:w="0" w:type="dxa"/>
        <w:right w:w="108" w:type="dxa"/>
      </w:tblCellMar>
    </w:tblPr>
  </w:style>
  <w:style w:type="table" w:customStyle="1" w:styleId="a7">
    <w:basedOn w:val="TableNormal0"/>
    <w:pPr>
      <w:ind w:hanging="1"/>
    </w:pPr>
    <w:tblPr>
      <w:tblStyleRowBandSize w:val="1"/>
      <w:tblStyleColBandSize w:val="1"/>
      <w:tblCellMar>
        <w:top w:w="0" w:type="dxa"/>
        <w:left w:w="108" w:type="dxa"/>
        <w:bottom w:w="0" w:type="dxa"/>
        <w:right w:w="108" w:type="dxa"/>
      </w:tblCellMar>
    </w:tblPr>
  </w:style>
  <w:style w:type="table" w:customStyle="1" w:styleId="a8">
    <w:basedOn w:val="TableNormal0"/>
    <w:pPr>
      <w:ind w:hanging="1"/>
    </w:pPr>
    <w:tblPr>
      <w:tblStyleRowBandSize w:val="1"/>
      <w:tblStyleColBandSize w:val="1"/>
      <w:tblCellMar>
        <w:top w:w="0" w:type="dxa"/>
        <w:left w:w="108" w:type="dxa"/>
        <w:bottom w:w="0" w:type="dxa"/>
        <w:right w:w="108" w:type="dxa"/>
      </w:tblCellMar>
    </w:tblPr>
  </w:style>
  <w:style w:type="table" w:customStyle="1" w:styleId="a9">
    <w:basedOn w:val="TableNormal0"/>
    <w:pPr>
      <w:ind w:hanging="1"/>
    </w:pPr>
    <w:tblPr>
      <w:tblStyleRowBandSize w:val="1"/>
      <w:tblStyleColBandSize w:val="1"/>
      <w:tblCellMar>
        <w:top w:w="0" w:type="dxa"/>
        <w:left w:w="108" w:type="dxa"/>
        <w:bottom w:w="0" w:type="dxa"/>
        <w:right w:w="108" w:type="dxa"/>
      </w:tblCellMar>
    </w:tblPr>
  </w:style>
  <w:style w:type="table" w:customStyle="1" w:styleId="aa">
    <w:basedOn w:val="TableNormal0"/>
    <w:pPr>
      <w:ind w:hanging="1"/>
    </w:pPr>
    <w:tblPr>
      <w:tblStyleRowBandSize w:val="1"/>
      <w:tblStyleColBandSize w:val="1"/>
      <w:tblCellMar>
        <w:top w:w="0" w:type="dxa"/>
        <w:left w:w="108" w:type="dxa"/>
        <w:bottom w:w="0" w:type="dxa"/>
        <w:right w:w="108" w:type="dxa"/>
      </w:tblCellMar>
    </w:tblPr>
  </w:style>
  <w:style w:type="table" w:customStyle="1" w:styleId="ab">
    <w:basedOn w:val="TableNormal0"/>
    <w:pPr>
      <w:ind w:hanging="1"/>
    </w:pPr>
    <w:tblPr>
      <w:tblStyleRowBandSize w:val="1"/>
      <w:tblStyleColBandSize w:val="1"/>
      <w:tblCellMar>
        <w:top w:w="0" w:type="dxa"/>
        <w:left w:w="108" w:type="dxa"/>
        <w:bottom w:w="0" w:type="dxa"/>
        <w:right w:w="108" w:type="dxa"/>
      </w:tblCellMar>
    </w:tblPr>
  </w:style>
  <w:style w:type="table" w:customStyle="1" w:styleId="ac">
    <w:basedOn w:val="TableNormal0"/>
    <w:pPr>
      <w:ind w:hanging="1"/>
    </w:pPr>
    <w:tblPr>
      <w:tblStyleRowBandSize w:val="1"/>
      <w:tblStyleColBandSize w:val="1"/>
      <w:tblCellMar>
        <w:top w:w="0" w:type="dxa"/>
        <w:left w:w="108" w:type="dxa"/>
        <w:bottom w:w="0" w:type="dxa"/>
        <w:right w:w="108" w:type="dxa"/>
      </w:tblCellMar>
    </w:tblPr>
  </w:style>
  <w:style w:type="table" w:customStyle="1" w:styleId="ad">
    <w:basedOn w:val="TableNormal0"/>
    <w:pPr>
      <w:ind w:hanging="1"/>
    </w:pPr>
    <w:tblPr>
      <w:tblStyleRowBandSize w:val="1"/>
      <w:tblStyleColBandSize w:val="1"/>
      <w:tblCellMar>
        <w:top w:w="0" w:type="dxa"/>
        <w:left w:w="108" w:type="dxa"/>
        <w:bottom w:w="0" w:type="dxa"/>
        <w:right w:w="108" w:type="dxa"/>
      </w:tblCellMar>
    </w:tblPr>
  </w:style>
  <w:style w:type="table" w:customStyle="1" w:styleId="ae">
    <w:basedOn w:val="TableNormal0"/>
    <w:pPr>
      <w:ind w:hanging="1"/>
    </w:pPr>
    <w:tblPr>
      <w:tblStyleRowBandSize w:val="1"/>
      <w:tblStyleColBandSize w:val="1"/>
      <w:tblCellMar>
        <w:top w:w="0" w:type="dxa"/>
        <w:left w:w="108" w:type="dxa"/>
        <w:bottom w:w="0" w:type="dxa"/>
        <w:right w:w="108" w:type="dxa"/>
      </w:tblCellMar>
    </w:tblPr>
  </w:style>
  <w:style w:type="table" w:customStyle="1" w:styleId="af">
    <w:basedOn w:val="TableNormal0"/>
    <w:pPr>
      <w:ind w:hanging="1"/>
    </w:pPr>
    <w:tblPr>
      <w:tblStyleRowBandSize w:val="1"/>
      <w:tblStyleColBandSize w:val="1"/>
      <w:tblCellMar>
        <w:top w:w="0" w:type="dxa"/>
        <w:left w:w="108" w:type="dxa"/>
        <w:bottom w:w="0" w:type="dxa"/>
        <w:right w:w="108" w:type="dxa"/>
      </w:tblCellMar>
    </w:tblPr>
  </w:style>
  <w:style w:type="table" w:customStyle="1" w:styleId="af0">
    <w:basedOn w:val="TableNormal0"/>
    <w:pPr>
      <w:ind w:hanging="1"/>
    </w:pPr>
    <w:tblPr>
      <w:tblStyleRowBandSize w:val="1"/>
      <w:tblStyleColBandSize w:val="1"/>
      <w:tblCellMar>
        <w:top w:w="0" w:type="dxa"/>
        <w:left w:w="108" w:type="dxa"/>
        <w:bottom w:w="0" w:type="dxa"/>
        <w:right w:w="108" w:type="dxa"/>
      </w:tblCellMar>
    </w:tblPr>
  </w:style>
  <w:style w:type="table" w:customStyle="1" w:styleId="af1">
    <w:basedOn w:val="TableNormal0"/>
    <w:pPr>
      <w:ind w:hanging="1"/>
    </w:pPr>
    <w:tblPr>
      <w:tblStyleRowBandSize w:val="1"/>
      <w:tblStyleColBandSize w:val="1"/>
      <w:tblCellMar>
        <w:top w:w="0" w:type="dxa"/>
        <w:left w:w="108" w:type="dxa"/>
        <w:bottom w:w="0" w:type="dxa"/>
        <w:right w:w="108" w:type="dxa"/>
      </w:tblCellMar>
    </w:tblPr>
  </w:style>
  <w:style w:type="table" w:customStyle="1" w:styleId="af2">
    <w:basedOn w:val="TableNormal0"/>
    <w:pPr>
      <w:ind w:hanging="1"/>
    </w:pPr>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80/14780887.2020.1769238" TargetMode="External"/><Relationship Id="rId18" Type="http://schemas.openxmlformats.org/officeDocument/2006/relationships/hyperlink" Target="https://doi.org/10.2196/37290" TargetMode="External"/><Relationship Id="rId26" Type="http://schemas.openxmlformats.org/officeDocument/2006/relationships/hyperlink" Target="https://doi.org/10.1016/j.imu.2022.101008" TargetMode="External"/><Relationship Id="rId39" Type="http://schemas.openxmlformats.org/officeDocument/2006/relationships/fontTable" Target="fontTable.xml"/><Relationship Id="rId21" Type="http://schemas.openxmlformats.org/officeDocument/2006/relationships/hyperlink" Target="https://doi.org/10.1371/journal.pone.0123755"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s41598-022-09954-8" TargetMode="External"/><Relationship Id="rId25" Type="http://schemas.openxmlformats.org/officeDocument/2006/relationships/hyperlink" Target="https://doi.org/10.1016/j.techsoc.2023.102443"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i.org/10.1038/s41598-022-09954-8" TargetMode="External"/><Relationship Id="rId20" Type="http://schemas.openxmlformats.org/officeDocument/2006/relationships/hyperlink" Target="https://doi.org/10.5210/ojphi.v12i1.10601" TargetMode="External"/><Relationship Id="rId29" Type="http://schemas.openxmlformats.org/officeDocument/2006/relationships/hyperlink" Target="https://doi.org/10.3389/fpubh.2025.16096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98-024-56706-x" TargetMode="External"/><Relationship Id="rId32" Type="http://schemas.openxmlformats.org/officeDocument/2006/relationships/image" Target="media/image6.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38/s43588-025-00798-6" TargetMode="External"/><Relationship Id="rId23" Type="http://schemas.openxmlformats.org/officeDocument/2006/relationships/hyperlink" Target="https://doi.org/10.1038/s41598-024-56706-x" TargetMode="External"/><Relationship Id="rId28" Type="http://schemas.openxmlformats.org/officeDocument/2006/relationships/hyperlink" Target="https://doi.org/10.3390/tropicalmed9100250"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i.org/10.2196/37290" TargetMode="External"/><Relationship Id="rId31" Type="http://schemas.openxmlformats.org/officeDocument/2006/relationships/hyperlink" Target="https://www.who.int/news-room/fact-sheets/detail/dengue-and-severe-dengu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4780887.2020.1769238" TargetMode="External"/><Relationship Id="rId22" Type="http://schemas.openxmlformats.org/officeDocument/2006/relationships/hyperlink" Target="https://doi.org/10.1098/rstb.2018.0276" TargetMode="External"/><Relationship Id="rId27" Type="http://schemas.openxmlformats.org/officeDocument/2006/relationships/hyperlink" Target="https://doi.org/10.1038/s41598-022-10512-5" TargetMode="External"/><Relationship Id="rId30" Type="http://schemas.openxmlformats.org/officeDocument/2006/relationships/hyperlink" Target="https://www.who.int/southeastasia/outbreaks-and-emergencies/surveillance-and-alert"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QmaAt6NMpoBhBr/YA/GEfuWHbg==">CgMxLjA4AHIhMVNPaEJDSThUUE1XS25KOWRNNkN3S3JWX0VZNHVrdEIt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41</Pages>
  <Words>21051</Words>
  <Characters>131572</Characters>
  <Application>Microsoft Office Word</Application>
  <DocSecurity>0</DocSecurity>
  <Lines>3556</Lines>
  <Paragraphs>1165</Paragraphs>
  <ScaleCrop>false</ScaleCrop>
  <Company/>
  <LinksUpToDate>false</LinksUpToDate>
  <CharactersWithSpaces>151458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Charlie Marzan</dc:creator>
  <cp:lastModifiedBy>Charlie Marzan</cp:lastModifiedBy>
  <cp:revision>50</cp:revision>
  <cp:lastPrinted>2026-06-03T03:40:00Z</cp:lastPrinted>
  <dcterms:created xsi:type="dcterms:W3CDTF">2026-05-17T14:51:00Z</dcterms:created>
  <dcterms:modified xsi:type="dcterms:W3CDTF">2026-06-03T04:04:00Z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dd2756de-6929-4039-ad1a-0473359a4bfd</vt:lpwstr>
  </property>
</Properties>
</file>