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73A4BE" w14:textId="0F7CC1C3" w:rsidR="005F499C" w:rsidRPr="003C1705" w:rsidRDefault="003C1705" w:rsidP="003C1705">
      <w:pPr>
        <w:pStyle w:val="TitlePageText"/>
        <w:spacing w:before="2400" w:after="960" w:line="480" w:lineRule="auto"/>
      </w:pPr>
      <w:proofErr w:type="spellStart"/>
      <w:r w:rsidRPr="003C1705">
        <w:rPr>
          <w:b/>
          <w:bCs/>
        </w:rPr>
        <w:t>HealthAlert</w:t>
      </w:r>
      <w:proofErr w:type="spellEnd"/>
      <w:r w:rsidR="00000000" w:rsidRPr="003C1705">
        <w:rPr>
          <w:b/>
          <w:bCs/>
        </w:rPr>
        <w:t>: Development of an AI-Powered Public Health Surveillance and Predictive Analytics System for Disease Monitoring in Region I</w:t>
      </w:r>
    </w:p>
    <w:p w14:paraId="1584030A" w14:textId="77777777" w:rsidR="005F499C" w:rsidRPr="003C1705" w:rsidRDefault="00000000" w:rsidP="003C1705">
      <w:pPr>
        <w:pStyle w:val="TitlePageText"/>
        <w:spacing w:after="1800" w:line="480" w:lineRule="auto"/>
      </w:pPr>
      <w:r w:rsidRPr="003C1705">
        <w:t>A Research Proposal</w:t>
      </w:r>
    </w:p>
    <w:p w14:paraId="04754D56" w14:textId="77777777" w:rsidR="005F499C" w:rsidRPr="003C1705" w:rsidRDefault="00000000" w:rsidP="003C1705">
      <w:pPr>
        <w:pStyle w:val="TitlePageText"/>
        <w:spacing w:after="60" w:line="480" w:lineRule="auto"/>
      </w:pPr>
      <w:r w:rsidRPr="003C1705">
        <w:rPr>
          <w:b/>
          <w:bCs/>
        </w:rPr>
        <w:t>Implementing Agency</w:t>
      </w:r>
    </w:p>
    <w:p w14:paraId="23248049" w14:textId="77777777" w:rsidR="005F499C" w:rsidRPr="003C1705" w:rsidRDefault="00000000" w:rsidP="003C1705">
      <w:pPr>
        <w:pStyle w:val="TitlePageText"/>
        <w:spacing w:after="0" w:line="480" w:lineRule="auto"/>
      </w:pPr>
      <w:r w:rsidRPr="003C1705">
        <w:t>Don Mariano Marcos Memorial State University</w:t>
      </w:r>
    </w:p>
    <w:p w14:paraId="4A5A3228" w14:textId="77777777" w:rsidR="005F499C" w:rsidRPr="003C1705" w:rsidRDefault="00000000" w:rsidP="003C1705">
      <w:pPr>
        <w:pStyle w:val="TitlePageText"/>
        <w:spacing w:after="720" w:line="480" w:lineRule="auto"/>
      </w:pPr>
      <w:r w:rsidRPr="003C1705">
        <w:t>South La Union Campus</w:t>
      </w:r>
    </w:p>
    <w:p w14:paraId="014306DF" w14:textId="77777777" w:rsidR="005F499C" w:rsidRPr="003C1705" w:rsidRDefault="00000000" w:rsidP="003C1705">
      <w:pPr>
        <w:pStyle w:val="TitlePageText"/>
        <w:spacing w:after="60" w:line="480" w:lineRule="auto"/>
      </w:pPr>
      <w:r w:rsidRPr="003C1705">
        <w:rPr>
          <w:b/>
          <w:bCs/>
        </w:rPr>
        <w:t>Project Leader</w:t>
      </w:r>
    </w:p>
    <w:p w14:paraId="036B406E" w14:textId="77777777" w:rsidR="005F499C" w:rsidRPr="003C1705" w:rsidRDefault="00000000" w:rsidP="003C1705">
      <w:pPr>
        <w:pStyle w:val="TitlePageText"/>
        <w:spacing w:after="0" w:line="480" w:lineRule="auto"/>
        <w:sectPr w:rsidR="005F499C" w:rsidRPr="003C1705">
          <w:headerReference w:type="default" r:id="rId8"/>
          <w:footerReference w:type="default" r:id="rId9"/>
          <w:pgSz w:w="11906" w:h="16838"/>
          <w:pgMar w:top="1440" w:right="1440" w:bottom="1440" w:left="2160" w:header="708" w:footer="708" w:gutter="0"/>
          <w:cols w:space="720"/>
        </w:sectPr>
      </w:pPr>
      <w:r w:rsidRPr="003C1705">
        <w:t>Charlie S. Marzan</w:t>
      </w:r>
    </w:p>
    <w:p w14:paraId="44935DE8" w14:textId="77777777" w:rsidR="005F499C" w:rsidRPr="003C1705" w:rsidRDefault="00000000" w:rsidP="003C1705">
      <w:pPr>
        <w:pStyle w:val="FrontMatterHeading"/>
        <w:spacing w:line="480" w:lineRule="auto"/>
      </w:pPr>
      <w:r w:rsidRPr="003C1705">
        <w:lastRenderedPageBreak/>
        <w:t>TABLE OF CONTENTS</w:t>
      </w:r>
    </w:p>
    <w:p w14:paraId="6486571E" w14:textId="77777777" w:rsidR="005F499C" w:rsidRPr="003C1705" w:rsidRDefault="00000000" w:rsidP="003C1705">
      <w:pPr>
        <w:pStyle w:val="TOC1"/>
        <w:spacing w:line="480" w:lineRule="auto"/>
      </w:pPr>
      <w:r w:rsidRPr="003C1705">
        <w:fldChar w:fldCharType="begin"/>
      </w:r>
      <w:r w:rsidRPr="003C1705">
        <w:instrText xml:space="preserve"> TOC \o "1-3" \z \u </w:instrText>
      </w:r>
      <w:r w:rsidRPr="003C1705">
        <w:fldChar w:fldCharType="separate"/>
      </w:r>
      <w:r w:rsidRPr="003C1705">
        <w:t>I. PROJECT PROFILE</w:t>
      </w:r>
      <w:r w:rsidRPr="003C1705">
        <w:tab/>
        <w:t>1</w:t>
      </w:r>
    </w:p>
    <w:p w14:paraId="10C8FF94" w14:textId="77777777" w:rsidR="005F499C" w:rsidRPr="003C1705" w:rsidRDefault="00000000" w:rsidP="003C1705">
      <w:pPr>
        <w:pStyle w:val="TOC1"/>
        <w:spacing w:line="480" w:lineRule="auto"/>
      </w:pPr>
      <w:r w:rsidRPr="003C1705">
        <w:t>II. EXECUTIVE SUMMARY</w:t>
      </w:r>
      <w:r w:rsidRPr="003C1705">
        <w:tab/>
        <w:t>2</w:t>
      </w:r>
    </w:p>
    <w:p w14:paraId="0A0196E7" w14:textId="77777777" w:rsidR="005F499C" w:rsidRPr="003C1705" w:rsidRDefault="00000000" w:rsidP="003C1705">
      <w:pPr>
        <w:pStyle w:val="TOC1"/>
        <w:spacing w:line="480" w:lineRule="auto"/>
      </w:pPr>
      <w:r w:rsidRPr="003C1705">
        <w:t>III. INTRODUCTION</w:t>
      </w:r>
      <w:r w:rsidRPr="003C1705">
        <w:tab/>
        <w:t>6</w:t>
      </w:r>
    </w:p>
    <w:p w14:paraId="7A06CFFD" w14:textId="77777777" w:rsidR="005F499C" w:rsidRPr="003C1705" w:rsidRDefault="00000000" w:rsidP="003C1705">
      <w:pPr>
        <w:pStyle w:val="TOC2"/>
        <w:spacing w:line="480" w:lineRule="auto"/>
      </w:pPr>
      <w:r w:rsidRPr="003C1705">
        <w:t>Scientific Basis/Theoretical Framework</w:t>
      </w:r>
      <w:r w:rsidRPr="003C1705">
        <w:tab/>
        <w:t>10</w:t>
      </w:r>
    </w:p>
    <w:p w14:paraId="72662653" w14:textId="77777777" w:rsidR="005F499C" w:rsidRPr="003C1705" w:rsidRDefault="00000000" w:rsidP="003C1705">
      <w:pPr>
        <w:pStyle w:val="TOC2"/>
        <w:spacing w:line="480" w:lineRule="auto"/>
      </w:pPr>
      <w:r w:rsidRPr="003C1705">
        <w:t>General Objectives</w:t>
      </w:r>
      <w:r w:rsidRPr="003C1705">
        <w:tab/>
        <w:t>14</w:t>
      </w:r>
    </w:p>
    <w:p w14:paraId="53D94373" w14:textId="77777777" w:rsidR="005F499C" w:rsidRPr="003C1705" w:rsidRDefault="00000000" w:rsidP="003C1705">
      <w:pPr>
        <w:pStyle w:val="TOC2"/>
        <w:spacing w:line="480" w:lineRule="auto"/>
      </w:pPr>
      <w:r w:rsidRPr="003C1705">
        <w:t>Specific Objectives</w:t>
      </w:r>
      <w:r w:rsidRPr="003C1705">
        <w:tab/>
        <w:t>14</w:t>
      </w:r>
    </w:p>
    <w:p w14:paraId="50FD7203" w14:textId="77777777" w:rsidR="005F499C" w:rsidRPr="003C1705" w:rsidRDefault="00000000" w:rsidP="003C1705">
      <w:pPr>
        <w:pStyle w:val="TOC3"/>
        <w:spacing w:line="480" w:lineRule="auto"/>
      </w:pPr>
      <w:r w:rsidRPr="003C1705">
        <w:t>Study 1: Development of Machine Learning Models for Disease Trend Detection and Outbreak Forecasting</w:t>
      </w:r>
      <w:r w:rsidRPr="003C1705">
        <w:tab/>
        <w:t>14</w:t>
      </w:r>
    </w:p>
    <w:p w14:paraId="260BB1C3" w14:textId="68808A10" w:rsidR="005F499C" w:rsidRPr="003C1705" w:rsidRDefault="00000000" w:rsidP="003C1705">
      <w:pPr>
        <w:pStyle w:val="TOC3"/>
        <w:spacing w:line="480" w:lineRule="auto"/>
      </w:pPr>
      <w:r w:rsidRPr="003C1705">
        <w:t xml:space="preserve">Study 2: Development of the </w:t>
      </w:r>
      <w:proofErr w:type="spellStart"/>
      <w:r w:rsidR="003C1705">
        <w:t>HealthAlert</w:t>
      </w:r>
      <w:proofErr w:type="spellEnd"/>
      <w:r w:rsidRPr="003C1705">
        <w:t xml:space="preserve"> Surveillance and Predictive Analytics Platform</w:t>
      </w:r>
      <w:r w:rsidRPr="003C1705">
        <w:tab/>
        <w:t>15</w:t>
      </w:r>
    </w:p>
    <w:p w14:paraId="29AF430F" w14:textId="317EDB45" w:rsidR="005F499C" w:rsidRPr="003C1705" w:rsidRDefault="00000000" w:rsidP="003C1705">
      <w:pPr>
        <w:pStyle w:val="TOC3"/>
        <w:spacing w:line="480" w:lineRule="auto"/>
      </w:pPr>
      <w:r w:rsidRPr="003C1705">
        <w:t xml:space="preserve">Study 3: Validation and Pilot Implementation of </w:t>
      </w:r>
      <w:proofErr w:type="spellStart"/>
      <w:r w:rsidR="003C1705">
        <w:t>HealthAlert</w:t>
      </w:r>
      <w:proofErr w:type="spellEnd"/>
      <w:r w:rsidRPr="003C1705">
        <w:t xml:space="preserve"> in Region I</w:t>
      </w:r>
      <w:r w:rsidRPr="003C1705">
        <w:tab/>
        <w:t>15</w:t>
      </w:r>
    </w:p>
    <w:p w14:paraId="43AC5949" w14:textId="77777777" w:rsidR="005F499C" w:rsidRPr="003C1705" w:rsidRDefault="00000000" w:rsidP="003C1705">
      <w:pPr>
        <w:pStyle w:val="TOC2"/>
        <w:spacing w:line="480" w:lineRule="auto"/>
      </w:pPr>
      <w:r w:rsidRPr="003C1705">
        <w:t>Rationale/Significance</w:t>
      </w:r>
      <w:r w:rsidRPr="003C1705">
        <w:tab/>
        <w:t>16</w:t>
      </w:r>
    </w:p>
    <w:p w14:paraId="45EA2042" w14:textId="77777777" w:rsidR="005F499C" w:rsidRPr="003C1705" w:rsidRDefault="00000000" w:rsidP="003C1705">
      <w:pPr>
        <w:pStyle w:val="TOC1"/>
        <w:spacing w:line="480" w:lineRule="auto"/>
      </w:pPr>
      <w:r w:rsidRPr="003C1705">
        <w:t>IV. REVIEW OF RELATED LITERATURE</w:t>
      </w:r>
      <w:r w:rsidRPr="003C1705">
        <w:tab/>
        <w:t>18</w:t>
      </w:r>
    </w:p>
    <w:p w14:paraId="41E45C8B" w14:textId="77777777" w:rsidR="005F499C" w:rsidRPr="003C1705" w:rsidRDefault="00000000" w:rsidP="003C1705">
      <w:pPr>
        <w:pStyle w:val="TOC1"/>
        <w:spacing w:line="480" w:lineRule="auto"/>
      </w:pPr>
      <w:r w:rsidRPr="003C1705">
        <w:t>V. METHODOLOGY</w:t>
      </w:r>
      <w:r w:rsidRPr="003C1705">
        <w:tab/>
        <w:t>23</w:t>
      </w:r>
    </w:p>
    <w:p w14:paraId="70BF0ECB" w14:textId="77777777" w:rsidR="005F499C" w:rsidRPr="003C1705" w:rsidRDefault="00000000" w:rsidP="003C1705">
      <w:pPr>
        <w:pStyle w:val="TOC2"/>
        <w:spacing w:line="480" w:lineRule="auto"/>
      </w:pPr>
      <w:r w:rsidRPr="003C1705">
        <w:t>Research Design</w:t>
      </w:r>
      <w:r w:rsidRPr="003C1705">
        <w:tab/>
        <w:t>23</w:t>
      </w:r>
    </w:p>
    <w:p w14:paraId="6CA77AD4" w14:textId="77777777" w:rsidR="005F499C" w:rsidRPr="003C1705" w:rsidRDefault="00000000" w:rsidP="003C1705">
      <w:pPr>
        <w:pStyle w:val="TOC2"/>
        <w:spacing w:line="480" w:lineRule="auto"/>
      </w:pPr>
      <w:r w:rsidRPr="003C1705">
        <w:t>Materials and Procedures</w:t>
      </w:r>
      <w:r w:rsidRPr="003C1705">
        <w:tab/>
        <w:t>24</w:t>
      </w:r>
    </w:p>
    <w:p w14:paraId="7020053C" w14:textId="77777777" w:rsidR="005F499C" w:rsidRPr="003C1705" w:rsidRDefault="00000000" w:rsidP="003C1705">
      <w:pPr>
        <w:pStyle w:val="TOC3"/>
        <w:spacing w:line="480" w:lineRule="auto"/>
      </w:pPr>
      <w:r w:rsidRPr="003C1705">
        <w:t>Technical Tools and Development Environment</w:t>
      </w:r>
      <w:r w:rsidRPr="003C1705">
        <w:tab/>
        <w:t>26</w:t>
      </w:r>
    </w:p>
    <w:p w14:paraId="1775B022" w14:textId="77777777" w:rsidR="005F499C" w:rsidRPr="003C1705" w:rsidRDefault="00000000" w:rsidP="003C1705">
      <w:pPr>
        <w:pStyle w:val="TOC3"/>
        <w:spacing w:line="480" w:lineRule="auto"/>
      </w:pPr>
      <w:r w:rsidRPr="003C1705">
        <w:t>Study 1: Development of Machine Learning Models for Disease Trend Detection and Outbreak Forecasting</w:t>
      </w:r>
      <w:r w:rsidRPr="003C1705">
        <w:tab/>
        <w:t>27</w:t>
      </w:r>
    </w:p>
    <w:p w14:paraId="18F2BA08" w14:textId="486D4DD9" w:rsidR="005F499C" w:rsidRPr="003C1705" w:rsidRDefault="00000000" w:rsidP="003C1705">
      <w:pPr>
        <w:pStyle w:val="TOC3"/>
        <w:spacing w:line="480" w:lineRule="auto"/>
      </w:pPr>
      <w:r w:rsidRPr="003C1705">
        <w:t xml:space="preserve">Study 2: Development of the </w:t>
      </w:r>
      <w:proofErr w:type="spellStart"/>
      <w:r w:rsidR="003C1705">
        <w:t>HealthAlert</w:t>
      </w:r>
      <w:proofErr w:type="spellEnd"/>
      <w:r w:rsidRPr="003C1705">
        <w:t xml:space="preserve"> Surveillance and Predictive Analytics Platform</w:t>
      </w:r>
      <w:r w:rsidRPr="003C1705">
        <w:tab/>
        <w:t>39</w:t>
      </w:r>
    </w:p>
    <w:p w14:paraId="32D788CB" w14:textId="38D01833" w:rsidR="005F499C" w:rsidRPr="003C1705" w:rsidRDefault="00000000" w:rsidP="003C1705">
      <w:pPr>
        <w:pStyle w:val="TOC3"/>
        <w:spacing w:line="480" w:lineRule="auto"/>
      </w:pPr>
      <w:r w:rsidRPr="003C1705">
        <w:lastRenderedPageBreak/>
        <w:t xml:space="preserve">Study 3: Pilot Implementation and Validation of the </w:t>
      </w:r>
      <w:proofErr w:type="spellStart"/>
      <w:r w:rsidR="003C1705">
        <w:t>HealthAlert</w:t>
      </w:r>
      <w:proofErr w:type="spellEnd"/>
      <w:r w:rsidRPr="003C1705">
        <w:t xml:space="preserve"> Platform</w:t>
      </w:r>
      <w:r w:rsidRPr="003C1705">
        <w:tab/>
        <w:t>50</w:t>
      </w:r>
    </w:p>
    <w:p w14:paraId="11A79CF4" w14:textId="77777777" w:rsidR="005F499C" w:rsidRPr="003C1705" w:rsidRDefault="00000000" w:rsidP="003C1705">
      <w:pPr>
        <w:pStyle w:val="TOC2"/>
        <w:spacing w:line="480" w:lineRule="auto"/>
      </w:pPr>
      <w:r w:rsidRPr="003C1705">
        <w:t>Data Analysis</w:t>
      </w:r>
      <w:r w:rsidRPr="003C1705">
        <w:tab/>
        <w:t>57</w:t>
      </w:r>
    </w:p>
    <w:p w14:paraId="663D01DF" w14:textId="77777777" w:rsidR="005F499C" w:rsidRPr="003C1705" w:rsidRDefault="00000000" w:rsidP="003C1705">
      <w:pPr>
        <w:pStyle w:val="TOC3"/>
        <w:spacing w:line="480" w:lineRule="auto"/>
      </w:pPr>
      <w:r w:rsidRPr="003C1705">
        <w:t>Study 1: Development of Machine Learning Models for Disease Trend Detection and Outbreak Forecasting</w:t>
      </w:r>
      <w:r w:rsidRPr="003C1705">
        <w:tab/>
        <w:t>57</w:t>
      </w:r>
    </w:p>
    <w:p w14:paraId="4D7DC1EB" w14:textId="22611A0E" w:rsidR="005F499C" w:rsidRPr="003C1705" w:rsidRDefault="00000000" w:rsidP="003C1705">
      <w:pPr>
        <w:pStyle w:val="TOC3"/>
        <w:spacing w:line="480" w:lineRule="auto"/>
      </w:pPr>
      <w:r w:rsidRPr="003C1705">
        <w:t xml:space="preserve">Study 2: Development of the </w:t>
      </w:r>
      <w:proofErr w:type="spellStart"/>
      <w:r w:rsidR="003C1705">
        <w:t>HealthAlert</w:t>
      </w:r>
      <w:proofErr w:type="spellEnd"/>
      <w:r w:rsidRPr="003C1705">
        <w:t xml:space="preserve"> Surveillance and Predictive Analytics Platform</w:t>
      </w:r>
      <w:r w:rsidRPr="003C1705">
        <w:tab/>
        <w:t>60</w:t>
      </w:r>
    </w:p>
    <w:p w14:paraId="6C854283" w14:textId="37733DE3" w:rsidR="005F499C" w:rsidRPr="003C1705" w:rsidRDefault="00000000" w:rsidP="003C1705">
      <w:pPr>
        <w:pStyle w:val="TOC3"/>
        <w:spacing w:line="480" w:lineRule="auto"/>
      </w:pPr>
      <w:r w:rsidRPr="003C1705">
        <w:t xml:space="preserve">Study 3: Pilot Implementation and Validation of the </w:t>
      </w:r>
      <w:proofErr w:type="spellStart"/>
      <w:r w:rsidR="003C1705">
        <w:t>HealthAlert</w:t>
      </w:r>
      <w:proofErr w:type="spellEnd"/>
      <w:r w:rsidRPr="003C1705">
        <w:t xml:space="preserve"> Platform</w:t>
      </w:r>
      <w:r w:rsidRPr="003C1705">
        <w:tab/>
        <w:t>62</w:t>
      </w:r>
    </w:p>
    <w:p w14:paraId="4F559C3E" w14:textId="77777777" w:rsidR="005F499C" w:rsidRPr="003C1705" w:rsidRDefault="00000000" w:rsidP="003C1705">
      <w:pPr>
        <w:pStyle w:val="TOC2"/>
        <w:spacing w:line="480" w:lineRule="auto"/>
      </w:pPr>
      <w:r w:rsidRPr="003C1705">
        <w:t>Ethical Considerations</w:t>
      </w:r>
      <w:r w:rsidRPr="003C1705">
        <w:tab/>
        <w:t>65</w:t>
      </w:r>
    </w:p>
    <w:p w14:paraId="2257CBB8" w14:textId="77777777" w:rsidR="005F499C" w:rsidRPr="003C1705" w:rsidRDefault="00000000" w:rsidP="003C1705">
      <w:pPr>
        <w:pStyle w:val="TOC1"/>
        <w:spacing w:line="480" w:lineRule="auto"/>
      </w:pPr>
      <w:r w:rsidRPr="003C1705">
        <w:t>VI. POTENTIAL OUTCOMES &amp; IMPACTS</w:t>
      </w:r>
      <w:r w:rsidRPr="003C1705">
        <w:tab/>
        <w:t>68</w:t>
      </w:r>
    </w:p>
    <w:p w14:paraId="1D2F197A" w14:textId="77777777" w:rsidR="005F499C" w:rsidRPr="003C1705" w:rsidRDefault="00000000" w:rsidP="003C1705">
      <w:pPr>
        <w:pStyle w:val="TOC2"/>
        <w:spacing w:line="480" w:lineRule="auto"/>
      </w:pPr>
      <w:r w:rsidRPr="003C1705">
        <w:t>Potential Outcomes</w:t>
      </w:r>
      <w:r w:rsidRPr="003C1705">
        <w:tab/>
        <w:t>68</w:t>
      </w:r>
    </w:p>
    <w:p w14:paraId="32F129AC" w14:textId="77777777" w:rsidR="005F499C" w:rsidRPr="003C1705" w:rsidRDefault="00000000" w:rsidP="003C1705">
      <w:pPr>
        <w:pStyle w:val="TOC2"/>
        <w:spacing w:line="480" w:lineRule="auto"/>
      </w:pPr>
      <w:r w:rsidRPr="003C1705">
        <w:t>Social Impact</w:t>
      </w:r>
      <w:r w:rsidRPr="003C1705">
        <w:tab/>
        <w:t>69</w:t>
      </w:r>
    </w:p>
    <w:p w14:paraId="68D888D8" w14:textId="77777777" w:rsidR="005F499C" w:rsidRPr="003C1705" w:rsidRDefault="00000000" w:rsidP="003C1705">
      <w:pPr>
        <w:pStyle w:val="TOC2"/>
        <w:spacing w:line="480" w:lineRule="auto"/>
      </w:pPr>
      <w:r w:rsidRPr="003C1705">
        <w:t>Economic Impact</w:t>
      </w:r>
      <w:r w:rsidRPr="003C1705">
        <w:tab/>
        <w:t>70</w:t>
      </w:r>
    </w:p>
    <w:p w14:paraId="5606ACBF" w14:textId="77777777" w:rsidR="005F499C" w:rsidRPr="003C1705" w:rsidRDefault="00000000" w:rsidP="003C1705">
      <w:pPr>
        <w:pStyle w:val="TOC1"/>
        <w:spacing w:line="480" w:lineRule="auto"/>
      </w:pPr>
      <w:r w:rsidRPr="003C1705">
        <w:t>VII. EXPECTED OUTPUTS (6Ps)</w:t>
      </w:r>
      <w:r w:rsidRPr="003C1705">
        <w:tab/>
        <w:t>72</w:t>
      </w:r>
    </w:p>
    <w:p w14:paraId="591DF2E7" w14:textId="77777777" w:rsidR="005F499C" w:rsidRPr="003C1705" w:rsidRDefault="00000000" w:rsidP="003C1705">
      <w:pPr>
        <w:pStyle w:val="TOC1"/>
        <w:spacing w:line="480" w:lineRule="auto"/>
      </w:pPr>
      <w:r w:rsidRPr="003C1705">
        <w:t>VIII. TARGET BENEFICIARIES</w:t>
      </w:r>
      <w:r w:rsidRPr="003C1705">
        <w:tab/>
        <w:t>74</w:t>
      </w:r>
    </w:p>
    <w:p w14:paraId="6CFC67C0" w14:textId="77777777" w:rsidR="005F499C" w:rsidRPr="003C1705" w:rsidRDefault="00000000" w:rsidP="003C1705">
      <w:pPr>
        <w:pStyle w:val="TOC1"/>
        <w:spacing w:line="480" w:lineRule="auto"/>
      </w:pPr>
      <w:r w:rsidRPr="003C1705">
        <w:t>IX. SUSTAINABILITY PLAN</w:t>
      </w:r>
      <w:r w:rsidRPr="003C1705">
        <w:tab/>
        <w:t>75</w:t>
      </w:r>
    </w:p>
    <w:p w14:paraId="2A2516CE" w14:textId="77777777" w:rsidR="005F499C" w:rsidRPr="003C1705" w:rsidRDefault="00000000" w:rsidP="003C1705">
      <w:pPr>
        <w:pStyle w:val="TOC1"/>
        <w:spacing w:line="480" w:lineRule="auto"/>
      </w:pPr>
      <w:r w:rsidRPr="003C1705">
        <w:t>X. GENDER AND DEVELOPMENT (GAD) SCORE</w:t>
      </w:r>
      <w:r w:rsidRPr="003C1705">
        <w:tab/>
        <w:t>76</w:t>
      </w:r>
    </w:p>
    <w:p w14:paraId="6BE89F98" w14:textId="77777777" w:rsidR="005F499C" w:rsidRPr="003C1705" w:rsidRDefault="00000000" w:rsidP="003C1705">
      <w:pPr>
        <w:pStyle w:val="TOC1"/>
        <w:spacing w:line="480" w:lineRule="auto"/>
      </w:pPr>
      <w:r w:rsidRPr="003C1705">
        <w:t>XI. LIMITATIONS OF THE PROJECT</w:t>
      </w:r>
      <w:r w:rsidRPr="003C1705">
        <w:tab/>
        <w:t>76</w:t>
      </w:r>
    </w:p>
    <w:p w14:paraId="563F845A" w14:textId="77777777" w:rsidR="005F499C" w:rsidRPr="003C1705" w:rsidRDefault="00000000" w:rsidP="003C1705">
      <w:pPr>
        <w:pStyle w:val="TOC1"/>
        <w:spacing w:line="480" w:lineRule="auto"/>
      </w:pPr>
      <w:r w:rsidRPr="003C1705">
        <w:t>XII. LIST OF RISKS AND ASSUMPTIONS RISK MANAGEMENT PLAN</w:t>
      </w:r>
      <w:r w:rsidRPr="003C1705">
        <w:tab/>
        <w:t>78</w:t>
      </w:r>
    </w:p>
    <w:p w14:paraId="5DC54D88" w14:textId="77777777" w:rsidR="005F499C" w:rsidRPr="003C1705" w:rsidRDefault="00000000" w:rsidP="003C1705">
      <w:pPr>
        <w:pStyle w:val="TOC1"/>
        <w:spacing w:line="480" w:lineRule="auto"/>
      </w:pPr>
      <w:r w:rsidRPr="003C1705">
        <w:t>XIII. LITERATURE CITED</w:t>
      </w:r>
      <w:r w:rsidRPr="003C1705">
        <w:tab/>
        <w:t>81</w:t>
      </w:r>
    </w:p>
    <w:p w14:paraId="753C3644" w14:textId="77777777" w:rsidR="005F499C" w:rsidRPr="003C1705" w:rsidRDefault="00000000" w:rsidP="003C1705">
      <w:pPr>
        <w:spacing w:line="480" w:lineRule="auto"/>
        <w:sectPr w:rsidR="005F499C" w:rsidRPr="003C1705">
          <w:headerReference w:type="default" r:id="rId10"/>
          <w:footerReference w:type="default" r:id="rId11"/>
          <w:pgSz w:w="11906" w:h="16838"/>
          <w:pgMar w:top="1440" w:right="1440" w:bottom="1440" w:left="2160" w:header="708" w:footer="708" w:gutter="0"/>
          <w:pgNumType w:fmt="lowerRoman" w:start="1"/>
          <w:cols w:space="720"/>
        </w:sectPr>
      </w:pPr>
      <w:r w:rsidRPr="003C1705">
        <w:fldChar w:fldCharType="end"/>
      </w:r>
    </w:p>
    <w:p w14:paraId="21FAC312" w14:textId="77777777" w:rsidR="001F340B" w:rsidRPr="003C1705" w:rsidRDefault="00A73F00" w:rsidP="003C1705">
      <w:pPr>
        <w:pStyle w:val="Heading1"/>
        <w:spacing w:line="480" w:lineRule="auto"/>
      </w:pPr>
      <w:r w:rsidRPr="003C1705">
        <w:lastRenderedPageBreak/>
        <w:t>I. PROJECT PROFILE</w:t>
      </w:r>
    </w:p>
    <w:tbl>
      <w:tblPr>
        <w:tblW w:w="83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1" w:lastColumn="0" w:noHBand="0" w:noVBand="1"/>
      </w:tblPr>
      <w:tblGrid>
        <w:gridCol w:w="2831"/>
        <w:gridCol w:w="5475"/>
      </w:tblGrid>
      <w:tr w:rsidR="001F340B" w:rsidRPr="003C1705" w14:paraId="401D6FFC" w14:textId="77777777">
        <w:trPr>
          <w:cantSplit/>
        </w:trPr>
        <w:tc>
          <w:tcPr>
            <w:tcW w:w="2831" w:type="dxa"/>
          </w:tcPr>
          <w:p w14:paraId="2C1A4077" w14:textId="77777777" w:rsidR="001F340B" w:rsidRPr="003C1705" w:rsidRDefault="00A73F00" w:rsidP="003C1705">
            <w:pPr>
              <w:pStyle w:val="TableText"/>
              <w:numPr>
                <w:ilvl w:val="0"/>
                <w:numId w:val="1"/>
              </w:numPr>
              <w:spacing w:line="480" w:lineRule="auto"/>
              <w:ind w:left="360"/>
              <w:rPr>
                <w:sz w:val="24"/>
                <w:szCs w:val="24"/>
              </w:rPr>
            </w:pPr>
            <w:r w:rsidRPr="003C1705">
              <w:rPr>
                <w:b/>
                <w:bCs/>
                <w:sz w:val="24"/>
                <w:szCs w:val="24"/>
              </w:rPr>
              <w:t>Project Title</w:t>
            </w:r>
          </w:p>
        </w:tc>
        <w:tc>
          <w:tcPr>
            <w:tcW w:w="5475" w:type="dxa"/>
          </w:tcPr>
          <w:p w14:paraId="0627CE2E" w14:textId="75C9FB28" w:rsidR="001F340B" w:rsidRPr="003C1705" w:rsidRDefault="003C1705" w:rsidP="003C1705">
            <w:pPr>
              <w:pStyle w:val="TableText"/>
              <w:spacing w:line="480" w:lineRule="auto"/>
              <w:rPr>
                <w:sz w:val="24"/>
                <w:szCs w:val="24"/>
              </w:rPr>
            </w:pPr>
            <w:proofErr w:type="spellStart"/>
            <w:r>
              <w:rPr>
                <w:sz w:val="24"/>
                <w:szCs w:val="24"/>
              </w:rPr>
              <w:t>HealthAlert</w:t>
            </w:r>
            <w:proofErr w:type="spellEnd"/>
            <w:r w:rsidR="00A73F00" w:rsidRPr="003C1705">
              <w:rPr>
                <w:sz w:val="24"/>
                <w:szCs w:val="24"/>
              </w:rPr>
              <w:t>: Development of an AI-Powered Public Health Surveillance and Predictive Analytics System for Disease Monitoring in Region I</w:t>
            </w:r>
          </w:p>
        </w:tc>
      </w:tr>
      <w:tr w:rsidR="001F340B" w:rsidRPr="003C1705" w14:paraId="4CC4C4BE" w14:textId="77777777">
        <w:trPr>
          <w:cantSplit/>
        </w:trPr>
        <w:tc>
          <w:tcPr>
            <w:tcW w:w="2831" w:type="dxa"/>
          </w:tcPr>
          <w:p w14:paraId="445DF601" w14:textId="77777777" w:rsidR="001F340B" w:rsidRPr="003C1705" w:rsidRDefault="00A73F00" w:rsidP="003C1705">
            <w:pPr>
              <w:pStyle w:val="TableText"/>
              <w:numPr>
                <w:ilvl w:val="0"/>
                <w:numId w:val="1"/>
              </w:numPr>
              <w:spacing w:line="480" w:lineRule="auto"/>
              <w:ind w:left="360"/>
              <w:rPr>
                <w:sz w:val="24"/>
                <w:szCs w:val="24"/>
              </w:rPr>
            </w:pPr>
            <w:r w:rsidRPr="003C1705">
              <w:rPr>
                <w:b/>
                <w:bCs/>
                <w:sz w:val="24"/>
                <w:szCs w:val="24"/>
              </w:rPr>
              <w:t>Project Duration</w:t>
            </w:r>
            <w:r w:rsidRPr="003C1705">
              <w:rPr>
                <w:b/>
                <w:bCs/>
                <w:i/>
                <w:iCs/>
                <w:sz w:val="24"/>
                <w:szCs w:val="24"/>
              </w:rPr>
              <w:t xml:space="preserve"> </w:t>
            </w:r>
          </w:p>
        </w:tc>
        <w:tc>
          <w:tcPr>
            <w:tcW w:w="5475" w:type="dxa"/>
          </w:tcPr>
          <w:p w14:paraId="63B36DEF" w14:textId="77777777" w:rsidR="001F340B" w:rsidRPr="003C1705" w:rsidRDefault="00A73F00" w:rsidP="003C1705">
            <w:pPr>
              <w:pStyle w:val="TableText"/>
              <w:spacing w:line="480" w:lineRule="auto"/>
              <w:rPr>
                <w:sz w:val="24"/>
                <w:szCs w:val="24"/>
              </w:rPr>
            </w:pPr>
            <w:r w:rsidRPr="003C1705">
              <w:rPr>
                <w:sz w:val="24"/>
                <w:szCs w:val="24"/>
              </w:rPr>
              <w:t xml:space="preserve"> January 3, 2028 – December 31, 2029</w:t>
            </w:r>
          </w:p>
          <w:p w14:paraId="758D6767" w14:textId="77777777" w:rsidR="001F340B" w:rsidRPr="003C1705" w:rsidRDefault="001F340B" w:rsidP="003C1705">
            <w:pPr>
              <w:pStyle w:val="TableText"/>
              <w:spacing w:line="480" w:lineRule="auto"/>
              <w:rPr>
                <w:sz w:val="24"/>
                <w:szCs w:val="24"/>
              </w:rPr>
            </w:pPr>
          </w:p>
        </w:tc>
      </w:tr>
      <w:tr w:rsidR="001F340B" w:rsidRPr="003C1705" w14:paraId="6935A4E4" w14:textId="77777777">
        <w:trPr>
          <w:cantSplit/>
        </w:trPr>
        <w:tc>
          <w:tcPr>
            <w:tcW w:w="2831" w:type="dxa"/>
          </w:tcPr>
          <w:p w14:paraId="33BC7D46" w14:textId="77777777" w:rsidR="001F340B" w:rsidRPr="003C1705" w:rsidRDefault="00A73F00" w:rsidP="003C1705">
            <w:pPr>
              <w:pStyle w:val="TableText"/>
              <w:numPr>
                <w:ilvl w:val="0"/>
                <w:numId w:val="1"/>
              </w:numPr>
              <w:spacing w:line="480" w:lineRule="auto"/>
              <w:ind w:left="360"/>
              <w:rPr>
                <w:sz w:val="24"/>
                <w:szCs w:val="24"/>
              </w:rPr>
            </w:pPr>
            <w:r w:rsidRPr="003C1705">
              <w:rPr>
                <w:b/>
                <w:bCs/>
                <w:sz w:val="24"/>
                <w:szCs w:val="24"/>
              </w:rPr>
              <w:t>Estimated Budgetary Requirement</w:t>
            </w:r>
          </w:p>
        </w:tc>
        <w:tc>
          <w:tcPr>
            <w:tcW w:w="5475" w:type="dxa"/>
          </w:tcPr>
          <w:p w14:paraId="611EAE82" w14:textId="77777777" w:rsidR="001F340B" w:rsidRPr="003C1705" w:rsidRDefault="00A73F00" w:rsidP="003C1705">
            <w:pPr>
              <w:pStyle w:val="TableText"/>
              <w:spacing w:line="480" w:lineRule="auto"/>
              <w:rPr>
                <w:sz w:val="24"/>
                <w:szCs w:val="24"/>
              </w:rPr>
            </w:pPr>
            <w:r w:rsidRPr="003C1705">
              <w:rPr>
                <w:sz w:val="24"/>
                <w:szCs w:val="24"/>
              </w:rPr>
              <w:t>₱</w:t>
            </w:r>
            <w:r w:rsidR="0084466C" w:rsidRPr="003C1705">
              <w:rPr>
                <w:sz w:val="24"/>
                <w:szCs w:val="24"/>
              </w:rPr>
              <w:t>3,688,868.00</w:t>
            </w:r>
          </w:p>
          <w:p w14:paraId="7119A763" w14:textId="77777777" w:rsidR="001F340B" w:rsidRPr="003C1705" w:rsidRDefault="001F340B" w:rsidP="003C1705">
            <w:pPr>
              <w:pStyle w:val="TableText"/>
              <w:spacing w:line="480" w:lineRule="auto"/>
              <w:rPr>
                <w:sz w:val="24"/>
                <w:szCs w:val="24"/>
              </w:rPr>
            </w:pPr>
          </w:p>
          <w:p w14:paraId="00376BF7" w14:textId="77777777" w:rsidR="001F340B" w:rsidRPr="003C1705" w:rsidRDefault="001F340B" w:rsidP="003C1705">
            <w:pPr>
              <w:pStyle w:val="TableText"/>
              <w:spacing w:line="480" w:lineRule="auto"/>
              <w:rPr>
                <w:sz w:val="24"/>
                <w:szCs w:val="24"/>
              </w:rPr>
            </w:pPr>
          </w:p>
        </w:tc>
      </w:tr>
      <w:tr w:rsidR="001F340B" w:rsidRPr="003C1705" w14:paraId="13D6E18D" w14:textId="77777777">
        <w:trPr>
          <w:cantSplit/>
        </w:trPr>
        <w:tc>
          <w:tcPr>
            <w:tcW w:w="2831" w:type="dxa"/>
          </w:tcPr>
          <w:p w14:paraId="4A03A794" w14:textId="77777777" w:rsidR="001F340B" w:rsidRPr="003C1705" w:rsidRDefault="00A73F00" w:rsidP="003C1705">
            <w:pPr>
              <w:pStyle w:val="TableText"/>
              <w:numPr>
                <w:ilvl w:val="0"/>
                <w:numId w:val="1"/>
              </w:numPr>
              <w:spacing w:line="480" w:lineRule="auto"/>
              <w:ind w:left="360"/>
              <w:rPr>
                <w:sz w:val="24"/>
                <w:szCs w:val="24"/>
              </w:rPr>
            </w:pPr>
            <w:r w:rsidRPr="003C1705">
              <w:rPr>
                <w:b/>
                <w:bCs/>
                <w:sz w:val="24"/>
                <w:szCs w:val="24"/>
              </w:rPr>
              <w:t>Implementing Agency</w:t>
            </w:r>
          </w:p>
        </w:tc>
        <w:tc>
          <w:tcPr>
            <w:tcW w:w="5475" w:type="dxa"/>
          </w:tcPr>
          <w:p w14:paraId="0940BE72" w14:textId="77777777" w:rsidR="001F340B" w:rsidRPr="003C1705" w:rsidRDefault="00A73F00" w:rsidP="003C1705">
            <w:pPr>
              <w:pStyle w:val="TableText"/>
              <w:spacing w:line="480" w:lineRule="auto"/>
              <w:rPr>
                <w:sz w:val="24"/>
                <w:szCs w:val="24"/>
              </w:rPr>
            </w:pPr>
            <w:r w:rsidRPr="003C1705">
              <w:rPr>
                <w:sz w:val="24"/>
                <w:szCs w:val="24"/>
              </w:rPr>
              <w:t>Don Mariano Marcos Memorial State University – South La Union Campus</w:t>
            </w:r>
          </w:p>
        </w:tc>
      </w:tr>
      <w:tr w:rsidR="001F340B" w:rsidRPr="003C1705" w14:paraId="7627688A" w14:textId="77777777">
        <w:trPr>
          <w:cantSplit/>
        </w:trPr>
        <w:tc>
          <w:tcPr>
            <w:tcW w:w="2831" w:type="dxa"/>
          </w:tcPr>
          <w:p w14:paraId="3597924C" w14:textId="77777777" w:rsidR="001F340B" w:rsidRPr="003C1705" w:rsidRDefault="00A73F00" w:rsidP="003C1705">
            <w:pPr>
              <w:pStyle w:val="TableText"/>
              <w:numPr>
                <w:ilvl w:val="0"/>
                <w:numId w:val="1"/>
              </w:numPr>
              <w:spacing w:line="480" w:lineRule="auto"/>
              <w:ind w:left="360"/>
              <w:rPr>
                <w:sz w:val="24"/>
                <w:szCs w:val="24"/>
              </w:rPr>
            </w:pPr>
            <w:r w:rsidRPr="003C1705">
              <w:rPr>
                <w:b/>
                <w:bCs/>
                <w:sz w:val="24"/>
                <w:szCs w:val="24"/>
              </w:rPr>
              <w:t>Co-implementing Agencies:</w:t>
            </w:r>
          </w:p>
        </w:tc>
        <w:tc>
          <w:tcPr>
            <w:tcW w:w="5475" w:type="dxa"/>
          </w:tcPr>
          <w:p w14:paraId="12D450AB" w14:textId="77777777" w:rsidR="001F340B" w:rsidRPr="003C1705" w:rsidRDefault="001F340B" w:rsidP="003C1705">
            <w:pPr>
              <w:pStyle w:val="TableText"/>
              <w:spacing w:line="480" w:lineRule="auto"/>
              <w:rPr>
                <w:sz w:val="24"/>
                <w:szCs w:val="24"/>
              </w:rPr>
            </w:pPr>
          </w:p>
        </w:tc>
      </w:tr>
      <w:tr w:rsidR="001F340B" w:rsidRPr="003C1705" w14:paraId="078962FA" w14:textId="77777777">
        <w:trPr>
          <w:cantSplit/>
        </w:trPr>
        <w:tc>
          <w:tcPr>
            <w:tcW w:w="2831" w:type="dxa"/>
          </w:tcPr>
          <w:p w14:paraId="60E26DB7" w14:textId="77777777" w:rsidR="001F340B" w:rsidRPr="003C1705" w:rsidRDefault="00A73F00" w:rsidP="003C1705">
            <w:pPr>
              <w:pStyle w:val="TableText"/>
              <w:numPr>
                <w:ilvl w:val="0"/>
                <w:numId w:val="1"/>
              </w:numPr>
              <w:spacing w:line="480" w:lineRule="auto"/>
              <w:ind w:left="360"/>
              <w:rPr>
                <w:sz w:val="24"/>
                <w:szCs w:val="24"/>
              </w:rPr>
            </w:pPr>
            <w:r w:rsidRPr="003C1705">
              <w:rPr>
                <w:b/>
                <w:bCs/>
                <w:sz w:val="24"/>
                <w:szCs w:val="24"/>
              </w:rPr>
              <w:t>Cooperating Agencies</w:t>
            </w:r>
          </w:p>
        </w:tc>
        <w:tc>
          <w:tcPr>
            <w:tcW w:w="5475" w:type="dxa"/>
          </w:tcPr>
          <w:p w14:paraId="699801C9" w14:textId="77777777" w:rsidR="001F340B" w:rsidRPr="003C1705" w:rsidRDefault="00A73F00" w:rsidP="003C1705">
            <w:pPr>
              <w:pStyle w:val="TableText"/>
              <w:spacing w:line="480" w:lineRule="auto"/>
              <w:rPr>
                <w:sz w:val="24"/>
                <w:szCs w:val="24"/>
              </w:rPr>
            </w:pPr>
            <w:r w:rsidRPr="003C1705">
              <w:rPr>
                <w:sz w:val="24"/>
                <w:szCs w:val="24"/>
              </w:rPr>
              <w:t>Department of Health – Regional Office I</w:t>
            </w:r>
          </w:p>
        </w:tc>
      </w:tr>
      <w:tr w:rsidR="001F340B" w:rsidRPr="003C1705" w14:paraId="5A7224E1" w14:textId="77777777">
        <w:trPr>
          <w:cantSplit/>
        </w:trPr>
        <w:tc>
          <w:tcPr>
            <w:tcW w:w="2831" w:type="dxa"/>
          </w:tcPr>
          <w:p w14:paraId="3CA6B3F6" w14:textId="77777777" w:rsidR="001F340B" w:rsidRPr="003C1705" w:rsidRDefault="00A73F00" w:rsidP="003C1705">
            <w:pPr>
              <w:pStyle w:val="TableText"/>
              <w:numPr>
                <w:ilvl w:val="0"/>
                <w:numId w:val="1"/>
              </w:numPr>
              <w:spacing w:line="480" w:lineRule="auto"/>
              <w:ind w:left="360"/>
              <w:rPr>
                <w:sz w:val="24"/>
                <w:szCs w:val="24"/>
              </w:rPr>
            </w:pPr>
            <w:r w:rsidRPr="003C1705">
              <w:rPr>
                <w:b/>
                <w:bCs/>
                <w:sz w:val="24"/>
                <w:szCs w:val="24"/>
              </w:rPr>
              <w:t>Site(s) of Implementation</w:t>
            </w:r>
          </w:p>
        </w:tc>
        <w:tc>
          <w:tcPr>
            <w:tcW w:w="5475" w:type="dxa"/>
          </w:tcPr>
          <w:p w14:paraId="6252C579" w14:textId="77777777" w:rsidR="001F340B" w:rsidRPr="003C1705" w:rsidRDefault="00A73F00" w:rsidP="003C1705">
            <w:pPr>
              <w:pStyle w:val="TableText"/>
              <w:spacing w:line="480" w:lineRule="auto"/>
              <w:rPr>
                <w:sz w:val="24"/>
                <w:szCs w:val="24"/>
              </w:rPr>
            </w:pPr>
            <w:r w:rsidRPr="003C1705">
              <w:rPr>
                <w:sz w:val="24"/>
                <w:szCs w:val="24"/>
              </w:rPr>
              <w:t xml:space="preserve">Department of Health - Regional Office I; Provincial Health Offices (La Union); </w:t>
            </w:r>
            <w:proofErr w:type="spellStart"/>
            <w:r w:rsidRPr="003C1705">
              <w:rPr>
                <w:sz w:val="24"/>
                <w:szCs w:val="24"/>
              </w:rPr>
              <w:t>Ilocos</w:t>
            </w:r>
            <w:proofErr w:type="spellEnd"/>
            <w:r w:rsidRPr="003C1705">
              <w:rPr>
                <w:sz w:val="24"/>
                <w:szCs w:val="24"/>
              </w:rPr>
              <w:t xml:space="preserve"> Training and Regional Medical Center; La Union Medical Center; Municipal Health Offices (</w:t>
            </w:r>
            <w:proofErr w:type="spellStart"/>
            <w:r w:rsidRPr="003C1705">
              <w:rPr>
                <w:sz w:val="24"/>
                <w:szCs w:val="24"/>
              </w:rPr>
              <w:t>Agoo</w:t>
            </w:r>
            <w:proofErr w:type="spellEnd"/>
            <w:r w:rsidRPr="003C1705">
              <w:rPr>
                <w:sz w:val="24"/>
                <w:szCs w:val="24"/>
              </w:rPr>
              <w:t xml:space="preserve">, </w:t>
            </w:r>
            <w:proofErr w:type="spellStart"/>
            <w:r w:rsidRPr="003C1705">
              <w:rPr>
                <w:sz w:val="24"/>
                <w:szCs w:val="24"/>
              </w:rPr>
              <w:t>Aringay</w:t>
            </w:r>
            <w:proofErr w:type="spellEnd"/>
            <w:r w:rsidRPr="003C1705">
              <w:rPr>
                <w:sz w:val="24"/>
                <w:szCs w:val="24"/>
              </w:rPr>
              <w:t>)</w:t>
            </w:r>
          </w:p>
          <w:p w14:paraId="1C6E9C62" w14:textId="77777777" w:rsidR="001F340B" w:rsidRPr="003C1705" w:rsidRDefault="001F340B" w:rsidP="003C1705">
            <w:pPr>
              <w:pStyle w:val="TableText"/>
              <w:spacing w:line="480" w:lineRule="auto"/>
              <w:rPr>
                <w:sz w:val="24"/>
                <w:szCs w:val="24"/>
              </w:rPr>
            </w:pPr>
          </w:p>
        </w:tc>
      </w:tr>
      <w:tr w:rsidR="001F340B" w:rsidRPr="003C1705" w14:paraId="536A51FF" w14:textId="77777777">
        <w:trPr>
          <w:cantSplit/>
        </w:trPr>
        <w:tc>
          <w:tcPr>
            <w:tcW w:w="2831" w:type="dxa"/>
          </w:tcPr>
          <w:p w14:paraId="67FDBE4D" w14:textId="77777777" w:rsidR="001F340B" w:rsidRPr="003C1705" w:rsidRDefault="00A73F00" w:rsidP="003C1705">
            <w:pPr>
              <w:pStyle w:val="TableText"/>
              <w:numPr>
                <w:ilvl w:val="0"/>
                <w:numId w:val="1"/>
              </w:numPr>
              <w:spacing w:line="480" w:lineRule="auto"/>
              <w:ind w:left="360"/>
              <w:rPr>
                <w:sz w:val="24"/>
                <w:szCs w:val="24"/>
              </w:rPr>
            </w:pPr>
            <w:r w:rsidRPr="003C1705">
              <w:rPr>
                <w:b/>
                <w:bCs/>
                <w:sz w:val="24"/>
                <w:szCs w:val="24"/>
              </w:rPr>
              <w:t>Type of Research</w:t>
            </w:r>
          </w:p>
        </w:tc>
        <w:tc>
          <w:tcPr>
            <w:tcW w:w="5475" w:type="dxa"/>
          </w:tcPr>
          <w:p w14:paraId="0C7A85C3" w14:textId="77777777" w:rsidR="001F340B" w:rsidRPr="003C1705" w:rsidRDefault="00A73F00" w:rsidP="003C1705">
            <w:pPr>
              <w:pStyle w:val="TableText"/>
              <w:spacing w:line="480" w:lineRule="auto"/>
              <w:rPr>
                <w:sz w:val="24"/>
                <w:szCs w:val="24"/>
              </w:rPr>
            </w:pPr>
            <w:r w:rsidRPr="003C1705">
              <w:rPr>
                <w:sz w:val="24"/>
                <w:szCs w:val="24"/>
              </w:rPr>
              <w:t>Applied</w:t>
            </w:r>
          </w:p>
        </w:tc>
      </w:tr>
      <w:tr w:rsidR="001F340B" w:rsidRPr="003C1705" w14:paraId="5B312E25" w14:textId="77777777">
        <w:trPr>
          <w:cantSplit/>
        </w:trPr>
        <w:tc>
          <w:tcPr>
            <w:tcW w:w="2831" w:type="dxa"/>
          </w:tcPr>
          <w:p w14:paraId="30D87A68" w14:textId="77777777" w:rsidR="001F340B" w:rsidRPr="003C1705" w:rsidRDefault="00A73F00" w:rsidP="003C1705">
            <w:pPr>
              <w:pStyle w:val="TableText"/>
              <w:numPr>
                <w:ilvl w:val="0"/>
                <w:numId w:val="1"/>
              </w:numPr>
              <w:spacing w:line="480" w:lineRule="auto"/>
              <w:ind w:left="360"/>
              <w:rPr>
                <w:sz w:val="24"/>
                <w:szCs w:val="24"/>
              </w:rPr>
            </w:pPr>
            <w:r w:rsidRPr="003C1705">
              <w:rPr>
                <w:b/>
                <w:bCs/>
                <w:sz w:val="24"/>
                <w:szCs w:val="24"/>
              </w:rPr>
              <w:t>HNRDA</w:t>
            </w:r>
          </w:p>
        </w:tc>
        <w:tc>
          <w:tcPr>
            <w:tcW w:w="5475" w:type="dxa"/>
          </w:tcPr>
          <w:p w14:paraId="7BDCA84B" w14:textId="77777777" w:rsidR="001F340B" w:rsidRPr="003C1705" w:rsidRDefault="00A73F00" w:rsidP="003C1705">
            <w:pPr>
              <w:pStyle w:val="TableText"/>
              <w:spacing w:line="480" w:lineRule="auto"/>
              <w:rPr>
                <w:sz w:val="24"/>
                <w:szCs w:val="24"/>
              </w:rPr>
            </w:pPr>
            <w:r w:rsidRPr="003C1705">
              <w:rPr>
                <w:sz w:val="24"/>
                <w:szCs w:val="24"/>
              </w:rPr>
              <w:t>Health-National Unified Health Research Agenda (NUHRA)</w:t>
            </w:r>
          </w:p>
        </w:tc>
      </w:tr>
      <w:tr w:rsidR="001F340B" w:rsidRPr="003C1705" w14:paraId="3C78FFC9" w14:textId="77777777">
        <w:trPr>
          <w:cantSplit/>
        </w:trPr>
        <w:tc>
          <w:tcPr>
            <w:tcW w:w="2831" w:type="dxa"/>
          </w:tcPr>
          <w:p w14:paraId="08C426AC" w14:textId="77777777" w:rsidR="001F340B" w:rsidRPr="003C1705" w:rsidRDefault="00A73F00" w:rsidP="003C1705">
            <w:pPr>
              <w:pStyle w:val="TableText"/>
              <w:numPr>
                <w:ilvl w:val="0"/>
                <w:numId w:val="1"/>
              </w:numPr>
              <w:spacing w:line="480" w:lineRule="auto"/>
              <w:ind w:left="360"/>
              <w:rPr>
                <w:sz w:val="24"/>
                <w:szCs w:val="24"/>
              </w:rPr>
            </w:pPr>
            <w:r w:rsidRPr="003C1705">
              <w:rPr>
                <w:b/>
                <w:bCs/>
                <w:sz w:val="24"/>
                <w:szCs w:val="24"/>
              </w:rPr>
              <w:lastRenderedPageBreak/>
              <w:t>HNRDA Item</w:t>
            </w:r>
          </w:p>
        </w:tc>
        <w:tc>
          <w:tcPr>
            <w:tcW w:w="5475" w:type="dxa"/>
          </w:tcPr>
          <w:p w14:paraId="680C572B" w14:textId="77777777" w:rsidR="001F340B" w:rsidRPr="003C1705" w:rsidRDefault="00A73F00" w:rsidP="003C1705">
            <w:pPr>
              <w:pStyle w:val="TableText"/>
              <w:spacing w:line="480" w:lineRule="auto"/>
              <w:rPr>
                <w:sz w:val="24"/>
                <w:szCs w:val="24"/>
              </w:rPr>
            </w:pPr>
            <w:r w:rsidRPr="003C1705">
              <w:rPr>
                <w:sz w:val="24"/>
                <w:szCs w:val="24"/>
              </w:rPr>
              <w:t>ICT for Health Program</w:t>
            </w:r>
          </w:p>
        </w:tc>
      </w:tr>
      <w:tr w:rsidR="001F340B" w:rsidRPr="003C1705" w14:paraId="7021F1E7" w14:textId="77777777">
        <w:trPr>
          <w:cantSplit/>
        </w:trPr>
        <w:tc>
          <w:tcPr>
            <w:tcW w:w="2831" w:type="dxa"/>
          </w:tcPr>
          <w:p w14:paraId="08F9A2D5" w14:textId="77777777" w:rsidR="001F340B" w:rsidRPr="003C1705" w:rsidRDefault="00A73F00" w:rsidP="003C1705">
            <w:pPr>
              <w:pStyle w:val="TableText"/>
              <w:numPr>
                <w:ilvl w:val="0"/>
                <w:numId w:val="1"/>
              </w:numPr>
              <w:spacing w:line="480" w:lineRule="auto"/>
              <w:ind w:left="360"/>
              <w:rPr>
                <w:sz w:val="24"/>
                <w:szCs w:val="24"/>
              </w:rPr>
            </w:pPr>
            <w:r w:rsidRPr="003C1705">
              <w:rPr>
                <w:b/>
                <w:bCs/>
                <w:sz w:val="24"/>
                <w:szCs w:val="24"/>
              </w:rPr>
              <w:t>SDG Addressed:</w:t>
            </w:r>
          </w:p>
        </w:tc>
        <w:tc>
          <w:tcPr>
            <w:tcW w:w="5475" w:type="dxa"/>
          </w:tcPr>
          <w:p w14:paraId="6BE86C90" w14:textId="77777777" w:rsidR="001F340B" w:rsidRPr="003C1705" w:rsidRDefault="00A73F00" w:rsidP="003C1705">
            <w:pPr>
              <w:pStyle w:val="TableText"/>
              <w:spacing w:line="480" w:lineRule="auto"/>
              <w:rPr>
                <w:sz w:val="24"/>
                <w:szCs w:val="24"/>
              </w:rPr>
            </w:pPr>
            <w:r w:rsidRPr="003C1705">
              <w:rPr>
                <w:sz w:val="24"/>
                <w:szCs w:val="24"/>
              </w:rPr>
              <w:t>Good Health and Well-Being</w:t>
            </w:r>
          </w:p>
          <w:p w14:paraId="4E99D070" w14:textId="77777777" w:rsidR="001F340B" w:rsidRPr="003C1705" w:rsidRDefault="00A73F00" w:rsidP="003C1705">
            <w:pPr>
              <w:pStyle w:val="TableText"/>
              <w:spacing w:line="480" w:lineRule="auto"/>
              <w:rPr>
                <w:sz w:val="24"/>
                <w:szCs w:val="24"/>
              </w:rPr>
            </w:pPr>
            <w:r w:rsidRPr="003C1705">
              <w:rPr>
                <w:sz w:val="24"/>
                <w:szCs w:val="24"/>
              </w:rPr>
              <w:t>Industry, Innovation and Infrastructure</w:t>
            </w:r>
          </w:p>
          <w:p w14:paraId="7DDE49E7" w14:textId="77777777" w:rsidR="001F340B" w:rsidRPr="003C1705" w:rsidRDefault="00A73F00" w:rsidP="003C1705">
            <w:pPr>
              <w:pStyle w:val="TableText"/>
              <w:spacing w:line="480" w:lineRule="auto"/>
              <w:rPr>
                <w:sz w:val="24"/>
                <w:szCs w:val="24"/>
              </w:rPr>
            </w:pPr>
            <w:r w:rsidRPr="003C1705">
              <w:rPr>
                <w:sz w:val="24"/>
                <w:szCs w:val="24"/>
              </w:rPr>
              <w:t>Sustainable Cities and Communities</w:t>
            </w:r>
          </w:p>
          <w:p w14:paraId="53C60E5D" w14:textId="77777777" w:rsidR="001F340B" w:rsidRPr="003C1705" w:rsidRDefault="00A73F00" w:rsidP="003C1705">
            <w:pPr>
              <w:pStyle w:val="TableText"/>
              <w:spacing w:line="480" w:lineRule="auto"/>
              <w:rPr>
                <w:sz w:val="24"/>
                <w:szCs w:val="24"/>
              </w:rPr>
            </w:pPr>
            <w:r w:rsidRPr="003C1705">
              <w:rPr>
                <w:sz w:val="24"/>
                <w:szCs w:val="24"/>
              </w:rPr>
              <w:t>Partnerships to achieve the Goal</w:t>
            </w:r>
          </w:p>
        </w:tc>
      </w:tr>
      <w:tr w:rsidR="001F340B" w:rsidRPr="003C1705" w14:paraId="732DCAF0" w14:textId="77777777">
        <w:trPr>
          <w:cantSplit/>
        </w:trPr>
        <w:tc>
          <w:tcPr>
            <w:tcW w:w="2831" w:type="dxa"/>
          </w:tcPr>
          <w:p w14:paraId="614A2F3D" w14:textId="77777777" w:rsidR="001F340B" w:rsidRPr="003C1705" w:rsidRDefault="00A73F00" w:rsidP="003C1705">
            <w:pPr>
              <w:pStyle w:val="TableText"/>
              <w:numPr>
                <w:ilvl w:val="0"/>
                <w:numId w:val="1"/>
              </w:numPr>
              <w:spacing w:line="480" w:lineRule="auto"/>
              <w:ind w:left="360"/>
              <w:rPr>
                <w:sz w:val="24"/>
                <w:szCs w:val="24"/>
              </w:rPr>
            </w:pPr>
            <w:r w:rsidRPr="003C1705">
              <w:rPr>
                <w:b/>
                <w:bCs/>
                <w:sz w:val="24"/>
                <w:szCs w:val="24"/>
              </w:rPr>
              <w:t>8-Point Socio-Economic Agenda</w:t>
            </w:r>
          </w:p>
        </w:tc>
        <w:tc>
          <w:tcPr>
            <w:tcW w:w="5475" w:type="dxa"/>
          </w:tcPr>
          <w:p w14:paraId="76032EF8" w14:textId="77777777" w:rsidR="001F340B" w:rsidRPr="003C1705" w:rsidRDefault="00A73F00" w:rsidP="003C1705">
            <w:pPr>
              <w:pStyle w:val="TableText"/>
              <w:spacing w:line="480" w:lineRule="auto"/>
              <w:rPr>
                <w:sz w:val="24"/>
                <w:szCs w:val="24"/>
              </w:rPr>
            </w:pPr>
            <w:r w:rsidRPr="003C1705">
              <w:rPr>
                <w:sz w:val="24"/>
                <w:szCs w:val="24"/>
              </w:rPr>
              <w:t>Healthcare</w:t>
            </w:r>
          </w:p>
        </w:tc>
      </w:tr>
      <w:tr w:rsidR="001F340B" w:rsidRPr="003C1705" w14:paraId="0C8C66F4" w14:textId="77777777">
        <w:trPr>
          <w:cantSplit/>
        </w:trPr>
        <w:tc>
          <w:tcPr>
            <w:tcW w:w="2831" w:type="dxa"/>
          </w:tcPr>
          <w:p w14:paraId="3ECF5A4A" w14:textId="77777777" w:rsidR="001F340B" w:rsidRPr="003C1705" w:rsidRDefault="00A73F00" w:rsidP="003C1705">
            <w:pPr>
              <w:pStyle w:val="TableText"/>
              <w:numPr>
                <w:ilvl w:val="0"/>
                <w:numId w:val="1"/>
              </w:numPr>
              <w:spacing w:line="480" w:lineRule="auto"/>
              <w:ind w:left="360"/>
              <w:rPr>
                <w:sz w:val="24"/>
                <w:szCs w:val="24"/>
              </w:rPr>
            </w:pPr>
            <w:r w:rsidRPr="003C1705">
              <w:rPr>
                <w:b/>
                <w:bCs/>
                <w:sz w:val="24"/>
                <w:szCs w:val="24"/>
              </w:rPr>
              <w:t>DOST Portfolio:</w:t>
            </w:r>
          </w:p>
        </w:tc>
        <w:tc>
          <w:tcPr>
            <w:tcW w:w="5475" w:type="dxa"/>
          </w:tcPr>
          <w:p w14:paraId="33C7A186" w14:textId="77777777" w:rsidR="001F340B" w:rsidRPr="003C1705" w:rsidRDefault="00A73F00" w:rsidP="003C1705">
            <w:pPr>
              <w:pStyle w:val="TableText"/>
              <w:spacing w:line="480" w:lineRule="auto"/>
              <w:rPr>
                <w:sz w:val="24"/>
                <w:szCs w:val="24"/>
              </w:rPr>
            </w:pPr>
            <w:r w:rsidRPr="003C1705">
              <w:rPr>
                <w:sz w:val="24"/>
                <w:szCs w:val="24"/>
              </w:rPr>
              <w:t>Research and Development</w:t>
            </w:r>
          </w:p>
        </w:tc>
      </w:tr>
      <w:tr w:rsidR="001F340B" w:rsidRPr="003C1705" w14:paraId="5A5B20D4" w14:textId="77777777">
        <w:trPr>
          <w:cantSplit/>
        </w:trPr>
        <w:tc>
          <w:tcPr>
            <w:tcW w:w="2831" w:type="dxa"/>
          </w:tcPr>
          <w:p w14:paraId="015646E2" w14:textId="77777777" w:rsidR="001F340B" w:rsidRPr="003C1705" w:rsidRDefault="00A73F00" w:rsidP="003C1705">
            <w:pPr>
              <w:pStyle w:val="TableText"/>
              <w:numPr>
                <w:ilvl w:val="0"/>
                <w:numId w:val="1"/>
              </w:numPr>
              <w:spacing w:line="480" w:lineRule="auto"/>
              <w:ind w:left="360"/>
              <w:rPr>
                <w:sz w:val="24"/>
                <w:szCs w:val="24"/>
              </w:rPr>
            </w:pPr>
            <w:r w:rsidRPr="003C1705">
              <w:rPr>
                <w:b/>
                <w:bCs/>
                <w:sz w:val="24"/>
                <w:szCs w:val="24"/>
              </w:rPr>
              <w:t>DOST Pillars</w:t>
            </w:r>
          </w:p>
        </w:tc>
        <w:tc>
          <w:tcPr>
            <w:tcW w:w="5475" w:type="dxa"/>
          </w:tcPr>
          <w:p w14:paraId="65E9EDF8" w14:textId="77777777" w:rsidR="001F340B" w:rsidRPr="003C1705" w:rsidRDefault="00A73F00" w:rsidP="003C1705">
            <w:pPr>
              <w:pStyle w:val="TableText"/>
              <w:spacing w:line="480" w:lineRule="auto"/>
              <w:rPr>
                <w:sz w:val="24"/>
                <w:szCs w:val="24"/>
              </w:rPr>
            </w:pPr>
            <w:r w:rsidRPr="003C1705">
              <w:rPr>
                <w:sz w:val="24"/>
                <w:szCs w:val="24"/>
              </w:rPr>
              <w:t>Human Well-being Promoted</w:t>
            </w:r>
          </w:p>
        </w:tc>
      </w:tr>
      <w:tr w:rsidR="001F340B" w:rsidRPr="003C1705" w14:paraId="6922183B" w14:textId="77777777">
        <w:trPr>
          <w:cantSplit/>
        </w:trPr>
        <w:tc>
          <w:tcPr>
            <w:tcW w:w="2831" w:type="dxa"/>
          </w:tcPr>
          <w:p w14:paraId="7507533B" w14:textId="77777777" w:rsidR="001F340B" w:rsidRPr="003C1705" w:rsidRDefault="00A73F00" w:rsidP="003C1705">
            <w:pPr>
              <w:pStyle w:val="TableText"/>
              <w:numPr>
                <w:ilvl w:val="0"/>
                <w:numId w:val="1"/>
              </w:numPr>
              <w:spacing w:line="480" w:lineRule="auto"/>
              <w:ind w:left="360"/>
              <w:rPr>
                <w:sz w:val="24"/>
                <w:szCs w:val="24"/>
              </w:rPr>
            </w:pPr>
            <w:r w:rsidRPr="003C1705">
              <w:rPr>
                <w:b/>
                <w:bCs/>
                <w:sz w:val="24"/>
                <w:szCs w:val="24"/>
              </w:rPr>
              <w:t>Priority Areas</w:t>
            </w:r>
          </w:p>
        </w:tc>
        <w:tc>
          <w:tcPr>
            <w:tcW w:w="5475" w:type="dxa"/>
          </w:tcPr>
          <w:p w14:paraId="3511060E" w14:textId="77777777" w:rsidR="001F340B" w:rsidRPr="003C1705" w:rsidRDefault="00A73F00" w:rsidP="003C1705">
            <w:pPr>
              <w:pStyle w:val="TableText"/>
              <w:spacing w:line="480" w:lineRule="auto"/>
              <w:rPr>
                <w:sz w:val="24"/>
                <w:szCs w:val="24"/>
              </w:rPr>
            </w:pPr>
            <w:r w:rsidRPr="003C1705">
              <w:rPr>
                <w:sz w:val="24"/>
                <w:szCs w:val="24"/>
              </w:rPr>
              <w:t>Health and Well-being</w:t>
            </w:r>
          </w:p>
        </w:tc>
      </w:tr>
    </w:tbl>
    <w:p w14:paraId="5C0884C5" w14:textId="77777777" w:rsidR="005F499C" w:rsidRPr="003C1705" w:rsidRDefault="005F499C" w:rsidP="003C1705">
      <w:pPr>
        <w:spacing w:line="480" w:lineRule="auto"/>
      </w:pPr>
    </w:p>
    <w:p w14:paraId="4DDA64A3" w14:textId="77777777" w:rsidR="001F340B" w:rsidRPr="003C1705" w:rsidRDefault="00A73F00" w:rsidP="003C1705">
      <w:pPr>
        <w:pStyle w:val="Heading1"/>
        <w:pageBreakBefore/>
        <w:spacing w:line="480" w:lineRule="auto"/>
      </w:pPr>
      <w:r w:rsidRPr="003C1705">
        <w:lastRenderedPageBreak/>
        <w:t>II. EXECUTIVE SUMMARY</w:t>
      </w:r>
    </w:p>
    <w:p w14:paraId="4E53B0B5" w14:textId="77777777" w:rsidR="001F340B" w:rsidRPr="003C1705" w:rsidRDefault="00A73F00" w:rsidP="003C1705">
      <w:pPr>
        <w:pStyle w:val="ThesisBody"/>
      </w:pPr>
      <w:r w:rsidRPr="003C1705">
        <w:t>Infectious diseases continue to pose significant public health challenges in the Philippines. Periodic outbreaks of both endemic and emerging diseases place considerable strain on healthcare systems and threaten the well-being of communities. Rapid urbanization, increased population mobility, environmental changes, and evolving pathogens have made disease monitoring and response more complex. Although the Department of Health (DOH) operates national disease surveillance systems, many monitoring processes still rely on retrospective reporting and manual data analysis. These limitations can delay the detection of disease trends and reduce the ability of health authorities to respond quickly to potential outbreaks.</w:t>
      </w:r>
    </w:p>
    <w:p w14:paraId="7BAEF461" w14:textId="77777777" w:rsidR="001F340B" w:rsidRPr="003C1705" w:rsidRDefault="00A73F00" w:rsidP="003C1705">
      <w:pPr>
        <w:pStyle w:val="ThesisBody"/>
      </w:pPr>
      <w:r w:rsidRPr="003C1705">
        <w:t>Recent developments in artificial intelligence (AI) and predictive analytics offer promising opportunities to strengthen disease surveillance and improve outbreak preparedness. AI technologies can analyze large volumes of epidemiological data and related indicators to identify patterns, detect emerging trends, and forecast disease outbreaks before they escalate. Beyond traditional surveillance data, AI systems can also integrate diverse information sources such as social media signals, crowdsourced health reports, clinical records, workplace health indicators, and health information systems. By combining multiple data streams, AI-driven analytics can provide a more comprehensive and timely understanding of disease dynamics, enabling earlier detection of health threats and more informed public health responses.</w:t>
      </w:r>
    </w:p>
    <w:p w14:paraId="01E22B46" w14:textId="77777777" w:rsidR="001F340B" w:rsidRPr="003C1705" w:rsidRDefault="00A73F00" w:rsidP="003C1705">
      <w:pPr>
        <w:pStyle w:val="ThesisBody"/>
      </w:pPr>
      <w:r w:rsidRPr="003C1705">
        <w:t>In Region I (</w:t>
      </w:r>
      <w:proofErr w:type="spellStart"/>
      <w:r w:rsidRPr="003C1705">
        <w:t>Ilocos</w:t>
      </w:r>
      <w:proofErr w:type="spellEnd"/>
      <w:r w:rsidRPr="003C1705">
        <w:t xml:space="preserve"> Region), disease surveillance is conducted through coordination among the DOH Center for Health Development, provincial health offices, municipal health offices, and public hospitals. These institutions routinely collect and report epidemiological data as part of the national surveillance system. However, there are currently limited tools that utilize advanced analytics to </w:t>
      </w:r>
      <w:r w:rsidRPr="003C1705">
        <w:lastRenderedPageBreak/>
        <w:t>automatically analyze disease patterns, forecast outbreaks, and assess population health risks in real time. Without predictive capabilities, public health officials may find it difficult to anticipate disease surges and implement preventive measures early. This highlights the need for innovative digital solutions that can strengthen surveillance systems and support faster, evidence-based decision-making.</w:t>
      </w:r>
    </w:p>
    <w:p w14:paraId="5CA2BD9F" w14:textId="22632E91" w:rsidR="001F340B" w:rsidRPr="003C1705" w:rsidRDefault="00A73F00" w:rsidP="003C1705">
      <w:pPr>
        <w:pStyle w:val="ThesisBody"/>
      </w:pPr>
      <w:r w:rsidRPr="003C1705">
        <w:t xml:space="preserve">To address these challenges, this project proposes the development of </w:t>
      </w:r>
      <w:proofErr w:type="spellStart"/>
      <w:r w:rsidR="003C1705">
        <w:t>HealthAlert</w:t>
      </w:r>
      <w:proofErr w:type="spellEnd"/>
      <w:r w:rsidRPr="003C1705">
        <w:t xml:space="preserve">, an AI-powered public health surveillance and predictive analytics system designed to enhance disease monitoring in Region I. The initial implementation of the project will focus on three priority infectious diseases in the region: dengue fever, </w:t>
      </w:r>
      <w:r w:rsidR="00CC42D6" w:rsidRPr="003C1705">
        <w:t>measles</w:t>
      </w:r>
      <w:r w:rsidRPr="003C1705">
        <w:t>, and influenza-like illnesses (ILI). These diseases were selected because of their recurring incidence, outbreak potential, seasonal behavior, public health impact, and availability of epidemiological and environmental data suitable for predictive analytics.</w:t>
      </w:r>
    </w:p>
    <w:p w14:paraId="6A516882" w14:textId="1DC65D74" w:rsidR="001F340B" w:rsidRPr="003C1705" w:rsidRDefault="003C1705" w:rsidP="003C1705">
      <w:pPr>
        <w:pStyle w:val="ThesisBody"/>
      </w:pPr>
      <w:proofErr w:type="spellStart"/>
      <w:r>
        <w:t>HealthAlert</w:t>
      </w:r>
      <w:proofErr w:type="spellEnd"/>
      <w:r w:rsidR="00A73F00" w:rsidRPr="003C1705">
        <w:t xml:space="preserve"> will prioritize official disease surveillance records, clinical or facility-based reports, environmental indicators, geographic data, and population data as core data sources. Other digital health-related sources, such as social media signals, crowdsourced reports, workplace health indicators, and existing health information systems, may be explored as supplementary sources when they are available, ethically approved, and technically compatible with the platform. These supplementary sources will support situational awareness and exploratory analysis, while official surveillance data will remain the primary basis for model development, outbreak risk classification, and public health decision-support outputs.</w:t>
      </w:r>
    </w:p>
    <w:p w14:paraId="50233BB6" w14:textId="266C58F9" w:rsidR="001F340B" w:rsidRPr="003C1705" w:rsidRDefault="00A73F00" w:rsidP="003C1705">
      <w:pPr>
        <w:pStyle w:val="ThesisBody"/>
      </w:pPr>
      <w:r w:rsidRPr="003C1705">
        <w:t xml:space="preserve">Using machine learning and predictive analytics techniques, </w:t>
      </w:r>
      <w:proofErr w:type="spellStart"/>
      <w:r w:rsidR="003C1705">
        <w:t>HealthAlert</w:t>
      </w:r>
      <w:proofErr w:type="spellEnd"/>
      <w:r w:rsidRPr="003C1705">
        <w:t xml:space="preserve"> will analyze historical and regularly updated disease-related data to detect emerging patterns, forecast possible disease increases, and generate early warning alerts. The </w:t>
      </w:r>
      <w:r w:rsidRPr="003C1705">
        <w:lastRenderedPageBreak/>
        <w:t>system will provide dashboards, maps, reports, and risk indicators to support healthcare providers and public health officials in interpreting surveillance data and identifying areas that may require closer monitoring. The system will serve as a decision-support tool and will not replace the judgment of authorized public health officials or healthcare professionals.</w:t>
      </w:r>
    </w:p>
    <w:p w14:paraId="72B691F3" w14:textId="62306904" w:rsidR="001F340B" w:rsidRPr="003C1705" w:rsidRDefault="00A73F00" w:rsidP="003C1705">
      <w:pPr>
        <w:pStyle w:val="ThesisBody"/>
      </w:pPr>
      <w:r w:rsidRPr="003C1705">
        <w:t xml:space="preserve">Specifically, the project will consist of three interrelated studies aimed at developing and validating </w:t>
      </w:r>
      <w:proofErr w:type="spellStart"/>
      <w:r w:rsidR="003C1705">
        <w:t>HealthAlert</w:t>
      </w:r>
      <w:proofErr w:type="spellEnd"/>
      <w:r w:rsidRPr="003C1705">
        <w:t xml:space="preserve">. The first study will focus on the development of machine learning models for detecting disease trends and forecasting potential outbreaks using epidemiological data and other relevant information sources. The second study will involve the development of the </w:t>
      </w:r>
      <w:proofErr w:type="spellStart"/>
      <w:r w:rsidR="003C1705">
        <w:t>HealthAlert</w:t>
      </w:r>
      <w:proofErr w:type="spellEnd"/>
      <w:r w:rsidRPr="003C1705">
        <w:t xml:space="preserve"> platform, including an interactive surveillance dashboard that integrates multiple data sources and provides real-time disease monitoring, visualization of trends, and early warning alerts. The third study will focus on the validation and pilot implementation of the </w:t>
      </w:r>
      <w:proofErr w:type="spellStart"/>
      <w:r w:rsidR="003C1705">
        <w:t>HealthAlert</w:t>
      </w:r>
      <w:proofErr w:type="spellEnd"/>
      <w:r w:rsidRPr="003C1705">
        <w:t xml:space="preserve"> system in Region I to evaluate the performance of the predictive models and assess the usefulness of the platform in supporting disease surveillance, evaluating population health risks, and aiding clinical and public health decision-making.</w:t>
      </w:r>
    </w:p>
    <w:p w14:paraId="610A1980" w14:textId="77777777" w:rsidR="001F340B" w:rsidRPr="003C1705" w:rsidRDefault="00A73F00" w:rsidP="003C1705">
      <w:pPr>
        <w:pStyle w:val="ThesisBody"/>
      </w:pPr>
      <w:r w:rsidRPr="003C1705">
        <w:t xml:space="preserve">The expected outputs of the project include the development of an interactive AI-powered surveillance platform with a technology readiness level (TRL) of </w:t>
      </w:r>
      <w:r w:rsidR="000B0704" w:rsidRPr="003C1705">
        <w:t>5-6</w:t>
      </w:r>
      <w:r w:rsidRPr="003C1705">
        <w:t xml:space="preserve">, innovative AI algorithms for disease trend detection and outbreak forecasting, predictive models capable of generating early warning alerts for dengue, </w:t>
      </w:r>
      <w:r w:rsidR="00716926" w:rsidRPr="003C1705">
        <w:t>measles</w:t>
      </w:r>
      <w:r w:rsidRPr="003C1705">
        <w:t>, influenza-like illnesses, and other infectious diseases, a decision-support component for public health officials and healthcare providers, and research publications. The project will also produce policy recommendations and guidelines that can guide the implementation of AI-assisted public health interventions within regional health systems.</w:t>
      </w:r>
    </w:p>
    <w:p w14:paraId="5B813803" w14:textId="1AA5919C" w:rsidR="001F340B" w:rsidRPr="003C1705" w:rsidRDefault="003C1705" w:rsidP="003C1705">
      <w:pPr>
        <w:pStyle w:val="ThesisBody"/>
      </w:pPr>
      <w:proofErr w:type="spellStart"/>
      <w:r>
        <w:lastRenderedPageBreak/>
        <w:t>HealthAlert</w:t>
      </w:r>
      <w:proofErr w:type="spellEnd"/>
      <w:r w:rsidR="00A73F00" w:rsidRPr="003C1705">
        <w:t xml:space="preserve"> will be implemented and validated in Region I through collaboration with the DOH Center for Health Development, provincial health offices, municipal health offices, and selected public hospitals. The pilot implementation will allow the research team to evaluate the performance of the AI models and assess how effectively the system supports real-time disease monitoring and outbreak preparedness at the regional level. Lessons learned from this pilot implementation will help inform future improvements and may support the eventual expansion of the system to other regions in the Philippines.</w:t>
      </w:r>
    </w:p>
    <w:p w14:paraId="074EB63E" w14:textId="29FAD76D" w:rsidR="001F340B" w:rsidRPr="003C1705" w:rsidRDefault="00A73F00" w:rsidP="003C1705">
      <w:pPr>
        <w:pStyle w:val="ThesisBody"/>
      </w:pPr>
      <w:r w:rsidRPr="003C1705">
        <w:t xml:space="preserve">The development of </w:t>
      </w:r>
      <w:proofErr w:type="spellStart"/>
      <w:r w:rsidR="003C1705">
        <w:t>HealthAlert</w:t>
      </w:r>
      <w:proofErr w:type="spellEnd"/>
      <w:r w:rsidRPr="003C1705">
        <w:t xml:space="preserve"> supports the national agenda on digital health transformation and the use of emerging technologies to strengthen health systems. The project directly responds to the priority research topic of the Department of Science and Technology – Philippine Council for Health Research and Development (DOST-PCHRD) on the development of AI-powered public health surveillance and predictive analytics for disease monitoring. By integrating artificial intelligence into disease surveillance systems, the project aims to demonstrate how predictive analytics can improve public health intelligence and strengthen preparedness for future disease outbreaks.</w:t>
      </w:r>
    </w:p>
    <w:p w14:paraId="71B21241" w14:textId="77777777" w:rsidR="001F340B" w:rsidRPr="003C1705" w:rsidRDefault="00A73F00" w:rsidP="003C1705">
      <w:pPr>
        <w:pStyle w:val="Heading1"/>
        <w:pageBreakBefore/>
        <w:spacing w:line="480" w:lineRule="auto"/>
      </w:pPr>
      <w:r w:rsidRPr="003C1705">
        <w:lastRenderedPageBreak/>
        <w:t>III. INTRODUCTION</w:t>
      </w:r>
    </w:p>
    <w:p w14:paraId="57734E7C" w14:textId="77777777" w:rsidR="001F340B" w:rsidRPr="003C1705" w:rsidRDefault="00A73F00" w:rsidP="003C1705">
      <w:pPr>
        <w:pStyle w:val="ThesisBody"/>
      </w:pPr>
      <w:r w:rsidRPr="003C1705">
        <w:t xml:space="preserve">Infectious diseases remain a major public health concern in the Philippines, especially in areas where environmental conditions, rapid urbanization, population movement, and unequal access to healthcare contribute to the spread of disease. Illnesses such as dengue fever, </w:t>
      </w:r>
      <w:r w:rsidR="0024527A" w:rsidRPr="003C1705">
        <w:t>measles</w:t>
      </w:r>
      <w:r w:rsidRPr="003C1705">
        <w:t>, and influenza-like illnesses (ILI) continue to affect thousands of Filipinos each year, placing pressure on healthcare systems and disrupting communities and livelihoods. During periods of heavy rainfall, flooding, and seasonal climate changes, the risk of outbreaks often increases, making timely disease monitoring and rapid response more important than ever.</w:t>
      </w:r>
    </w:p>
    <w:p w14:paraId="7D96C316" w14:textId="77777777" w:rsidR="001F340B" w:rsidRPr="003C1705" w:rsidRDefault="00A73F00" w:rsidP="003C1705">
      <w:pPr>
        <w:pStyle w:val="ThesisBody"/>
      </w:pPr>
      <w:r w:rsidRPr="003C1705">
        <w:t>In Region I (</w:t>
      </w:r>
      <w:proofErr w:type="spellStart"/>
      <w:r w:rsidRPr="003C1705">
        <w:t>Ilocos</w:t>
      </w:r>
      <w:proofErr w:type="spellEnd"/>
      <w:r w:rsidRPr="003C1705">
        <w:t xml:space="preserve"> Region), disease surveillance is carried out through the coordinated efforts of the Department of Health–Center for Health Development (DOH-CHD), provincial and municipal health offices, rural health units, and public hospitals. These institutions regularly gather and report epidemiological data as part of the country’s national disease surveillance program. However, many existing monitoring processes still rely on retrospective reporting, manual consolidation of records, and descriptive analysis. While these systems are useful for documenting reported cases, they often provide limited support for real-time outbreak forecasting and predictive decision-making. As a result, public health authorities may face challenges in identifying emerging disease patterns early enough to implement timely interventions.</w:t>
      </w:r>
    </w:p>
    <w:p w14:paraId="1BC70D3E" w14:textId="77777777" w:rsidR="001F340B" w:rsidRPr="003C1705" w:rsidRDefault="006B40F5" w:rsidP="003C1705">
      <w:pPr>
        <w:pStyle w:val="ThesisBody"/>
      </w:pPr>
      <w:r w:rsidRPr="003C1705">
        <w:t xml:space="preserve">Among the infectious diseases monitored by the Department of Health, dengue fever remains one of the most persistent and widespread vector-borne diseases in the country. Reports from the DOH Epidemiology Bureau continue to show increasing dengue cases in several regions, particularly during the rainy season when mosquito breeding conditions become more favorable (DOH, 2024). Measles also remains a </w:t>
      </w:r>
      <w:r w:rsidRPr="003C1705">
        <w:lastRenderedPageBreak/>
        <w:t>significant public health concern due to its high transmissibility and the continued occurrence of outbreaks in areas with declining or incomplete immunization coverage. At the same time, influenza-like illnesses and other respiratory infections continue to require close monitoring because respiratory viruses can spread rapidly within communities and healthcare facilities. The COVID-19 pandemic further highlighted the importance of having responsive and real-time disease surveillance systems that can support faster public health action and outbreak preparedness (WHO, 2023).</w:t>
      </w:r>
    </w:p>
    <w:p w14:paraId="3E53CCE1" w14:textId="56519F89" w:rsidR="001F340B" w:rsidRPr="003C1705" w:rsidRDefault="00A73F00" w:rsidP="003C1705">
      <w:pPr>
        <w:pStyle w:val="ThesisBody"/>
      </w:pPr>
      <w:r w:rsidRPr="003C1705">
        <w:t xml:space="preserve">The selection of dengue fever, </w:t>
      </w:r>
      <w:r w:rsidR="00304F19" w:rsidRPr="003C1705">
        <w:t>measles</w:t>
      </w:r>
      <w:r w:rsidRPr="003C1705">
        <w:t xml:space="preserve">, and influenza-like illnesses as the initial focus of </w:t>
      </w:r>
      <w:proofErr w:type="spellStart"/>
      <w:r w:rsidR="003C1705">
        <w:t>HealthAlert</w:t>
      </w:r>
      <w:proofErr w:type="spellEnd"/>
      <w:r w:rsidRPr="003C1705">
        <w:t xml:space="preserve"> is based on surveillance reports and epidemiological monitoring conducted by the Department of Health–Center for Health Development Region I and the DOH Epidemiology Bureau. These diseases were identified as among the </w:t>
      </w:r>
      <w:proofErr w:type="gramStart"/>
      <w:r w:rsidRPr="003C1705">
        <w:t>most commonly monitored</w:t>
      </w:r>
      <w:proofErr w:type="gramEnd"/>
      <w:r w:rsidRPr="003C1705">
        <w:t xml:space="preserve"> and reported communicable diseases in the region because of their recurring incidence, seasonal patterns, outbreak potential, and impact on healthcare services. In addition, the availability of epidemiological, environmental, and clinical datasets makes these diseases suitable for the development of predictive analytics and AI-driven early warning models.</w:t>
      </w:r>
    </w:p>
    <w:p w14:paraId="2FE7A6E9" w14:textId="77777777" w:rsidR="001F340B" w:rsidRPr="003C1705" w:rsidRDefault="00A73F00" w:rsidP="003C1705">
      <w:pPr>
        <w:pStyle w:val="ThesisBody"/>
      </w:pPr>
      <w:r w:rsidRPr="003C1705">
        <w:t xml:space="preserve">Recent advances in artificial intelligence (AI), machine learning, and predictive analytics offer new opportunities to strengthen disease surveillance and outbreak preparedness. AI technologies </w:t>
      </w:r>
      <w:proofErr w:type="gramStart"/>
      <w:r w:rsidRPr="003C1705">
        <w:t>are capable of processing</w:t>
      </w:r>
      <w:proofErr w:type="gramEnd"/>
      <w:r w:rsidRPr="003C1705">
        <w:t xml:space="preserve"> large and complex datasets, identifying hidden patterns, detecting anomalies, and forecasting disease trends using both historical and real-time information. In recent years, AI has increasingly been explored in public health applications such as epidemic forecasting, digital surveillance, decision support systems, and early warning mechanisms (Esteva et al., 2021; Mahmood et al., 2024). These technologies can help public health authorities move from reactive responses toward more proactive and data-driven interventions.</w:t>
      </w:r>
    </w:p>
    <w:p w14:paraId="64FB03F2" w14:textId="77777777" w:rsidR="001F340B" w:rsidRPr="003C1705" w:rsidRDefault="00A73F00" w:rsidP="003C1705">
      <w:pPr>
        <w:pStyle w:val="ThesisBody"/>
      </w:pPr>
      <w:r w:rsidRPr="003C1705">
        <w:lastRenderedPageBreak/>
        <w:t>Modern surveillance systems are also evolving beyond traditional epidemiological reporting. AI-assisted platforms can now integrate multiple sources of information, including clinical records, environmental indicators, health information systems, workplace health data, crowdsourced reports, and even social media signals. Combining these diverse datasets can provide a more complete and timely picture of disease activity within communities. Studies on digital epidemiology and event-based surveillance have shown that integrating multiple data streams can improve outbreak detection and strengthen public health situational awareness (</w:t>
      </w:r>
      <w:proofErr w:type="spellStart"/>
      <w:r w:rsidRPr="003C1705">
        <w:t>Paireau</w:t>
      </w:r>
      <w:proofErr w:type="spellEnd"/>
      <w:r w:rsidRPr="003C1705">
        <w:t xml:space="preserve"> et al., 2022; WHO, 2023). In the Philippines, the Department of Science and Technology–Philippine Council for Health Research and Development (DOST-PCHRD) continues to promote digital health transformation and intelligent health technologies that support evidence-based healthcare and public health resilience.</w:t>
      </w:r>
    </w:p>
    <w:p w14:paraId="0CD349D0" w14:textId="1553F8A3" w:rsidR="001F340B" w:rsidRPr="003C1705" w:rsidRDefault="00A73F00" w:rsidP="003C1705">
      <w:pPr>
        <w:pStyle w:val="ThesisBody"/>
      </w:pPr>
      <w:r w:rsidRPr="003C1705">
        <w:t xml:space="preserve">In response to these challenges and opportunities, this project proposes the development of </w:t>
      </w:r>
      <w:proofErr w:type="spellStart"/>
      <w:r w:rsidR="003C1705">
        <w:t>HealthAlert</w:t>
      </w:r>
      <w:proofErr w:type="spellEnd"/>
      <w:r w:rsidRPr="003C1705">
        <w:t xml:space="preserve">: An AI-Powered Public Health Surveillance and Predictive Analytics System for Disease Monitoring in Region I. The project aims to develop an integrated surveillance platform capable of monitoring disease trends, forecasting potential outbreaks, generating early warning alerts, and supporting evidence-based public health decision-making. The initial implementation of the system will focus on dengue fever, </w:t>
      </w:r>
      <w:r w:rsidR="0050789B" w:rsidRPr="003C1705">
        <w:t>measles</w:t>
      </w:r>
      <w:r w:rsidRPr="003C1705">
        <w:t>, and influenza-like illnesses, given their significance for regional disease surveillance and their ongoing impact on public health.</w:t>
      </w:r>
    </w:p>
    <w:p w14:paraId="20C35D72" w14:textId="477A1D82" w:rsidR="001F340B" w:rsidRPr="003C1705" w:rsidRDefault="003C1705" w:rsidP="003C1705">
      <w:pPr>
        <w:pStyle w:val="ThesisBody"/>
      </w:pPr>
      <w:proofErr w:type="spellStart"/>
      <w:r>
        <w:t>HealthAlert</w:t>
      </w:r>
      <w:proofErr w:type="spellEnd"/>
      <w:r w:rsidR="00A73F00" w:rsidRPr="003C1705">
        <w:t xml:space="preserve"> will integrate multiple health-related data sources, including epidemiological records, clinical reports, environmental indicators, health information systems, workplace health data, crowdsourced reports, and social media signals. Using machine learning and predictive analytics techniques, the system is expected to identify disease patterns, forecast potential outbreaks, assess population health risks, and </w:t>
      </w:r>
      <w:r w:rsidR="00A73F00" w:rsidRPr="003C1705">
        <w:lastRenderedPageBreak/>
        <w:t xml:space="preserve">provide real-time visualization of disease trends. Rather than replacing existing surveillance systems, </w:t>
      </w:r>
      <w:proofErr w:type="spellStart"/>
      <w:r>
        <w:t>HealthAlert</w:t>
      </w:r>
      <w:proofErr w:type="spellEnd"/>
      <w:r w:rsidR="00A73F00" w:rsidRPr="003C1705">
        <w:t xml:space="preserve"> is designed to function as a decision-support tool that can enhance the ability of healthcare providers and public health officials to interpret data, identify risks earlier, and implement more timely interventions.</w:t>
      </w:r>
    </w:p>
    <w:p w14:paraId="01E4B0B0" w14:textId="2DC6F784" w:rsidR="001F340B" w:rsidRPr="003C1705" w:rsidRDefault="003C1705" w:rsidP="003C1705">
      <w:pPr>
        <w:pStyle w:val="ThesisBody"/>
      </w:pPr>
      <w:proofErr w:type="spellStart"/>
      <w:r>
        <w:t>HealthAlert</w:t>
      </w:r>
      <w:proofErr w:type="spellEnd"/>
      <w:r w:rsidR="00A73F00" w:rsidRPr="003C1705">
        <w:t xml:space="preserve"> will prioritize official disease surveillance, clinical, environmental, geographic, and population datasets as core data sources. Other digital health-related sources, such as social media signals, crowdsourced reports, workplace health indicators, and existing health information systems, may be included as supplementary data sources when available, ethically approved, and technically compatible with the platform. These supplementary sources will support situational awareness and exploratory analysis, while official surveillance data will remain the primary basis for model development, outbreak risk classification, and public health decision-support outputs.</w:t>
      </w:r>
    </w:p>
    <w:p w14:paraId="3D5B1459" w14:textId="6C92C883" w:rsidR="001F340B" w:rsidRPr="003C1705" w:rsidRDefault="00A73F00" w:rsidP="003C1705">
      <w:pPr>
        <w:pStyle w:val="ThesisBody"/>
      </w:pPr>
      <w:r w:rsidRPr="003C1705">
        <w:t xml:space="preserve">The development of </w:t>
      </w:r>
      <w:proofErr w:type="spellStart"/>
      <w:r w:rsidR="003C1705">
        <w:t>HealthAlert</w:t>
      </w:r>
      <w:proofErr w:type="spellEnd"/>
      <w:r w:rsidRPr="003C1705">
        <w:t xml:space="preserve"> supports the national agenda on digital health transformation and aligns with the strategic priorities of the Department of Science and Technology – Philippine Council for Health Research and Development on AI-assisted public health surveillance and predictive analytics. By piloting the system in Region I, the study aims to provide practical evidence on the feasibility, usefulness, and effectiveness of AI-powered disease surveillance in the Philippine setting. The project’s expected outputs, including predictive models, an interactive surveillance dashboard, early warning mechanisms, policy recommendations, and research publications, may contribute to more proactive, data-driven, and resilient public health decision-making in the country.</w:t>
      </w:r>
    </w:p>
    <w:p w14:paraId="6A286DF4" w14:textId="77777777" w:rsidR="001F340B" w:rsidRPr="003C1705" w:rsidRDefault="00A73F00" w:rsidP="003C1705">
      <w:pPr>
        <w:pStyle w:val="Heading2"/>
        <w:spacing w:line="480" w:lineRule="auto"/>
      </w:pPr>
      <w:r w:rsidRPr="003C1705">
        <w:lastRenderedPageBreak/>
        <w:t>Scientific Basis/Theoretical Framework</w:t>
      </w:r>
    </w:p>
    <w:p w14:paraId="2C0F0F65" w14:textId="1E6ED4FD" w:rsidR="001F340B" w:rsidRPr="003C1705" w:rsidRDefault="00A73F00" w:rsidP="003C1705">
      <w:pPr>
        <w:pStyle w:val="ThesisBody"/>
      </w:pPr>
      <w:r w:rsidRPr="003C1705">
        <w:t xml:space="preserve">This study is guided by an integrated theoretical framework that brings together concepts from public health surveillance, early warning systems, predictive analytics, information systems success, and technology acceptance in healthcare. These perspectives provide a strong foundation for </w:t>
      </w:r>
      <w:proofErr w:type="spellStart"/>
      <w:r w:rsidR="003C1705">
        <w:t>HealthAlert</w:t>
      </w:r>
      <w:proofErr w:type="spellEnd"/>
      <w:r w:rsidRPr="003C1705">
        <w:t xml:space="preserve"> because the project is not only focused on developing an AI-powered surveillance platform, but also on ensuring that the system can effectively support healthcare providers and public health officials in monitoring diseases, forecasting outbreaks, assessing risks, and making timely decisions in Region I.</w:t>
      </w:r>
    </w:p>
    <w:p w14:paraId="58CE62CB" w14:textId="6346C548" w:rsidR="001F340B" w:rsidRPr="003C1705" w:rsidRDefault="00A73F00" w:rsidP="003C1705">
      <w:pPr>
        <w:pStyle w:val="ThesisBody"/>
      </w:pPr>
      <w:r w:rsidRPr="003C1705">
        <w:t xml:space="preserve">At the heart of the framework is public health surveillance theory, which highlights the importance of continuously collecting, analyzing, interpreting, and sharing health-related information to support public health action. According to the World Health Organization (WHO, 2024), surveillance systems are essential for detecting disease events, monitoring trends, guiding interventions, and improving outbreak preparedness and response. In </w:t>
      </w:r>
      <w:proofErr w:type="spellStart"/>
      <w:r w:rsidR="003C1705">
        <w:t>HealthAlert</w:t>
      </w:r>
      <w:proofErr w:type="spellEnd"/>
      <w:r w:rsidRPr="003C1705">
        <w:t>, surveillance goes beyond simply recording reported cases. The system is designed to transform epidemiological, clinical, environmental, and community-related data into timely and actionable insights that can help health authorities respond more effectively to emerging health threats.</w:t>
      </w:r>
    </w:p>
    <w:p w14:paraId="00B0DC11" w14:textId="77777777" w:rsidR="001F340B" w:rsidRPr="003C1705" w:rsidRDefault="00A73F00" w:rsidP="003C1705">
      <w:pPr>
        <w:pStyle w:val="ThesisBody"/>
      </w:pPr>
      <w:r w:rsidRPr="003C1705">
        <w:t xml:space="preserve">This perspective is especially important for dengue fever, </w:t>
      </w:r>
      <w:r w:rsidR="0050789B" w:rsidRPr="003C1705">
        <w:t>measles</w:t>
      </w:r>
      <w:r w:rsidRPr="003C1705">
        <w:t xml:space="preserve">, and influenza-like illnesses, which are the initial focus of the proposed system. These diseases require continuous monitoring because their spread is often influenced by seasonal conditions, environmental exposure, population movement, and community-level risk factors. Surveillance reports from the Department of Health–Center for Health Development Region I and the DOH Epidemiology Bureau consistently identify </w:t>
      </w:r>
      <w:r w:rsidRPr="003C1705">
        <w:lastRenderedPageBreak/>
        <w:t>these diseases among the most frequently monitored communicable diseases in the region because of their recurring outbreaks and impact on healthcare services.</w:t>
      </w:r>
    </w:p>
    <w:p w14:paraId="1BF7353F" w14:textId="77777777" w:rsidR="001F340B" w:rsidRPr="003C1705" w:rsidRDefault="00A73F00" w:rsidP="003C1705">
      <w:pPr>
        <w:pStyle w:val="ThesisBody"/>
      </w:pPr>
      <w:r w:rsidRPr="003C1705">
        <w:t>The framework also draws from early warning systems theory, which emphasizes the importance of identifying unusual disease activity and emerging risks before they develop into larger public health emergencies. Traditional surveillance systems often face challenges such as delayed reporting, fragmented data sources, and manual data consolidation, all of which can slow down outbreak detection and response. WHO (2024) stresses that surveillance and alert systems play a critical role in detecting and responding to public health threats. Recent studies further suggest that artificial intelligence and digital surveillance technologies can improve the speed and sensitivity of outbreak detection systems (Villanueva-Miranda et al., 2025).</w:t>
      </w:r>
    </w:p>
    <w:p w14:paraId="75C266C9" w14:textId="25022986" w:rsidR="001F340B" w:rsidRPr="003C1705" w:rsidRDefault="00A73F00" w:rsidP="003C1705">
      <w:pPr>
        <w:pStyle w:val="ThesisBody"/>
      </w:pPr>
      <w:r w:rsidRPr="003C1705">
        <w:t xml:space="preserve">In the context of </w:t>
      </w:r>
      <w:proofErr w:type="spellStart"/>
      <w:r w:rsidR="003C1705">
        <w:t>HealthAlert</w:t>
      </w:r>
      <w:proofErr w:type="spellEnd"/>
      <w:r w:rsidRPr="003C1705">
        <w:t>, this means integrating and analyzing multiple sources of information, including epidemiological reports, clinical records, environmental indicators, health information systems, workplace health indicators, crowdsourced reports, and social media signals. The framework assumes that disease outbreaks often produce early signals across different data sources before they become fully visible in routine surveillance reports. By analyzing these signals together, the system can support earlier identification of disease trends and emerging public health risks.</w:t>
      </w:r>
    </w:p>
    <w:p w14:paraId="3DEE1B80" w14:textId="1229C321" w:rsidR="001F340B" w:rsidRPr="003C1705" w:rsidRDefault="00A73F00" w:rsidP="003C1705">
      <w:pPr>
        <w:pStyle w:val="ThesisBody"/>
      </w:pPr>
      <w:r w:rsidRPr="003C1705">
        <w:t xml:space="preserve">The study is also grounded in predictive analytics in public health. Predictive analytics involves using statistical methods, machine learning, and pattern recognition techniques to analyze historical and real-time data </w:t>
      </w:r>
      <w:proofErr w:type="gramStart"/>
      <w:r w:rsidRPr="003C1705">
        <w:t>in order to</w:t>
      </w:r>
      <w:proofErr w:type="gramEnd"/>
      <w:r w:rsidRPr="003C1705">
        <w:t xml:space="preserve"> estimate future events and trends. In public health, predictive analytics helps shift surveillance from a reactive process toward a more proactive and decision-oriented approach. For </w:t>
      </w:r>
      <w:proofErr w:type="spellStart"/>
      <w:r w:rsidR="003C1705">
        <w:t>HealthAlert</w:t>
      </w:r>
      <w:proofErr w:type="spellEnd"/>
      <w:r w:rsidRPr="003C1705">
        <w:t xml:space="preserve">, predictive analytics provides the foundation for forecasting disease trends, identifying </w:t>
      </w:r>
      <w:r w:rsidRPr="003C1705">
        <w:lastRenderedPageBreak/>
        <w:t>possible outbreaks, assessing population health risks, and highlighting areas that may require closer monitoring.</w:t>
      </w:r>
    </w:p>
    <w:p w14:paraId="72A1E413" w14:textId="77777777" w:rsidR="001F340B" w:rsidRPr="003C1705" w:rsidRDefault="00A73F00" w:rsidP="003C1705">
      <w:pPr>
        <w:pStyle w:val="ThesisBody"/>
      </w:pPr>
      <w:r w:rsidRPr="003C1705">
        <w:t>Artificial intelligence further strengthens this capability by allowing the system to process large, complex, and diverse datasets more efficiently than traditional manual approaches. AI techniques can support pattern detection, anomaly identification, risk classification, and outbreak forecasting across multiple health-related data sources. Recent studies suggest that AI technologies can improve outbreak preparedness and support faster public health response when combined with epidemiological expertise and existing healthcare workflows (Mahmood et al., 2024; Villanueva-Miranda et al., 2025). In the Philippine setting, this direction also aligns with the national push for digital health transformation and the growing use of intelligent healthcare technologies promoted by the Department of Science and Technology–Philippine Council for Health Research and Development (DOST-PCHRD).</w:t>
      </w:r>
    </w:p>
    <w:p w14:paraId="47B7A04B" w14:textId="77777777" w:rsidR="001F340B" w:rsidRPr="003C1705" w:rsidRDefault="00A73F00" w:rsidP="003C1705">
      <w:pPr>
        <w:pStyle w:val="ThesisBody"/>
      </w:pPr>
      <w:r w:rsidRPr="003C1705">
        <w:t>Aside from technical performance, the framework also recognizes the importance of evaluating how effective and useful the system will be in real-world settings. For this reason, the study incorporates the Information Systems Success Model, which explains that the success of an information system depends on factors such as system quality, information quality, service quality, user satisfaction, and overall benefits. Jeyaraj (2020) emphasized that these dimensions remain important in evaluating modern information systems, including healthcare technologies.</w:t>
      </w:r>
    </w:p>
    <w:p w14:paraId="6A8D2C98" w14:textId="236D96EA" w:rsidR="001F340B" w:rsidRPr="003C1705" w:rsidRDefault="00A73F00" w:rsidP="003C1705">
      <w:pPr>
        <w:pStyle w:val="ThesisBody"/>
      </w:pPr>
      <w:r w:rsidRPr="003C1705">
        <w:t xml:space="preserve">In </w:t>
      </w:r>
      <w:proofErr w:type="spellStart"/>
      <w:r w:rsidR="003C1705">
        <w:t>HealthAlert</w:t>
      </w:r>
      <w:proofErr w:type="spellEnd"/>
      <w:r w:rsidRPr="003C1705">
        <w:t xml:space="preserve">, system quality refers to the reliability, usability, accessibility, responsiveness, and technical stability of the platform. Information quality refers to the accuracy, timeliness, completeness, and clarity of the forecasts, dashboards, visualizations, and early warning alerts generated by the system. Service quality includes the training, technical support, and assistance provided during implementation. </w:t>
      </w:r>
      <w:r w:rsidRPr="003C1705">
        <w:lastRenderedPageBreak/>
        <w:t>These dimensions are important because even a technically advanced AI system may have limited value if users cannot easily understand, access, or apply the information it provides.</w:t>
      </w:r>
    </w:p>
    <w:p w14:paraId="44F4AAC5" w14:textId="77777777" w:rsidR="001F340B" w:rsidRPr="003C1705" w:rsidRDefault="00A73F00" w:rsidP="003C1705">
      <w:pPr>
        <w:pStyle w:val="ThesisBody"/>
      </w:pPr>
      <w:r w:rsidRPr="003C1705">
        <w:t xml:space="preserve">The framework also considers how healthcare personnel and public health officials may accept and use the system in practice. To address this, the study draws from the Technology Acceptance Model (TAM) and the Unified Theory of Acceptance and Use of Technology (UTAUT). Recent studies continue to show that factors such as perceived usefulness, ease of use, trust, facilitating conditions, and organizational readiness strongly influence the adoption of healthcare technologies (AlQudah et al., 2021; </w:t>
      </w:r>
      <w:proofErr w:type="spellStart"/>
      <w:r w:rsidRPr="003C1705">
        <w:t>Rouidi</w:t>
      </w:r>
      <w:proofErr w:type="spellEnd"/>
      <w:r w:rsidRPr="003C1705">
        <w:t xml:space="preserve"> et al., 2022).</w:t>
      </w:r>
    </w:p>
    <w:p w14:paraId="79482274" w14:textId="372EEBA4" w:rsidR="001F340B" w:rsidRPr="003C1705" w:rsidRDefault="00A73F00" w:rsidP="003C1705">
      <w:pPr>
        <w:pStyle w:val="ThesisBody"/>
      </w:pPr>
      <w:r w:rsidRPr="003C1705">
        <w:t xml:space="preserve">In this study, perceived usefulness refers to the extent to which users believe </w:t>
      </w:r>
      <w:proofErr w:type="spellStart"/>
      <w:r w:rsidR="003C1705">
        <w:t>HealthAlert</w:t>
      </w:r>
      <w:proofErr w:type="spellEnd"/>
      <w:r w:rsidRPr="003C1705">
        <w:t xml:space="preserve"> can improve disease monitoring, outbreak forecasting, risk assessment, and public health response. Perceived ease of use refers to how understandable, manageable, and user-friendly the platform is for healthcare personnel and public health officials. Facilitating conditions may include technical support, internet connectivity, training, data availability, and institutional readiness. These factors are critical because a system can only create a meaningful public health impact if it is accepted, trusted, and effectively used by the people responsible for disease surveillance and response.</w:t>
      </w:r>
    </w:p>
    <w:p w14:paraId="5F5EA2A4" w14:textId="2BD82B8E" w:rsidR="001F340B" w:rsidRPr="003C1705" w:rsidRDefault="00A73F00" w:rsidP="003C1705">
      <w:pPr>
        <w:pStyle w:val="ThesisBody"/>
      </w:pPr>
      <w:r w:rsidRPr="003C1705">
        <w:t xml:space="preserve">These theoretical perspectives provide a comprehensive foundation for </w:t>
      </w:r>
      <w:proofErr w:type="spellStart"/>
      <w:r w:rsidR="003C1705">
        <w:t>HealthAlert</w:t>
      </w:r>
      <w:proofErr w:type="spellEnd"/>
      <w:r w:rsidRPr="003C1705">
        <w:t xml:space="preserve">. Public health surveillance and early warning theories explain the importance of timely disease monitoring and outbreak detection, while predictive analytics and artificial intelligence provide the technical basis for forecasting disease trends and identifying emerging risks. The Information Systems Success Model supports the evaluation of the platform’s effectiveness and information quality, while TAM and UTAUT explain the factors that may influence user acceptance and system </w:t>
      </w:r>
      <w:r w:rsidRPr="003C1705">
        <w:lastRenderedPageBreak/>
        <w:t xml:space="preserve">utilization. Collectively, these theories position </w:t>
      </w:r>
      <w:proofErr w:type="spellStart"/>
      <w:r w:rsidR="003C1705">
        <w:t>HealthAlert</w:t>
      </w:r>
      <w:proofErr w:type="spellEnd"/>
      <w:r w:rsidRPr="003C1705">
        <w:t xml:space="preserve"> as an AI-assisted decision-support system designed to strengthen disease surveillance, improve outbreak preparedness, and support evidence-based public health action in Region I.</w:t>
      </w:r>
    </w:p>
    <w:p w14:paraId="4C925A00" w14:textId="77777777" w:rsidR="001F340B" w:rsidRPr="003C1705" w:rsidRDefault="00A73F00" w:rsidP="003C1705">
      <w:pPr>
        <w:pStyle w:val="Heading2"/>
        <w:spacing w:line="480" w:lineRule="auto"/>
      </w:pPr>
      <w:r w:rsidRPr="003C1705">
        <w:t>General Objectives</w:t>
      </w:r>
    </w:p>
    <w:p w14:paraId="25938579" w14:textId="1BF6DFEB" w:rsidR="001F340B" w:rsidRPr="003C1705" w:rsidRDefault="00A73F00" w:rsidP="003C1705">
      <w:pPr>
        <w:pStyle w:val="ThesisBody"/>
      </w:pPr>
      <w:r w:rsidRPr="003C1705">
        <w:t xml:space="preserve">To develop and validate </w:t>
      </w:r>
      <w:proofErr w:type="spellStart"/>
      <w:r w:rsidR="003C1705">
        <w:t>HealthAlert</w:t>
      </w:r>
      <w:proofErr w:type="spellEnd"/>
      <w:r w:rsidRPr="003C1705">
        <w:t xml:space="preserve">, an AI-powered public health surveillance and predictive analytics system for real-time monitoring, early detection, risk assessment, and outbreak forecasting of priority infectious diseases, particularly dengue fever, </w:t>
      </w:r>
      <w:r w:rsidR="0050789B" w:rsidRPr="003C1705">
        <w:t>measles</w:t>
      </w:r>
      <w:r w:rsidRPr="003C1705">
        <w:t>, and influenza-like illnesses, in Region I through the integration of epidemiological, clinical, environmental, and multi-source health-related data.</w:t>
      </w:r>
    </w:p>
    <w:p w14:paraId="277433C6" w14:textId="77777777" w:rsidR="001F340B" w:rsidRPr="003C1705" w:rsidRDefault="00A73F00" w:rsidP="003C1705">
      <w:pPr>
        <w:pStyle w:val="Heading2"/>
        <w:spacing w:line="480" w:lineRule="auto"/>
      </w:pPr>
      <w:r w:rsidRPr="003C1705">
        <w:t>Specific Objectives</w:t>
      </w:r>
    </w:p>
    <w:p w14:paraId="2FF2EAFA" w14:textId="77777777" w:rsidR="001F340B" w:rsidRPr="003C1705" w:rsidRDefault="00A73F00" w:rsidP="003C1705">
      <w:pPr>
        <w:pStyle w:val="Heading3"/>
        <w:spacing w:line="480" w:lineRule="auto"/>
      </w:pPr>
      <w:r w:rsidRPr="003C1705">
        <w:t>Study 1: Development of Machine Learning Models for Disease Trend Detection and Outbreak Forecasting</w:t>
      </w:r>
    </w:p>
    <w:p w14:paraId="152D4D91" w14:textId="77777777" w:rsidR="001F340B" w:rsidRPr="003C1705" w:rsidRDefault="00A73F00" w:rsidP="003C1705">
      <w:pPr>
        <w:pStyle w:val="ThesisList"/>
        <w:numPr>
          <w:ilvl w:val="0"/>
          <w:numId w:val="4"/>
        </w:numPr>
        <w:ind w:left="1080"/>
      </w:pPr>
      <w:r w:rsidRPr="003C1705">
        <w:t xml:space="preserve">To collect, preprocess, standardize, and integrate authorized epidemiological, clinical, environmental, geographic, and approved supplementary health-related datasets associated with dengue fever, </w:t>
      </w:r>
      <w:r w:rsidR="0050789B" w:rsidRPr="003C1705">
        <w:t>measles</w:t>
      </w:r>
      <w:r w:rsidRPr="003C1705">
        <w:t>, and influenza-like illnesses in Region I;</w:t>
      </w:r>
    </w:p>
    <w:p w14:paraId="060577DD" w14:textId="77777777" w:rsidR="001F340B" w:rsidRPr="003C1705" w:rsidRDefault="00A73F00" w:rsidP="003C1705">
      <w:pPr>
        <w:pStyle w:val="ThesisList"/>
        <w:numPr>
          <w:ilvl w:val="0"/>
          <w:numId w:val="4"/>
        </w:numPr>
        <w:ind w:left="1080"/>
      </w:pPr>
      <w:r w:rsidRPr="003C1705">
        <w:t xml:space="preserve">To analyze temporal, spatial, seasonal, and environmental patterns associated with the target diseases </w:t>
      </w:r>
      <w:proofErr w:type="gramStart"/>
      <w:r w:rsidRPr="003C1705">
        <w:t>in order to</w:t>
      </w:r>
      <w:proofErr w:type="gramEnd"/>
      <w:r w:rsidRPr="003C1705">
        <w:t xml:space="preserve"> identify relevant predictors and outbreak-related indicators;</w:t>
      </w:r>
    </w:p>
    <w:p w14:paraId="1AD41801" w14:textId="77777777" w:rsidR="001F340B" w:rsidRPr="003C1705" w:rsidRDefault="00A73F00" w:rsidP="003C1705">
      <w:pPr>
        <w:pStyle w:val="ThesisList"/>
        <w:numPr>
          <w:ilvl w:val="0"/>
          <w:numId w:val="4"/>
        </w:numPr>
        <w:ind w:left="1080"/>
      </w:pPr>
      <w:r w:rsidRPr="003C1705">
        <w:t>To develop disease-specific forecasting and outbreak risk classification models for detecting disease trends, estimating case increases, and identifying possible outbreak signals; and</w:t>
      </w:r>
    </w:p>
    <w:p w14:paraId="55A9931D" w14:textId="3102ECEB" w:rsidR="001F340B" w:rsidRPr="003C1705" w:rsidRDefault="00A73F00" w:rsidP="003C1705">
      <w:pPr>
        <w:pStyle w:val="ThesisList"/>
        <w:numPr>
          <w:ilvl w:val="0"/>
          <w:numId w:val="4"/>
        </w:numPr>
        <w:ind w:left="1080"/>
      </w:pPr>
      <w:r w:rsidRPr="003C1705">
        <w:lastRenderedPageBreak/>
        <w:t xml:space="preserve">To evaluate the forecasting and classification performance of the developed models using appropriate metrics and identify the most suitable models for integration into the </w:t>
      </w:r>
      <w:proofErr w:type="spellStart"/>
      <w:r w:rsidR="003C1705">
        <w:t>HealthAlert</w:t>
      </w:r>
      <w:proofErr w:type="spellEnd"/>
      <w:r w:rsidRPr="003C1705">
        <w:t xml:space="preserve"> platform.</w:t>
      </w:r>
    </w:p>
    <w:p w14:paraId="657D9494" w14:textId="54ACACE5" w:rsidR="001F340B" w:rsidRPr="003C1705" w:rsidRDefault="00A73F00" w:rsidP="003C1705">
      <w:pPr>
        <w:pStyle w:val="Heading3"/>
        <w:spacing w:line="480" w:lineRule="auto"/>
      </w:pPr>
      <w:r w:rsidRPr="003C1705">
        <w:t xml:space="preserve">Study 2: Development of the </w:t>
      </w:r>
      <w:proofErr w:type="spellStart"/>
      <w:r w:rsidR="003C1705">
        <w:t>HealthAlert</w:t>
      </w:r>
      <w:proofErr w:type="spellEnd"/>
      <w:r w:rsidRPr="003C1705">
        <w:t xml:space="preserve"> Surveillance and Predictive Analytics Platform</w:t>
      </w:r>
    </w:p>
    <w:p w14:paraId="1DB9D1D3" w14:textId="44F6BD07" w:rsidR="001F340B" w:rsidRPr="003C1705" w:rsidRDefault="00A73F00" w:rsidP="003C1705">
      <w:pPr>
        <w:pStyle w:val="ThesisList"/>
        <w:numPr>
          <w:ilvl w:val="0"/>
          <w:numId w:val="5"/>
        </w:numPr>
        <w:ind w:left="1080"/>
      </w:pPr>
      <w:r w:rsidRPr="003C1705">
        <w:t xml:space="preserve">To analyze the functional, non-functional, data, security, and user requirements of the </w:t>
      </w:r>
      <w:proofErr w:type="spellStart"/>
      <w:r w:rsidR="003C1705">
        <w:t>HealthAlert</w:t>
      </w:r>
      <w:proofErr w:type="spellEnd"/>
      <w:r w:rsidRPr="003C1705">
        <w:t xml:space="preserve"> platform based on the needs of public health and healthcare stakeholders;</w:t>
      </w:r>
    </w:p>
    <w:p w14:paraId="7CB3603E" w14:textId="5280E969" w:rsidR="001F340B" w:rsidRPr="003C1705" w:rsidRDefault="00A73F00" w:rsidP="003C1705">
      <w:pPr>
        <w:pStyle w:val="ThesisList"/>
        <w:numPr>
          <w:ilvl w:val="0"/>
          <w:numId w:val="5"/>
        </w:numPr>
        <w:ind w:left="1080"/>
      </w:pPr>
      <w:r w:rsidRPr="003C1705">
        <w:t xml:space="preserve">To design and develop the </w:t>
      </w:r>
      <w:proofErr w:type="spellStart"/>
      <w:r w:rsidR="003C1705">
        <w:t>HealthAlert</w:t>
      </w:r>
      <w:proofErr w:type="spellEnd"/>
      <w:r w:rsidRPr="003C1705">
        <w:t xml:space="preserve"> platform with core functions for data management, dashboard visualization, geospatial monitoring, predictive analytics, early warning alerts, reporting, system administration, and staged data integration;</w:t>
      </w:r>
    </w:p>
    <w:p w14:paraId="08802D80" w14:textId="7CBAE98B" w:rsidR="001F340B" w:rsidRPr="003C1705" w:rsidRDefault="00A73F00" w:rsidP="003C1705">
      <w:pPr>
        <w:pStyle w:val="ThesisList"/>
        <w:numPr>
          <w:ilvl w:val="0"/>
          <w:numId w:val="5"/>
        </w:numPr>
        <w:ind w:left="1080"/>
      </w:pPr>
      <w:r w:rsidRPr="003C1705">
        <w:t xml:space="preserve">To integrate the disease-specific forecasting and outbreak risk classification models developed in Study 1 into the </w:t>
      </w:r>
      <w:proofErr w:type="spellStart"/>
      <w:r w:rsidR="003C1705">
        <w:t>HealthAlert</w:t>
      </w:r>
      <w:proofErr w:type="spellEnd"/>
      <w:r w:rsidRPr="003C1705">
        <w:t xml:space="preserve"> platform; and</w:t>
      </w:r>
    </w:p>
    <w:p w14:paraId="385E4E75" w14:textId="77777777" w:rsidR="001F340B" w:rsidRPr="003C1705" w:rsidRDefault="00A73F00" w:rsidP="003C1705">
      <w:pPr>
        <w:pStyle w:val="ThesisList"/>
        <w:numPr>
          <w:ilvl w:val="0"/>
          <w:numId w:val="5"/>
        </w:numPr>
        <w:ind w:left="1080"/>
      </w:pPr>
      <w:r w:rsidRPr="003C1705">
        <w:t>To evaluate the platform in terms of functionality, usability, responsiveness, security, technical acceptability, and operational readiness.</w:t>
      </w:r>
    </w:p>
    <w:p w14:paraId="14F4B8DF" w14:textId="3F3C9EF3" w:rsidR="001F340B" w:rsidRPr="003C1705" w:rsidRDefault="00A73F00" w:rsidP="003C1705">
      <w:pPr>
        <w:pStyle w:val="Heading3"/>
        <w:spacing w:line="480" w:lineRule="auto"/>
      </w:pPr>
      <w:r w:rsidRPr="003C1705">
        <w:t xml:space="preserve">Study 3: Validation and Pilot Implementation of </w:t>
      </w:r>
      <w:proofErr w:type="spellStart"/>
      <w:r w:rsidR="003C1705">
        <w:t>HealthAlert</w:t>
      </w:r>
      <w:proofErr w:type="spellEnd"/>
      <w:r w:rsidRPr="003C1705">
        <w:t xml:space="preserve"> in Region I</w:t>
      </w:r>
    </w:p>
    <w:p w14:paraId="0B64F8BD" w14:textId="123C55E1" w:rsidR="001F340B" w:rsidRPr="003C1705" w:rsidRDefault="00A73F00" w:rsidP="003C1705">
      <w:pPr>
        <w:pStyle w:val="ThesisList"/>
        <w:numPr>
          <w:ilvl w:val="0"/>
          <w:numId w:val="6"/>
        </w:numPr>
        <w:ind w:left="1080"/>
      </w:pPr>
      <w:r w:rsidRPr="003C1705">
        <w:t xml:space="preserve">To pilot implement </w:t>
      </w:r>
      <w:proofErr w:type="spellStart"/>
      <w:r w:rsidR="003C1705">
        <w:t>HealthAlert</w:t>
      </w:r>
      <w:proofErr w:type="spellEnd"/>
      <w:r w:rsidRPr="003C1705">
        <w:t xml:space="preserve"> in selected public health and healthcare settings in Region I in collaboration with relevant institutional partners;</w:t>
      </w:r>
    </w:p>
    <w:p w14:paraId="3BA72734" w14:textId="77777777" w:rsidR="001F340B" w:rsidRPr="003C1705" w:rsidRDefault="00A73F00" w:rsidP="003C1705">
      <w:pPr>
        <w:pStyle w:val="ThesisList"/>
        <w:numPr>
          <w:ilvl w:val="0"/>
          <w:numId w:val="6"/>
        </w:numPr>
        <w:ind w:left="1080"/>
      </w:pPr>
      <w:r w:rsidRPr="003C1705">
        <w:t>To validate the predictive performance, reliability, and practical usefulness of the integrated forecasting and outbreak risk classification models using recent or real-world surveillance data;</w:t>
      </w:r>
    </w:p>
    <w:p w14:paraId="1697C6BE" w14:textId="77777777" w:rsidR="001F340B" w:rsidRPr="003C1705" w:rsidRDefault="00A73F00" w:rsidP="003C1705">
      <w:pPr>
        <w:pStyle w:val="ThesisList"/>
        <w:numPr>
          <w:ilvl w:val="0"/>
          <w:numId w:val="6"/>
        </w:numPr>
        <w:ind w:left="1080"/>
      </w:pPr>
      <w:r w:rsidRPr="003C1705">
        <w:lastRenderedPageBreak/>
        <w:t>To evaluate the effectiveness, usability, acceptability, user satisfaction, operational performance, and technical functionality of the platform during pilot deployment; and</w:t>
      </w:r>
    </w:p>
    <w:p w14:paraId="57B01A20" w14:textId="77777777" w:rsidR="001F340B" w:rsidRPr="003C1705" w:rsidRDefault="00A73F00" w:rsidP="003C1705">
      <w:pPr>
        <w:pStyle w:val="ThesisList"/>
        <w:numPr>
          <w:ilvl w:val="0"/>
          <w:numId w:val="6"/>
        </w:numPr>
        <w:ind w:left="1080"/>
      </w:pPr>
      <w:r w:rsidRPr="003C1705">
        <w:t>To document implementation challenges and formulate policy recommendations and implementation guidelines for future improvement, scaling, and integration into public health surveillance workflows.</w:t>
      </w:r>
    </w:p>
    <w:p w14:paraId="19E712D2" w14:textId="77777777" w:rsidR="001F340B" w:rsidRPr="003C1705" w:rsidRDefault="00A73F00" w:rsidP="003C1705">
      <w:pPr>
        <w:pStyle w:val="Heading2"/>
        <w:spacing w:line="480" w:lineRule="auto"/>
      </w:pPr>
      <w:r w:rsidRPr="003C1705">
        <w:t>Rationale/Significance</w:t>
      </w:r>
    </w:p>
    <w:p w14:paraId="50C9C9EB" w14:textId="77777777" w:rsidR="006242AA" w:rsidRPr="003C1705" w:rsidRDefault="006242AA" w:rsidP="003C1705">
      <w:pPr>
        <w:pStyle w:val="ThesisBody"/>
      </w:pPr>
      <w:r w:rsidRPr="003C1705">
        <w:t>Infectious diseases such as dengue fever, measles, and influenza-like illnesses continue to pose significant public health challenges in Region I and throughout the Philippines. These diseases can spread rapidly, strain healthcare resources, and disrupt communities, highlighting the need for effective disease surveillance and outbreak preparedness. Although the Department of Health and local healthcare institutions maintain surveillance systems, many monitoring activities still rely on retrospective reporting and manual analysis, which may limit the timely detection of disease trends and emerging outbreaks.</w:t>
      </w:r>
    </w:p>
    <w:p w14:paraId="68542F16" w14:textId="77777777" w:rsidR="006242AA" w:rsidRPr="003C1705" w:rsidRDefault="006242AA" w:rsidP="003C1705">
      <w:pPr>
        <w:pStyle w:val="ThesisBody"/>
      </w:pPr>
      <w:r w:rsidRPr="003C1705">
        <w:t>Recent advances in artificial intelligence (AI), machine learning, and predictive analytics provide opportunities to enhance public health surveillance. These technologies can analyze large and diverse datasets, identify disease patterns, detect early warning signals, and forecast potential outbreaks using historical and real-time information. By integrating epidemiological records, clinical reports, environmental indicators, and other relevant health-related data, AI-assisted systems can support more timely and comprehensive disease monitoring.</w:t>
      </w:r>
    </w:p>
    <w:p w14:paraId="009F3C5B" w14:textId="27C276D5" w:rsidR="006242AA" w:rsidRPr="003C1705" w:rsidRDefault="003C1705" w:rsidP="003C1705">
      <w:pPr>
        <w:pStyle w:val="ThesisBody"/>
      </w:pPr>
      <w:proofErr w:type="spellStart"/>
      <w:r>
        <w:t>HealthAlert</w:t>
      </w:r>
      <w:proofErr w:type="spellEnd"/>
      <w:r w:rsidR="006242AA" w:rsidRPr="003C1705">
        <w:t xml:space="preserve"> is significant because it seeks to strengthen disease surveillance in Region I through the development of an AI-powered surveillance and predictive </w:t>
      </w:r>
      <w:r w:rsidR="006242AA" w:rsidRPr="003C1705">
        <w:lastRenderedPageBreak/>
        <w:t>analytics platform. The system will support healthcare providers and public health officials in monitoring disease trends, identifying risks, generating early warning alerts, and facilitating evidence-based interventions. The project focuses on dengue fever, measles, and influenza-like illnesses because of their recurring incidence, outbreak potential, and public health impact in the region.</w:t>
      </w:r>
    </w:p>
    <w:p w14:paraId="77DB2EF8" w14:textId="70A02151" w:rsidR="001F340B" w:rsidRPr="003C1705" w:rsidRDefault="006242AA" w:rsidP="003C1705">
      <w:pPr>
        <w:pStyle w:val="ThesisBody"/>
      </w:pPr>
      <w:r w:rsidRPr="003C1705">
        <w:t xml:space="preserve">Aligned with the national agenda on digital health transformation and DOST-PCHRD priorities, </w:t>
      </w:r>
      <w:proofErr w:type="spellStart"/>
      <w:r w:rsidR="003C1705">
        <w:t>HealthAlert</w:t>
      </w:r>
      <w:proofErr w:type="spellEnd"/>
      <w:r w:rsidRPr="003C1705">
        <w:t xml:space="preserve"> aims to provide practical evidence on the feasibility and usefulness of AI-assisted disease surveillance. Its outputs, including predictive models, interactive dashboards, and early warning mechanisms, may contribute to more proactive, timely, and data-driven public health decision-making in the Philippines.</w:t>
      </w:r>
    </w:p>
    <w:p w14:paraId="2EA5DDFA" w14:textId="77777777" w:rsidR="001F340B" w:rsidRPr="003C1705" w:rsidRDefault="00A73F00" w:rsidP="003C1705">
      <w:pPr>
        <w:pStyle w:val="Heading1"/>
        <w:pageBreakBefore/>
        <w:spacing w:line="480" w:lineRule="auto"/>
      </w:pPr>
      <w:r w:rsidRPr="003C1705">
        <w:lastRenderedPageBreak/>
        <w:t>IV. REVIEW OF RELATED LITERATURE</w:t>
      </w:r>
    </w:p>
    <w:p w14:paraId="2C4184D5" w14:textId="77777777" w:rsidR="00C27A2D" w:rsidRPr="003C1705" w:rsidRDefault="0005650C" w:rsidP="003C1705">
      <w:pPr>
        <w:pStyle w:val="ThesisBody"/>
      </w:pPr>
      <w:r w:rsidRPr="003C1705">
        <w:t>Disease surveillance remains a critical component of public health systems because it supports early outbreak detection, monitoring of disease trends, risk assessment, and evidence-based decision-making. In the Philippines, disease surveillance is supported by the Department of Health (DOH), the Epidemiology Bureau, regional epidemiology and surveillance units, and national disease monitoring systems. These systems provide the basis for identifying priority diseases, monitoring outbreaks, and planning public health interventions.</w:t>
      </w:r>
    </w:p>
    <w:p w14:paraId="68919E04" w14:textId="72B7FBDB" w:rsidR="0005650C" w:rsidRPr="003C1705" w:rsidRDefault="009A6D56" w:rsidP="003C1705">
      <w:pPr>
        <w:pStyle w:val="ThesisBody"/>
      </w:pPr>
      <w:r w:rsidRPr="003C1705">
        <w:t xml:space="preserve">Dengue fever remains one of the most closely monitored infectious diseases in the Philippines because of its recurring outbreaks, seasonal behavior, and strong association with rainfall and environmental conditions. The DOH reported 90,119 dengue cases nationwide from January 1 to June 29, 2024, with 233 deaths, representing a 19% increase compared with the same period in 2023. In Region I, DOH data reported by the Philippine News Agency showed that dengue cases reached 4,255 as of August 17, 2024, compared with 3,702 cases during the same period in 2023. These figures show that dengue remains a continuing surveillance priority in the </w:t>
      </w:r>
      <w:proofErr w:type="spellStart"/>
      <w:r w:rsidRPr="003C1705">
        <w:t>Ilocos</w:t>
      </w:r>
      <w:proofErr w:type="spellEnd"/>
      <w:r w:rsidRPr="003C1705">
        <w:t xml:space="preserve"> Region and supports its inclusion as one of the initial target diseases of </w:t>
      </w:r>
      <w:proofErr w:type="spellStart"/>
      <w:r w:rsidR="003C1705">
        <w:t>HealthAlert</w:t>
      </w:r>
      <w:proofErr w:type="spellEnd"/>
      <w:r w:rsidRPr="003C1705">
        <w:t>.</w:t>
      </w:r>
    </w:p>
    <w:p w14:paraId="3567F9F6" w14:textId="77777777" w:rsidR="009A6D56" w:rsidRPr="003C1705" w:rsidRDefault="009A6D56" w:rsidP="003C1705">
      <w:pPr>
        <w:pStyle w:val="ThesisBody"/>
      </w:pPr>
      <w:r w:rsidRPr="003C1705">
        <w:t xml:space="preserve">Measles also remains a major public health concern because of its high transmissibility and its close relationship with immunization coverage. A 2024 review of the measles outbreak in the Philippines reported that first-dose measles-containing vaccine coverage declined to 57%–72% from 2020 to 2022, increasing the risk of measles resurgence among susceptible children. The DOH has also continued strengthening catch-up vaccination and school-based immunization programs, including vaccines for measles and rubella, to address immunity gaps. These findings </w:t>
      </w:r>
      <w:r w:rsidRPr="003C1705">
        <w:lastRenderedPageBreak/>
        <w:t>support the need for strengthened measles surveillance and predictive tools that can help identify communities at risk of outbreaks.</w:t>
      </w:r>
    </w:p>
    <w:p w14:paraId="70ED2B87" w14:textId="73DA27AF" w:rsidR="009A6D56" w:rsidRPr="003C1705" w:rsidRDefault="009A6D56" w:rsidP="003C1705">
      <w:pPr>
        <w:pStyle w:val="ThesisBody"/>
      </w:pPr>
      <w:r w:rsidRPr="003C1705">
        <w:t xml:space="preserve">Influenza-like illnesses remain important in public health surveillance because respiratory infections can spread rapidly in communities, schools, workplaces, and healthcare facilities. The Research Institute for Tropical Medicine, through the Philippine National Influenza Center, supports the country’s influenza surveillance by providing timely laboratory results, technical expertise, and surveillance support. RITM also reported that data from January 2023 to June 2024 showed influenza as the dominant virus in the country’s influenza-like illness surveillance. This supports the inclusion of ILI in </w:t>
      </w:r>
      <w:proofErr w:type="spellStart"/>
      <w:r w:rsidR="003C1705">
        <w:t>HealthAlert</w:t>
      </w:r>
      <w:proofErr w:type="spellEnd"/>
      <w:r w:rsidRPr="003C1705">
        <w:t xml:space="preserve"> because respiratory disease surveillance is essential for detecting unusual increases in cases and preparing for possible outbreaks.</w:t>
      </w:r>
    </w:p>
    <w:p w14:paraId="55ABE017" w14:textId="6844A000" w:rsidR="009A6D56" w:rsidRPr="003C1705" w:rsidRDefault="009A6D56" w:rsidP="003C1705">
      <w:pPr>
        <w:pStyle w:val="ThesisBody"/>
      </w:pPr>
      <w:r w:rsidRPr="003C1705">
        <w:t xml:space="preserve">Artificial intelligence and predictive analytics are increasingly being used to strengthen infectious disease surveillance because they can process large and diverse datasets, identify hidden patterns, detect abnormal disease activity, and support earlier outbreak forecasting. Zeng et al. (2021) described AI-enabled public health surveillance as an emerging field that applies machine learning, deep learning, natural language processing, and other computational methods to outbreak detection, early warning, disease trend prediction, and epidemic monitoring. This is directly relevant to </w:t>
      </w:r>
      <w:proofErr w:type="spellStart"/>
      <w:r w:rsidR="003C1705">
        <w:t>HealthAlert</w:t>
      </w:r>
      <w:proofErr w:type="spellEnd"/>
      <w:r w:rsidRPr="003C1705">
        <w:t xml:space="preserve"> because the proposed system is designed not only to store and visualize disease data, but also to analyze patterns, generate forecasts, and provide decision-support information for public health action.</w:t>
      </w:r>
    </w:p>
    <w:p w14:paraId="3DC0AA8C" w14:textId="444262E6" w:rsidR="009A6D56" w:rsidRPr="003C1705" w:rsidRDefault="009A6D56" w:rsidP="003C1705">
      <w:pPr>
        <w:pStyle w:val="ThesisBody"/>
      </w:pPr>
      <w:r w:rsidRPr="003C1705">
        <w:t xml:space="preserve">Recent studies also show that AI can strengthen early warning systems for infectious diseases. Villanueva-Miranda et al. (2025), in a systematic review of AI applications in infectious disease early warning systems, found that AI has considerable potential to improve outbreak preparedness by enhancing the speed, sensitivity, and </w:t>
      </w:r>
      <w:r w:rsidRPr="003C1705">
        <w:lastRenderedPageBreak/>
        <w:t xml:space="preserve">analytical capacity of surveillance systems. However, the study emphasized that AI systems must address data limitations, explainability, ethical implementation, infrastructure, and collaboration with public health experts. These concerns are important for </w:t>
      </w:r>
      <w:proofErr w:type="spellStart"/>
      <w:r w:rsidR="003C1705">
        <w:t>HealthAlert</w:t>
      </w:r>
      <w:proofErr w:type="spellEnd"/>
      <w:r w:rsidRPr="003C1705">
        <w:t xml:space="preserve"> because the usefulness of the system will depend not only on model accuracy, but also on whether its forecasts and alerts can be understood and used by health personnel in real-world surveillance settings.</w:t>
      </w:r>
    </w:p>
    <w:p w14:paraId="235B8EAF" w14:textId="3B3E22AE" w:rsidR="009A6D56" w:rsidRPr="003C1705" w:rsidRDefault="00CD5E1D" w:rsidP="003C1705">
      <w:pPr>
        <w:pStyle w:val="ThesisBody"/>
      </w:pPr>
      <w:r w:rsidRPr="003C1705">
        <w:t xml:space="preserve">Machine learning has also been applied in specific disease forecasting and risk prediction tasks. For dengue, studies have shown that disease prediction can be strengthened by combining epidemiological and environmental variables, especially in tropical settings where rainfall, temperature, mosquito breeding, and seasonal patterns influence transmission. This supports the inclusion of dengue as one of the initial target diseases of </w:t>
      </w:r>
      <w:proofErr w:type="spellStart"/>
      <w:r w:rsidR="003C1705">
        <w:t>HealthAlert</w:t>
      </w:r>
      <w:proofErr w:type="spellEnd"/>
      <w:r w:rsidRPr="003C1705">
        <w:t xml:space="preserve"> because dengue trends are strongly affected by temporal and environmental factors that can be modeled using predictive analytics.</w:t>
      </w:r>
    </w:p>
    <w:p w14:paraId="0A7D908A" w14:textId="77777777" w:rsidR="00CD5E1D" w:rsidRPr="003C1705" w:rsidRDefault="00AD675A" w:rsidP="003C1705">
      <w:pPr>
        <w:pStyle w:val="ThesisBody"/>
      </w:pPr>
      <w:r w:rsidRPr="003C1705">
        <w:t xml:space="preserve">For measles, predictive analytics is particularly valuable because measles outbreaks are strongly associated with vaccination gaps, the accumulation of susceptible populations, and demographic risk factors. Studies have shown that declines in immunization coverage significantly increase the likelihood of measles transmission and outbreak occurrence, particularly in communities with low herd immunity (Santos et al., 2024; World Health Organization [WHO], 2024). Following disruptions in routine immunization services during and after the COVID-19 pandemic, the Philippines experienced increased vulnerability to measles resurgence due to reduced vaccination coverage and the growing number of susceptible children (Santos et al., 2024). Machine learning and predictive analytics models that incorporate historical case data, immunization coverage, population characteristics, and geographic patterns can help identify high-risk communities and support targeted disease prevention </w:t>
      </w:r>
      <w:r w:rsidRPr="003C1705">
        <w:lastRenderedPageBreak/>
        <w:t>strategies (Li et al., 2024; Y</w:t>
      </w:r>
      <w:r w:rsidR="00837BC8" w:rsidRPr="003C1705">
        <w:t>il</w:t>
      </w:r>
      <w:r w:rsidRPr="003C1705">
        <w:t>d</w:t>
      </w:r>
      <w:r w:rsidR="00837BC8" w:rsidRPr="003C1705">
        <w:t>i</w:t>
      </w:r>
      <w:r w:rsidRPr="003C1705">
        <w:t>z et al., 2023). These findings support the use of AI-assisted surveillance systems for measles outbreak preparedness, risk assessment, and evidence-based public health interventions.</w:t>
      </w:r>
    </w:p>
    <w:p w14:paraId="0E1EC41F" w14:textId="010426BC" w:rsidR="00CD5E1D" w:rsidRPr="003C1705" w:rsidRDefault="00CD5E1D" w:rsidP="003C1705">
      <w:pPr>
        <w:pStyle w:val="ThesisBody"/>
      </w:pPr>
      <w:r w:rsidRPr="003C1705">
        <w:t xml:space="preserve">For influenza-like illnesses, syndromic surveillance remains important because early respiratory disease signals may appear before laboratory confirmation is available. </w:t>
      </w:r>
      <w:proofErr w:type="spellStart"/>
      <w:r w:rsidRPr="003C1705">
        <w:t>Otomaru</w:t>
      </w:r>
      <w:proofErr w:type="spellEnd"/>
      <w:r w:rsidRPr="003C1705">
        <w:t xml:space="preserve"> et al. (2015) studied influenza-like illness surveillance in Leyte Island, Philippines, and showed that ILI surveillance captured multiple respiratory viruses, demonstrating its value in monitoring respiratory disease activity. This supports </w:t>
      </w:r>
      <w:proofErr w:type="spellStart"/>
      <w:r w:rsidR="003C1705">
        <w:t>HealthAlert</w:t>
      </w:r>
      <w:r w:rsidRPr="003C1705">
        <w:t>’s</w:t>
      </w:r>
      <w:proofErr w:type="spellEnd"/>
      <w:r w:rsidRPr="003C1705">
        <w:t xml:space="preserve"> inclusion of clinical reports, workplace health indicators, crowdsourced reports, and other early signals for monitoring respiratory disease trends.</w:t>
      </w:r>
    </w:p>
    <w:p w14:paraId="4D567F66" w14:textId="77777777" w:rsidR="00CD5E1D" w:rsidRPr="003C1705" w:rsidRDefault="00AD675A" w:rsidP="003C1705">
      <w:pPr>
        <w:pStyle w:val="ThesisBody"/>
      </w:pPr>
      <w:r w:rsidRPr="003C1705">
        <w:t xml:space="preserve">Several Philippine initiatives further demonstrate the value of digital surveillance and predictive analytics in supporting public health decision-making. One notable example is the Feasibility Analysis of Syndromic Surveillance Using </w:t>
      </w:r>
      <w:proofErr w:type="spellStart"/>
      <w:r w:rsidRPr="003C1705">
        <w:t>Spatio</w:t>
      </w:r>
      <w:proofErr w:type="spellEnd"/>
      <w:r w:rsidRPr="003C1705">
        <w:t xml:space="preserve">-Temporal Epidemiological Modeler for Early Detection of Diseases (FASSSTER), developed by Ateneo de Manila University in partnership with the Department of Health (DOH) and the Department of Science and Technology–Philippine Council for Health Research and Development (DOST-PCHRD). FASSSTER was designed as a web- and mobile-based platform that utilizes </w:t>
      </w:r>
      <w:proofErr w:type="spellStart"/>
      <w:r w:rsidRPr="003C1705">
        <w:t>spatio</w:t>
      </w:r>
      <w:proofErr w:type="spellEnd"/>
      <w:r w:rsidRPr="003C1705">
        <w:t xml:space="preserve">-temporal epidemiological modeling to support disease surveillance, outbreak forecasting, and scenario visualization for diseases such as dengue, typhoid fever, and measles (DOST-PCHRD, 2018). During the COVID-19 pandemic, the platform was further utilized to support disease monitoring and forecasting efforts and was recognized by the Department of Health as an important tool for evidence-based public health decision-making (Ateneo de Manila University, 2022). The success of FASSSTER demonstrates the feasibility of integrating epidemiological data, predictive modeling, and visualization </w:t>
      </w:r>
      <w:r w:rsidRPr="003C1705">
        <w:lastRenderedPageBreak/>
        <w:t>technologies within the Philippine healthcare context. However, there remains a need for more localized and AI-assisted surveillance systems that can support regional disease monitoring, outbreak forecasting, risk assessment, and public health response, particularly at the regional and local government levels.</w:t>
      </w:r>
    </w:p>
    <w:p w14:paraId="0A62575B" w14:textId="3F39C471" w:rsidR="00CD5E1D" w:rsidRPr="003C1705" w:rsidRDefault="00CD5E1D" w:rsidP="003C1705">
      <w:pPr>
        <w:pStyle w:val="ThesisBody"/>
      </w:pPr>
      <w:r w:rsidRPr="003C1705">
        <w:t xml:space="preserve">Digital event monitoring and open-source intelligence also contribute to modern epidemic intelligence. These approaches can help identify early signals from online reports, public information, and community-level data. However, such sources should not replace official surveillance records. Instead, they should complement validated epidemiological data and improve situational awareness. This is consistent with the design of </w:t>
      </w:r>
      <w:proofErr w:type="spellStart"/>
      <w:r w:rsidR="003C1705">
        <w:t>HealthAlert</w:t>
      </w:r>
      <w:proofErr w:type="spellEnd"/>
      <w:r w:rsidRPr="003C1705">
        <w:t>, where official disease surveillance records will remain the primary basis for model development, while supplementary sources may be explored for additional context.</w:t>
      </w:r>
    </w:p>
    <w:p w14:paraId="79BDF5BA" w14:textId="657F06E1" w:rsidR="00CD5E1D" w:rsidRPr="003C1705" w:rsidRDefault="005B1048" w:rsidP="003C1705">
      <w:pPr>
        <w:pStyle w:val="ThesisBody"/>
      </w:pPr>
      <w:r w:rsidRPr="003C1705">
        <w:t xml:space="preserve">Despite these developments, significant gaps remain. Many studies focus on individual disease prediction models, but fewer examine how predictive analytics, multi-source data integration, dashboard visualization, geospatial monitoring, early warning alerts, and user-centered decision support can be combined into one operational regional surveillance platform. There is also limited evidence on AI-powered disease surveillance systems specifically designed for regional public health implementation in the Philippine context. This gap strengthens the rationale for </w:t>
      </w:r>
      <w:proofErr w:type="spellStart"/>
      <w:r w:rsidR="003C1705">
        <w:t>HealthAlert</w:t>
      </w:r>
      <w:proofErr w:type="spellEnd"/>
      <w:r w:rsidRPr="003C1705">
        <w:t>, which aims to integrate epidemiological, clinical, environmental, demographic, workplace, crowdsourced, and digital health-related data into a practical AI-assisted surveillance and predictive analytics platform for dengue fever, measles, and influenza-like illnesses in Region I.</w:t>
      </w:r>
    </w:p>
    <w:p w14:paraId="0788DF34" w14:textId="77777777" w:rsidR="001F340B" w:rsidRPr="003C1705" w:rsidRDefault="00A73F00" w:rsidP="003C1705">
      <w:pPr>
        <w:pStyle w:val="Heading1"/>
        <w:pageBreakBefore/>
        <w:spacing w:line="480" w:lineRule="auto"/>
      </w:pPr>
      <w:r w:rsidRPr="003C1705">
        <w:lastRenderedPageBreak/>
        <w:t>V. METHODOLOGY</w:t>
      </w:r>
    </w:p>
    <w:p w14:paraId="28E78078" w14:textId="77777777" w:rsidR="001F340B" w:rsidRPr="003C1705" w:rsidRDefault="00A73F00" w:rsidP="003C1705">
      <w:pPr>
        <w:pStyle w:val="Heading2"/>
        <w:spacing w:line="480" w:lineRule="auto"/>
      </w:pPr>
      <w:r w:rsidRPr="003C1705">
        <w:t>Research Design</w:t>
      </w:r>
    </w:p>
    <w:p w14:paraId="5438465F" w14:textId="5BC52880" w:rsidR="001F340B" w:rsidRPr="003C1705" w:rsidRDefault="00A73F00" w:rsidP="003C1705">
      <w:pPr>
        <w:pStyle w:val="ThesisBody"/>
      </w:pPr>
      <w:r w:rsidRPr="003C1705">
        <w:t xml:space="preserve">This project will use multi-phase developmental, predictive analytics, and pilot implementation research design to guide the development and validation of </w:t>
      </w:r>
      <w:proofErr w:type="spellStart"/>
      <w:r w:rsidR="003C1705">
        <w:t>HealthAlert</w:t>
      </w:r>
      <w:proofErr w:type="spellEnd"/>
      <w:r w:rsidRPr="003C1705">
        <w:t>. The design is appropriate because the project involves three interrelated research components: the development of disease forecasting models, the design and implementation of an AI-assisted surveillance platform, and the validation of the system in selected public health settings in Region I.</w:t>
      </w:r>
    </w:p>
    <w:p w14:paraId="0DF08EFE" w14:textId="77777777" w:rsidR="001F340B" w:rsidRPr="003C1705" w:rsidRDefault="00A73F00" w:rsidP="003C1705">
      <w:pPr>
        <w:pStyle w:val="ThesisBody"/>
      </w:pPr>
      <w:r w:rsidRPr="003C1705">
        <w:t xml:space="preserve">The first phase will use a quantitative and predictive analytics approach. This phase will involve the retrospective analysis of historical disease surveillance data and the development of machine learning and statistical forecasting models for dengue fever, </w:t>
      </w:r>
      <w:r w:rsidR="009934C6" w:rsidRPr="003C1705">
        <w:t>measles</w:t>
      </w:r>
      <w:r w:rsidRPr="003C1705">
        <w:t>, and influenza-like illnesses. It will focus on preparing and integrating disease-related datasets, examining temporal and seasonal disease patterns, and developing models capable of detecting disease trends, estimating outbreak risks, and forecasting possible increases in disease cases.</w:t>
      </w:r>
    </w:p>
    <w:p w14:paraId="60AA7000" w14:textId="2A77F455" w:rsidR="001F340B" w:rsidRPr="003C1705" w:rsidRDefault="00A73F00" w:rsidP="003C1705">
      <w:pPr>
        <w:pStyle w:val="ThesisBody"/>
      </w:pPr>
      <w:r w:rsidRPr="003C1705">
        <w:t xml:space="preserve">The second phase will use a developmental research design. This phase will focus on the design and development of the </w:t>
      </w:r>
      <w:proofErr w:type="spellStart"/>
      <w:r w:rsidR="003C1705">
        <w:t>HealthAlert</w:t>
      </w:r>
      <w:proofErr w:type="spellEnd"/>
      <w:r w:rsidRPr="003C1705">
        <w:t xml:space="preserve"> platform as an AI-assisted public health surveillance and decision-support system. The system development process will include requirements analysis, system architecture design, database design, dashboard development, model integration, alert generation, and technical testing. This phase will ensure that the predictive models developed in the first phase are translated into a usable platform that can support disease monitoring, risk visualization, and early warning generation.</w:t>
      </w:r>
    </w:p>
    <w:p w14:paraId="0597A604" w14:textId="3036171B" w:rsidR="001F340B" w:rsidRPr="003C1705" w:rsidRDefault="00A73F00" w:rsidP="003C1705">
      <w:pPr>
        <w:pStyle w:val="ThesisBody"/>
      </w:pPr>
      <w:r w:rsidRPr="003C1705">
        <w:lastRenderedPageBreak/>
        <w:t xml:space="preserve">The third phase will use a pilot implementation and validation design. This phase will evaluate the performance, usability, acceptability, and operational feasibility of </w:t>
      </w:r>
      <w:proofErr w:type="spellStart"/>
      <w:r w:rsidR="003C1705">
        <w:t>HealthAlert</w:t>
      </w:r>
      <w:proofErr w:type="spellEnd"/>
      <w:r w:rsidRPr="003C1705">
        <w:t xml:space="preserve"> in selected public health and healthcare settings in Region I. It will assess whether the platform can support disease surveillance personnel, healthcare providers, and public health officials in monitoring disease trends, interpreting forecasts, identifying high-risk areas, and generating timely public health insights. User feedback, system logs, model validation results, and implementation observations will be used to determine the strengths, limitations, and possible improvements of the system.</w:t>
      </w:r>
    </w:p>
    <w:p w14:paraId="25C89E27" w14:textId="77777777" w:rsidR="001F340B" w:rsidRPr="003C1705" w:rsidRDefault="00A73F00" w:rsidP="003C1705">
      <w:pPr>
        <w:pStyle w:val="ThesisBody"/>
      </w:pPr>
      <w:r w:rsidRPr="003C1705">
        <w:t xml:space="preserve">Overall, the research design follows a sequential structure in which the outputs of one phase inform the next. The predictive models developed and validated in the first phase will serve as the analytical foundation of the platform in the second phase. The completed platform will then be </w:t>
      </w:r>
      <w:proofErr w:type="gramStart"/>
      <w:r w:rsidRPr="003C1705">
        <w:t>pilot-tested</w:t>
      </w:r>
      <w:proofErr w:type="gramEnd"/>
      <w:r w:rsidRPr="003C1705">
        <w:t xml:space="preserve"> in the third phase to determine its technical performance and practical usefulness in real-world disease surveillance workflows. This design allows the project to move from data analysis and model development to system implementation and field validation in a systematic and evidence-based manner.</w:t>
      </w:r>
    </w:p>
    <w:p w14:paraId="1C680893" w14:textId="77777777" w:rsidR="001F340B" w:rsidRPr="003C1705" w:rsidRDefault="00A73F00" w:rsidP="003C1705">
      <w:pPr>
        <w:pStyle w:val="Heading2"/>
        <w:spacing w:line="480" w:lineRule="auto"/>
      </w:pPr>
      <w:r w:rsidRPr="003C1705">
        <w:lastRenderedPageBreak/>
        <w:t>Materials and Procedures</w:t>
      </w:r>
    </w:p>
    <w:p w14:paraId="5E1DB10A" w14:textId="77777777" w:rsidR="001F340B" w:rsidRPr="003C1705" w:rsidRDefault="00A73F00" w:rsidP="003C1705">
      <w:pPr>
        <w:pStyle w:val="ThesisFigure"/>
        <w:spacing w:line="480" w:lineRule="auto"/>
      </w:pPr>
      <w:r w:rsidRPr="003C1705">
        <w:rPr>
          <w:noProof/>
        </w:rPr>
        <w:drawing>
          <wp:inline distT="114300" distB="114300" distL="114300" distR="114300" wp14:anchorId="02A3BFBA" wp14:editId="02A3BFBB">
            <wp:extent cx="5212080" cy="3144730"/>
            <wp:effectExtent l="0" t="0" r="0" b="0"/>
            <wp:docPr id="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2"/>
                    <a:srcRect t="9656"/>
                    <a:stretch>
                      <a:fillRect/>
                    </a:stretch>
                  </pic:blipFill>
                  <pic:spPr>
                    <a:xfrm>
                      <a:off x="0" y="0"/>
                      <a:ext cx="5212080" cy="3144730"/>
                    </a:xfrm>
                    <a:prstGeom prst="rect">
                      <a:avLst/>
                    </a:prstGeom>
                    <a:ln/>
                  </pic:spPr>
                </pic:pic>
              </a:graphicData>
            </a:graphic>
          </wp:inline>
        </w:drawing>
      </w:r>
    </w:p>
    <w:p w14:paraId="341DAAF8" w14:textId="65102E18" w:rsidR="001F340B" w:rsidRPr="003C1705" w:rsidRDefault="00A73F00" w:rsidP="003C1705">
      <w:pPr>
        <w:pStyle w:val="ThesisCaption"/>
        <w:spacing w:line="480" w:lineRule="auto"/>
      </w:pPr>
      <w:r w:rsidRPr="003C1705">
        <w:t xml:space="preserve">Figure 1. Overall Workflow of the </w:t>
      </w:r>
      <w:proofErr w:type="spellStart"/>
      <w:r w:rsidR="003C1705">
        <w:t>HealthAlert</w:t>
      </w:r>
      <w:proofErr w:type="spellEnd"/>
      <w:r w:rsidRPr="003C1705">
        <w:t xml:space="preserve"> Project</w:t>
      </w:r>
    </w:p>
    <w:p w14:paraId="7134B9DE" w14:textId="286E8DE2" w:rsidR="001F340B" w:rsidRPr="003C1705" w:rsidRDefault="00A73F00" w:rsidP="003C1705">
      <w:pPr>
        <w:pStyle w:val="ThesisBody"/>
      </w:pPr>
      <w:r w:rsidRPr="003C1705">
        <w:t xml:space="preserve">Figure 1 presents the overall workflow of the </w:t>
      </w:r>
      <w:proofErr w:type="spellStart"/>
      <w:r w:rsidR="003C1705">
        <w:t>HealthAlert</w:t>
      </w:r>
      <w:proofErr w:type="spellEnd"/>
      <w:r w:rsidRPr="003C1705">
        <w:t xml:space="preserve"> project, showing how the three studies are organized into a sequential and interrelated development process. The workflow begins with the development of machine learning models, proceeds to the design and development of the </w:t>
      </w:r>
      <w:proofErr w:type="spellStart"/>
      <w:r w:rsidR="003C1705">
        <w:t>HealthAlert</w:t>
      </w:r>
      <w:proofErr w:type="spellEnd"/>
      <w:r w:rsidRPr="003C1705">
        <w:t xml:space="preserve"> surveillance platform, and concludes with pilot implementation and validation in selected public health and healthcare settings in Region I.</w:t>
      </w:r>
    </w:p>
    <w:p w14:paraId="0ECB6852" w14:textId="77777777" w:rsidR="001F340B" w:rsidRPr="003C1705" w:rsidRDefault="00A73F00" w:rsidP="003C1705">
      <w:pPr>
        <w:pStyle w:val="ThesisBody"/>
      </w:pPr>
      <w:r w:rsidRPr="003C1705">
        <w:t xml:space="preserve">The first phase focuses on the development of the analytical foundation of the system. This includes data acquisition, data preparation, feature engineering, exploratory and spatial analysis, model development using Python, and model evaluation. The expected output of this phase is a set of trained and validated predictive models capable of supporting disease trend detection, outbreak signal identification, and outbreak forecasting for dengue fever, </w:t>
      </w:r>
      <w:r w:rsidR="009934C6" w:rsidRPr="003C1705">
        <w:t>measles</w:t>
      </w:r>
      <w:r w:rsidRPr="003C1705">
        <w:t>, and influenza-like illnesses.</w:t>
      </w:r>
    </w:p>
    <w:p w14:paraId="2C6DD035" w14:textId="75E67103" w:rsidR="001F340B" w:rsidRPr="003C1705" w:rsidRDefault="00A73F00" w:rsidP="003C1705">
      <w:pPr>
        <w:pStyle w:val="ThesisBody"/>
      </w:pPr>
      <w:r w:rsidRPr="003C1705">
        <w:lastRenderedPageBreak/>
        <w:t xml:space="preserve">The second phase translates the predictive models into a functional digital platform. This phase covers requirements analysis, system design, platform development, dashboard and visualization development, early warning and reporting functions, system administration, and security mechanisms. The expected output is a working </w:t>
      </w:r>
      <w:proofErr w:type="spellStart"/>
      <w:r w:rsidR="003C1705">
        <w:t>HealthAlert</w:t>
      </w:r>
      <w:proofErr w:type="spellEnd"/>
      <w:r w:rsidRPr="003C1705">
        <w:t xml:space="preserve"> platform prototype that can manage surveillance data, display disease trends, present forecasting outputs, generate alerts, and support public health decision-making.</w:t>
      </w:r>
    </w:p>
    <w:p w14:paraId="0BD9407F" w14:textId="6CA59A3D" w:rsidR="001F340B" w:rsidRPr="003C1705" w:rsidRDefault="00A73F00" w:rsidP="003C1705">
      <w:pPr>
        <w:pStyle w:val="ThesisBody"/>
      </w:pPr>
      <w:r w:rsidRPr="003C1705">
        <w:t xml:space="preserve">The third phase focuses on field validation and practical use. This includes pilot preparation, system deployment, user training, pilot use, data collection, predictive model validation, platform effectiveness evaluation, usability and acceptability assessment, and formulation of recommendations. The expected output is a validated </w:t>
      </w:r>
      <w:proofErr w:type="spellStart"/>
      <w:r w:rsidR="003C1705">
        <w:t>HealthAlert</w:t>
      </w:r>
      <w:proofErr w:type="spellEnd"/>
      <w:r w:rsidRPr="003C1705">
        <w:t xml:space="preserve"> system with implementation findings that can guide future refinement, scaling, and possible integration into public health surveillance workflows.</w:t>
      </w:r>
    </w:p>
    <w:p w14:paraId="288C074E" w14:textId="3210614A" w:rsidR="001F340B" w:rsidRPr="003C1705" w:rsidRDefault="00A73F00" w:rsidP="003C1705">
      <w:pPr>
        <w:pStyle w:val="ThesisBody"/>
      </w:pPr>
      <w:r w:rsidRPr="003C1705">
        <w:t xml:space="preserve">Overall, the figure emphasizes that </w:t>
      </w:r>
      <w:proofErr w:type="spellStart"/>
      <w:r w:rsidR="003C1705">
        <w:t>HealthAlert</w:t>
      </w:r>
      <w:proofErr w:type="spellEnd"/>
      <w:r w:rsidRPr="003C1705">
        <w:t xml:space="preserve"> will be developed through a staged but connected process. Each study produces an output that becomes the input of the next phase. The trained models from the first phase support the platform developed in the second phase, while the pilot implementation in the third phase provides feedback for improving both the models and the platform. This workflow reflects the project’s goal of producing an AI-assisted public health surveillance and predictive analytics system that is technically sound, usable, and responsive to the needs of public health stakeholders in Region I.</w:t>
      </w:r>
    </w:p>
    <w:p w14:paraId="1F00F389" w14:textId="77777777" w:rsidR="001F340B" w:rsidRPr="003C1705" w:rsidRDefault="00A73F00" w:rsidP="003C1705">
      <w:pPr>
        <w:pStyle w:val="Heading3"/>
        <w:spacing w:line="480" w:lineRule="auto"/>
      </w:pPr>
      <w:r w:rsidRPr="003C1705">
        <w:t>Technical Tools and Development Environment</w:t>
      </w:r>
    </w:p>
    <w:p w14:paraId="028B8B17" w14:textId="44811490" w:rsidR="001F340B" w:rsidRPr="003C1705" w:rsidRDefault="00A73F00" w:rsidP="003C1705">
      <w:pPr>
        <w:pStyle w:val="ThesisBody"/>
      </w:pPr>
      <w:r w:rsidRPr="003C1705">
        <w:t xml:space="preserve">The development of </w:t>
      </w:r>
      <w:proofErr w:type="spellStart"/>
      <w:r w:rsidR="003C1705">
        <w:t>HealthAlert</w:t>
      </w:r>
      <w:proofErr w:type="spellEnd"/>
      <w:r w:rsidRPr="003C1705">
        <w:t xml:space="preserve"> will use a web-based and Python-centered technical environment to ensure that the platform can support both software </w:t>
      </w:r>
      <w:r w:rsidRPr="003C1705">
        <w:lastRenderedPageBreak/>
        <w:t xml:space="preserve">development and machine learning integration. Python will serve as the primary programming language for data preprocessing, feature engineering, model development, model evaluation, and model integration. Libraries such as Pandas, NumPy, Scikit-learn, </w:t>
      </w:r>
      <w:proofErr w:type="spellStart"/>
      <w:r w:rsidRPr="003C1705">
        <w:t>Statsmodels</w:t>
      </w:r>
      <w:proofErr w:type="spellEnd"/>
      <w:r w:rsidRPr="003C1705">
        <w:t xml:space="preserve">, </w:t>
      </w:r>
      <w:proofErr w:type="spellStart"/>
      <w:r w:rsidRPr="003C1705">
        <w:t>XGBoost</w:t>
      </w:r>
      <w:proofErr w:type="spellEnd"/>
      <w:r w:rsidRPr="003C1705">
        <w:t xml:space="preserve"> or </w:t>
      </w:r>
      <w:proofErr w:type="spellStart"/>
      <w:r w:rsidRPr="003C1705">
        <w:t>LightGBM</w:t>
      </w:r>
      <w:proofErr w:type="spellEnd"/>
      <w:r w:rsidRPr="003C1705">
        <w:t>, Matplotlib, Plotly, and SHAP may be used for data cleaning, exploratory analysis, forecasting, classification, visualization, and model interpretability. Jupyter Notebook may also be used during experimentation to document the model development process and support reproducibility.</w:t>
      </w:r>
    </w:p>
    <w:p w14:paraId="3E63AD4C" w14:textId="77777777" w:rsidR="001F340B" w:rsidRPr="003C1705" w:rsidRDefault="00A73F00" w:rsidP="003C1705">
      <w:pPr>
        <w:pStyle w:val="ThesisBody"/>
      </w:pPr>
      <w:r w:rsidRPr="003C1705">
        <w:t xml:space="preserve">For the platform component, the backend may be developed using </w:t>
      </w:r>
      <w:proofErr w:type="spellStart"/>
      <w:r w:rsidRPr="003C1705">
        <w:t>FastAPI</w:t>
      </w:r>
      <w:proofErr w:type="spellEnd"/>
      <w:r w:rsidRPr="003C1705">
        <w:t xml:space="preserve"> with Python because it allows the predictive models and preprocessing pipelines to be integrated directly into the system through application programming interfaces. </w:t>
      </w:r>
      <w:proofErr w:type="spellStart"/>
      <w:r w:rsidRPr="003C1705">
        <w:t>FastAPI</w:t>
      </w:r>
      <w:proofErr w:type="spellEnd"/>
      <w:r w:rsidRPr="003C1705">
        <w:t xml:space="preserve"> will support core backend services such as data upload, validation, model inference, alert generation, report generation, user access, and communication with the database. This approach is feasible because the same language environment used for model development can also support model deployment.</w:t>
      </w:r>
    </w:p>
    <w:p w14:paraId="10FC2271" w14:textId="77777777" w:rsidR="001F340B" w:rsidRPr="003C1705" w:rsidRDefault="00A73F00" w:rsidP="003C1705">
      <w:pPr>
        <w:pStyle w:val="ThesisBody"/>
      </w:pPr>
      <w:r w:rsidRPr="003C1705">
        <w:t xml:space="preserve">The frontend may be developed using Next.js with TypeScript to provide a structured and maintainable web interface. </w:t>
      </w:r>
      <w:proofErr w:type="spellStart"/>
      <w:r w:rsidRPr="003C1705">
        <w:t>TailwindCSS</w:t>
      </w:r>
      <w:proofErr w:type="spellEnd"/>
      <w:r w:rsidRPr="003C1705">
        <w:t xml:space="preserve"> and </w:t>
      </w:r>
      <w:proofErr w:type="spellStart"/>
      <w:r w:rsidRPr="003C1705">
        <w:t>shadcn</w:t>
      </w:r>
      <w:proofErr w:type="spellEnd"/>
      <w:r w:rsidRPr="003C1705">
        <w:t>/</w:t>
      </w:r>
      <w:proofErr w:type="spellStart"/>
      <w:r w:rsidRPr="003C1705">
        <w:t>ui</w:t>
      </w:r>
      <w:proofErr w:type="spellEnd"/>
      <w:r w:rsidRPr="003C1705">
        <w:t xml:space="preserve"> may be used to create a clean and consistent interface for public health users. Disease trends, forecasting outputs, and summary indicators may be visualized using Recharts or </w:t>
      </w:r>
      <w:proofErr w:type="spellStart"/>
      <w:r w:rsidRPr="003C1705">
        <w:t>ECharts</w:t>
      </w:r>
      <w:proofErr w:type="spellEnd"/>
      <w:r w:rsidRPr="003C1705">
        <w:t>, while map-based disease monitoring may be supported using Leaflet. Leaflet is recommended for the initial prototype because it is lightweight and suitable for displaying municipality-level or barangay-level disease maps.</w:t>
      </w:r>
    </w:p>
    <w:p w14:paraId="33C20DC3" w14:textId="77777777" w:rsidR="001F340B" w:rsidRPr="003C1705" w:rsidRDefault="00A73F00" w:rsidP="003C1705">
      <w:pPr>
        <w:pStyle w:val="ThesisBody"/>
      </w:pPr>
      <w:r w:rsidRPr="003C1705">
        <w:t xml:space="preserve">The data layer may use PostgreSQL as the main relational database because the platform will handle structured surveillance records, user accounts, forecast outputs, alert logs, and reports. </w:t>
      </w:r>
      <w:proofErr w:type="spellStart"/>
      <w:r w:rsidRPr="003C1705">
        <w:t>PostGIS</w:t>
      </w:r>
      <w:proofErr w:type="spellEnd"/>
      <w:r w:rsidRPr="003C1705">
        <w:t xml:space="preserve"> may be added to support geospatial data storage and </w:t>
      </w:r>
      <w:r w:rsidRPr="003C1705">
        <w:lastRenderedPageBreak/>
        <w:t>map-based analysis. Redis may be used only when needed for caching, background queues, temporary alert states, or system responsiveness. For deployment and portability, Docker may be used to package the backend, frontend, database, and related services. Git and GitHub or GitLab may be used for version control, collaborative development, and documentation.</w:t>
      </w:r>
    </w:p>
    <w:p w14:paraId="3696BAF9" w14:textId="77777777" w:rsidR="001F340B" w:rsidRPr="003C1705" w:rsidRDefault="000B0704" w:rsidP="003C1705">
      <w:pPr>
        <w:pStyle w:val="Heading3"/>
        <w:spacing w:line="480" w:lineRule="auto"/>
      </w:pPr>
      <w:r w:rsidRPr="003C1705">
        <w:t>Study 1: Development of Machine Learning Models for Disease Trend Detection and Outbreak Forecasting</w:t>
      </w:r>
    </w:p>
    <w:p w14:paraId="4F8FA0B9" w14:textId="13223E0F" w:rsidR="001F340B" w:rsidRPr="003C1705" w:rsidRDefault="00A73F00" w:rsidP="003C1705">
      <w:pPr>
        <w:pStyle w:val="ThesisBody"/>
      </w:pPr>
      <w:r w:rsidRPr="003C1705">
        <w:t xml:space="preserve">This will focus on the development and evaluation of machine learning-based predictive models for disease trend detection, outbreak signal identification, and outbreak forecasting for dengue fever, </w:t>
      </w:r>
      <w:r w:rsidR="009934C6" w:rsidRPr="003C1705">
        <w:t>measles</w:t>
      </w:r>
      <w:r w:rsidRPr="003C1705">
        <w:t xml:space="preserve">, and influenza-like illnesses in Region I. This study will use a quantitative, developmental, and predictive analytics approach because it involves the systematic collection and processing of disease-related datasets, the analysis of temporal and spatial disease patterns, and the development of computational models that can generate disease forecasts and outbreak risk estimates. The study will produce trained and validated predictive models that will serve as the analytical foundation of the </w:t>
      </w:r>
      <w:proofErr w:type="spellStart"/>
      <w:r w:rsidR="003C1705">
        <w:t>HealthAlert</w:t>
      </w:r>
      <w:proofErr w:type="spellEnd"/>
      <w:r w:rsidRPr="003C1705">
        <w:t xml:space="preserve"> platform. </w:t>
      </w:r>
    </w:p>
    <w:p w14:paraId="5415B0DF" w14:textId="77777777" w:rsidR="001F340B" w:rsidRPr="003C1705" w:rsidRDefault="00A73F00" w:rsidP="003C1705">
      <w:pPr>
        <w:pStyle w:val="ThesisFigure"/>
        <w:spacing w:line="480" w:lineRule="auto"/>
      </w:pPr>
      <w:r w:rsidRPr="003C1705">
        <w:rPr>
          <w:b/>
          <w:bCs/>
          <w:noProof/>
        </w:rPr>
        <w:lastRenderedPageBreak/>
        <w:drawing>
          <wp:inline distT="114300" distB="114300" distL="114300" distR="114300" wp14:anchorId="02A3BFBC" wp14:editId="02A3BFBD">
            <wp:extent cx="5212080" cy="3032018"/>
            <wp:effectExtent l="0" t="0" r="0" b="0"/>
            <wp:docPr id="6"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3"/>
                    <a:srcRect t="12618" b="10046"/>
                    <a:stretch>
                      <a:fillRect/>
                    </a:stretch>
                  </pic:blipFill>
                  <pic:spPr>
                    <a:xfrm>
                      <a:off x="0" y="0"/>
                      <a:ext cx="5212080" cy="3032018"/>
                    </a:xfrm>
                    <a:prstGeom prst="rect">
                      <a:avLst/>
                    </a:prstGeom>
                    <a:ln/>
                  </pic:spPr>
                </pic:pic>
              </a:graphicData>
            </a:graphic>
          </wp:inline>
        </w:drawing>
      </w:r>
    </w:p>
    <w:p w14:paraId="5F2F48C8" w14:textId="77777777" w:rsidR="001F340B" w:rsidRPr="003C1705" w:rsidRDefault="00A73F00" w:rsidP="003C1705">
      <w:pPr>
        <w:pStyle w:val="ThesisCaption"/>
        <w:spacing w:line="480" w:lineRule="auto"/>
      </w:pPr>
      <w:r w:rsidRPr="003C1705">
        <w:t>Figure 2. Methodological framework for the training of machine learning models.</w:t>
      </w:r>
    </w:p>
    <w:p w14:paraId="3407FE78" w14:textId="39ED6E58" w:rsidR="001F340B" w:rsidRPr="003C1705" w:rsidRDefault="00A73F00" w:rsidP="003C1705">
      <w:pPr>
        <w:pStyle w:val="ThesisBody"/>
      </w:pPr>
      <w:r w:rsidRPr="003C1705">
        <w:t xml:space="preserve">Figure 2 presents the methodological framework for developing the forecasting and outbreak risk classification models for </w:t>
      </w:r>
      <w:proofErr w:type="spellStart"/>
      <w:r w:rsidR="003C1705">
        <w:t>HealthAlert</w:t>
      </w:r>
      <w:proofErr w:type="spellEnd"/>
      <w:r w:rsidRPr="003C1705">
        <w:t>. The process begins with data acquisition, where epidemiological, clinical, environmental, climate-related, and geographic datasets will be collected from authorized and relevant sources. These datasets will then undergo data preparation to ensure that the records are cleaned, standardized, aggregated according to the appropriate reporting period, and integrated into a usable format for analysis.</w:t>
      </w:r>
    </w:p>
    <w:p w14:paraId="31BA04F5" w14:textId="77777777" w:rsidR="001F340B" w:rsidRPr="003C1705" w:rsidRDefault="00A73F00" w:rsidP="003C1705">
      <w:pPr>
        <w:pStyle w:val="ThesisBody"/>
      </w:pPr>
      <w:r w:rsidRPr="003C1705">
        <w:t>The framework then proceeds to feature selection and extraction. In this stage, the researchers will generate relevant predictors such as lag variables, moving averages, seasonal indicators, and environmental indicators. These features are important because infectious disease patterns are often influenced by previous case counts, seasonal behavior, and environmental conditions. Exploratory, temporal, and spatial analysis will then be conducted to examine disease trends, spatial patterns, correlations, and possible outbreak-related indicators.</w:t>
      </w:r>
    </w:p>
    <w:p w14:paraId="485CE9CB" w14:textId="27EEE181" w:rsidR="001F340B" w:rsidRPr="003C1705" w:rsidRDefault="00A73F00" w:rsidP="003C1705">
      <w:pPr>
        <w:pStyle w:val="ThesisBody"/>
      </w:pPr>
      <w:r w:rsidRPr="003C1705">
        <w:lastRenderedPageBreak/>
        <w:t xml:space="preserve">The model development stage will focus on the creation of forecasting models and risk classification models. Forecasting models will estimate future disease case counts, while risk classification models will help identify possible outbreak signals or risk levels. The developed models will then be evaluated using appropriate forecasting and classification metrics, including MAE, RMSE, accuracy, precision, recall, and F1-score. The expected output of this process is a set of validated forecasting and risk classification models that are ready for integration into the </w:t>
      </w:r>
      <w:proofErr w:type="spellStart"/>
      <w:r w:rsidR="003C1705">
        <w:t>HealthAlert</w:t>
      </w:r>
      <w:proofErr w:type="spellEnd"/>
      <w:r w:rsidRPr="003C1705">
        <w:t xml:space="preserve"> platform.</w:t>
      </w:r>
    </w:p>
    <w:p w14:paraId="2F81F2D4" w14:textId="77777777" w:rsidR="001F340B" w:rsidRPr="003C1705" w:rsidRDefault="00A73F00" w:rsidP="003C1705">
      <w:pPr>
        <w:pStyle w:val="Heading4"/>
        <w:spacing w:line="480" w:lineRule="auto"/>
      </w:pPr>
      <w:r w:rsidRPr="003C1705">
        <w:t>Data Acquisition</w:t>
      </w:r>
    </w:p>
    <w:p w14:paraId="274D7FF1" w14:textId="77777777" w:rsidR="001F340B" w:rsidRPr="003C1705" w:rsidRDefault="00A73F00" w:rsidP="003C1705">
      <w:pPr>
        <w:pStyle w:val="ThesisBody"/>
      </w:pPr>
      <w:r w:rsidRPr="003C1705">
        <w:t xml:space="preserve">The study will collect and consolidate datasets related to dengue fever, </w:t>
      </w:r>
      <w:r w:rsidR="009934C6" w:rsidRPr="003C1705">
        <w:t>measles</w:t>
      </w:r>
      <w:r w:rsidRPr="003C1705">
        <w:t>, and influenza-like illnesses from relevant public health, clinical, environmental, and digital sources in Region I. The primary data sources will include official disease surveillance records from the Department of Health–Center for Health Development Region I, provincial health offices, municipal health offices, selected public hospitals, and other authorized health facilities. These records may include the date of report or epidemiological week, disease type, number of reported cases, case classification, municipality or barangay, age group, sex, morbidity, mortality, and reporting facility, depending on data availability and data-sharing permissions.</w:t>
      </w:r>
    </w:p>
    <w:p w14:paraId="6331FA9E" w14:textId="77777777" w:rsidR="001F340B" w:rsidRPr="003C1705" w:rsidRDefault="00A73F00" w:rsidP="003C1705">
      <w:pPr>
        <w:pStyle w:val="ThesisBody"/>
      </w:pPr>
      <w:r w:rsidRPr="003C1705">
        <w:t>To maintain feasibility and data reliability, the study will classify data sources into core and supplementary sources. Core data sources will include official disease surveillance records, clinical or facility-based reports, environmental and climate indicators, geographic boundaries, and population data. These datasets will serve as the primary basis for model development, forecasting, outbreak risk classification, and validation.</w:t>
      </w:r>
    </w:p>
    <w:p w14:paraId="0F6876D6" w14:textId="77777777" w:rsidR="001F340B" w:rsidRPr="003C1705" w:rsidRDefault="00A73F00" w:rsidP="003C1705">
      <w:pPr>
        <w:pStyle w:val="ThesisBody"/>
      </w:pPr>
      <w:r w:rsidRPr="003C1705">
        <w:lastRenderedPageBreak/>
        <w:t xml:space="preserve">Supplementary data sources, such as social media signals, crowdsourced symptom reports, workplace health indicators, health information system reports, and other digital health-related records, may be included only when they are available, ethically approved, technically compatible, and useful for the study objectives. These supplementary sources will be used mainly for situational awareness and exploratory analysis. They will not replace official surveillance data or serve as the sole basis for outbreak </w:t>
      </w:r>
      <w:proofErr w:type="gramStart"/>
      <w:r w:rsidRPr="003C1705">
        <w:t>confirmation..</w:t>
      </w:r>
      <w:proofErr w:type="gramEnd"/>
    </w:p>
    <w:p w14:paraId="35A3B7C0" w14:textId="77777777" w:rsidR="001F340B" w:rsidRPr="003C1705" w:rsidRDefault="008F640F" w:rsidP="003C1705">
      <w:pPr>
        <w:pStyle w:val="ThesisBody"/>
      </w:pPr>
      <w:r w:rsidRPr="003C1705">
        <w:t xml:space="preserve">Environmental and climate-related datasets will also be collected because dengue transmission is strongly influenced by environmental and climatic conditions, while measles and influenza-like illnesses may exhibit seasonal patterns influenced by population, behavioral, and public health factors. </w:t>
      </w:r>
      <w:r w:rsidR="00A73F00" w:rsidRPr="003C1705">
        <w:t>These datasets may include rainfall, temperature, relative humidity, flooding events, typhoon occurrence, and other hydrometeorological indicators. Geographic and demographic datasets, such as municipal or barangay population, population density, administrative boundaries, and location coordinates, will also be used to support spatial analysis and disease risk mapping.</w:t>
      </w:r>
    </w:p>
    <w:p w14:paraId="64CD0994" w14:textId="77777777" w:rsidR="001F340B" w:rsidRPr="003C1705" w:rsidRDefault="00A73F00" w:rsidP="003C1705">
      <w:pPr>
        <w:pStyle w:val="ThesisBody"/>
      </w:pPr>
      <w:r w:rsidRPr="003C1705">
        <w:t>The recommended historical coverage for model development will be at least three to five years of disease surveillance data. Weekly case counts will be preferred because they are commonly used in public health surveillance and can reduce daily reporting noise. If daily records are available, they will be aggregated into epidemiological weeks. If only monthly data are available, the models will be adjusted to reflect the lower temporal resolution.</w:t>
      </w:r>
    </w:p>
    <w:p w14:paraId="28F561E3" w14:textId="77777777" w:rsidR="001F340B" w:rsidRPr="003C1705" w:rsidRDefault="00A73F00" w:rsidP="003C1705">
      <w:pPr>
        <w:pStyle w:val="Heading4"/>
        <w:spacing w:line="480" w:lineRule="auto"/>
      </w:pPr>
      <w:r w:rsidRPr="003C1705">
        <w:lastRenderedPageBreak/>
        <w:t>Data Preparation</w:t>
      </w:r>
    </w:p>
    <w:p w14:paraId="68B90340" w14:textId="77777777" w:rsidR="001F340B" w:rsidRPr="003C1705" w:rsidRDefault="00A73F00" w:rsidP="003C1705">
      <w:pPr>
        <w:pStyle w:val="ThesisBody"/>
      </w:pPr>
      <w:r w:rsidRPr="003C1705">
        <w:t>All collected datasets will undergo systematic cleaning, preprocessing, and standardization before analysis and model development. The research team will first conduct data quality assessment to identify missing values, duplicate entries, inconsistent disease labels, incomplete location fields, incorrect dates, reporting gaps, outlier values, inconsistent formats, and possible encoding errors. These issues are expected in public health datasets because disease surveillance records often come from multiple reporting units and may vary in completeness and structure.</w:t>
      </w:r>
    </w:p>
    <w:p w14:paraId="1CBE9A86" w14:textId="77777777" w:rsidR="001F340B" w:rsidRPr="003C1705" w:rsidRDefault="00A73F00" w:rsidP="003C1705">
      <w:pPr>
        <w:pStyle w:val="ThesisBody"/>
      </w:pPr>
      <w:r w:rsidRPr="003C1705">
        <w:t>Missing values will be handled based on the type and importance of the variable. For time-series disease counts, missing observations may be addressed through interpolation, forward filling, backward filling, or exclusion, depending on the length and pattern of missingness. For environmental variables, mean, median, or time-based imputation may be used when appropriate. Records with critical missing information, such as disease type, date, or location, may be excluded if they cannot be reliably corrected.</w:t>
      </w:r>
    </w:p>
    <w:p w14:paraId="573ACC36" w14:textId="77777777" w:rsidR="001F340B" w:rsidRPr="003C1705" w:rsidRDefault="00A73F00" w:rsidP="003C1705">
      <w:pPr>
        <w:pStyle w:val="ThesisBody"/>
      </w:pPr>
      <w:r w:rsidRPr="003C1705">
        <w:t xml:space="preserve">The datasets will then be standardized using common identifiers and formats. Disease names will be harmonized to ensure consistent labeling of dengue fever, </w:t>
      </w:r>
      <w:r w:rsidR="009934C6" w:rsidRPr="003C1705">
        <w:t>measles</w:t>
      </w:r>
      <w:r w:rsidRPr="003C1705">
        <w:t>, and influenza-like illnesses. Dates will be converted into a common format and organized by epidemiological week, month, or reporting period. Geographic fields will be standardized using official municipality or barangay names and administrative codes. Case counts may also be converted into incidence rates per 100,000 population to allow fair comparison across municipalities with different population sizes.</w:t>
      </w:r>
    </w:p>
    <w:p w14:paraId="05B9230A" w14:textId="77777777" w:rsidR="001F340B" w:rsidRPr="003C1705" w:rsidRDefault="00A73F00" w:rsidP="003C1705">
      <w:pPr>
        <w:pStyle w:val="ThesisBody"/>
      </w:pPr>
      <w:r w:rsidRPr="003C1705">
        <w:t xml:space="preserve">Data from different sources will be integrated through shared fields such as date, epidemiological week, disease type, municipality or barangay, and reporting unit. Environmental and climate variables will be aligned with disease records based on </w:t>
      </w:r>
      <w:r w:rsidRPr="003C1705">
        <w:lastRenderedPageBreak/>
        <w:t xml:space="preserve">location and </w:t>
      </w:r>
      <w:proofErr w:type="gramStart"/>
      <w:r w:rsidRPr="003C1705">
        <w:t>time period</w:t>
      </w:r>
      <w:proofErr w:type="gramEnd"/>
      <w:r w:rsidRPr="003C1705">
        <w:t xml:space="preserve">. Where necessary, lagged environmental variables will be created to account for delayed disease effects. For example, rainfall from previous weeks may be used as a predictor for dengue or </w:t>
      </w:r>
      <w:r w:rsidR="009934C6" w:rsidRPr="003C1705">
        <w:t>measles</w:t>
      </w:r>
      <w:r w:rsidRPr="003C1705">
        <w:t xml:space="preserve"> cases in later weeks.</w:t>
      </w:r>
    </w:p>
    <w:p w14:paraId="2A81EDEE" w14:textId="77777777" w:rsidR="001F340B" w:rsidRPr="003C1705" w:rsidRDefault="00A73F00" w:rsidP="003C1705">
      <w:pPr>
        <w:pStyle w:val="Heading4"/>
        <w:spacing w:line="480" w:lineRule="auto"/>
      </w:pPr>
      <w:r w:rsidRPr="003C1705">
        <w:t>Feature Selection and Extraction</w:t>
      </w:r>
    </w:p>
    <w:p w14:paraId="55919F3F" w14:textId="77777777" w:rsidR="001F340B" w:rsidRPr="003C1705" w:rsidRDefault="00A73F00" w:rsidP="003C1705">
      <w:pPr>
        <w:pStyle w:val="ThesisBody"/>
      </w:pPr>
      <w:r w:rsidRPr="003C1705">
        <w:t>After preprocessing, the study will generate relevant predictive features for disease trend detection and outbreak forecasting. Feature engineering will be conducted to transform raw surveillance and environmental data into meaningful variables that can improve model performance.</w:t>
      </w:r>
    </w:p>
    <w:p w14:paraId="4E972148" w14:textId="77777777" w:rsidR="001F340B" w:rsidRPr="003C1705" w:rsidRDefault="00A73F00" w:rsidP="003C1705">
      <w:pPr>
        <w:pStyle w:val="ThesisBody"/>
      </w:pPr>
      <w:r w:rsidRPr="003C1705">
        <w:t>For temporal analysis, the study will generate lagged case variables, such as disease cases from the previous one, two, three, and four weeks. Moving averages may also be computed to smooth short-term fluctuations and capture broader disease trends. Seasonal indicators, such as month, quarter, rainy season, dry season, and epidemiological week, will be included to help the models recognize recurring seasonal behavior.</w:t>
      </w:r>
    </w:p>
    <w:p w14:paraId="16E4A87E" w14:textId="77777777" w:rsidR="001F340B" w:rsidRPr="003C1705" w:rsidRDefault="00AD6829" w:rsidP="003C1705">
      <w:pPr>
        <w:pStyle w:val="ThesisBody"/>
      </w:pPr>
      <w:r w:rsidRPr="003C1705">
        <w:t xml:space="preserve">For environmental modeling, rainfall, temperature, humidity, and other climate-related indicators may be lagged to represent delayed effects on disease occurrence. </w:t>
      </w:r>
      <w:r w:rsidR="00345ACB" w:rsidRPr="003C1705">
        <w:t>This is particularly important for dengue because rainfall and other environmental conditions may influence mosquito breeding and disease transmission after a time delay</w:t>
      </w:r>
      <w:r w:rsidRPr="003C1705">
        <w:t>. For measles, vaccination coverage, population susceptibility, and historical outbreak patterns may provide more meaningful predictors</w:t>
      </w:r>
      <w:r w:rsidR="00A73F00" w:rsidRPr="003C1705">
        <w:t>. For influenza-like illnesses, temporal patterns, previous case counts, syndromic indicators, and seasonal variables may be more relevant.</w:t>
      </w:r>
    </w:p>
    <w:p w14:paraId="5D209B60" w14:textId="77777777" w:rsidR="001F340B" w:rsidRPr="003C1705" w:rsidRDefault="00A73F00" w:rsidP="003C1705">
      <w:pPr>
        <w:pStyle w:val="ThesisBody"/>
      </w:pPr>
      <w:r w:rsidRPr="003C1705">
        <w:t xml:space="preserve">Geographic and demographic features may include municipality, population size, population density, urban or rural classification, disease incidence rate, and </w:t>
      </w:r>
      <w:r w:rsidRPr="003C1705">
        <w:lastRenderedPageBreak/>
        <w:t>previous outbreak history. If spatial data are available, the study may also generate location-based indicators such as neighboring-area case burden or municipality-level risk classification.</w:t>
      </w:r>
    </w:p>
    <w:p w14:paraId="46F59528" w14:textId="77777777" w:rsidR="001F340B" w:rsidRPr="003C1705" w:rsidRDefault="00A73F00" w:rsidP="003C1705">
      <w:pPr>
        <w:pStyle w:val="ThesisBody"/>
      </w:pPr>
      <w:r w:rsidRPr="003C1705">
        <w:t>The final feature set will be reviewed for relevance, completeness, and potential redundancy. Correlation analysis and feature importance techniques may be used to identify variables that contribute meaningfully to prediction. Highly correlated or redundant variables may be removed to reduce overfitting and improve model interpretability.</w:t>
      </w:r>
    </w:p>
    <w:p w14:paraId="5667ECDB" w14:textId="77777777" w:rsidR="001F340B" w:rsidRPr="003C1705" w:rsidRDefault="00A73F00" w:rsidP="003C1705">
      <w:pPr>
        <w:pStyle w:val="ThesisBody"/>
      </w:pPr>
      <w:r w:rsidRPr="003C1705">
        <w:t xml:space="preserve">The study will conduct exploratory data analysis to describe and understand the behavior of dengue fever, </w:t>
      </w:r>
      <w:r w:rsidR="000F3BA4" w:rsidRPr="003C1705">
        <w:t>measles</w:t>
      </w:r>
      <w:r w:rsidRPr="003C1705">
        <w:t>, and influenza-like illnesses in Region I. This step will provide the empirical basis for model development and help identify important trends, seasonal patterns, and outbreak-related indicators.</w:t>
      </w:r>
    </w:p>
    <w:p w14:paraId="6BF678C7" w14:textId="77777777" w:rsidR="001F340B" w:rsidRPr="003C1705" w:rsidRDefault="00A73F00" w:rsidP="003C1705">
      <w:pPr>
        <w:pStyle w:val="ThesisBody"/>
      </w:pPr>
      <w:r w:rsidRPr="003C1705">
        <w:t>Temporal analysis will examine disease patterns over time. The research team will generate time-series plots of reported cases by disease, municipality, and reporting period. Seasonal decomposition may be used to separate long-term trends, seasonal components, and irregular fluctuations. The study will also examine whether cases increase during specific months, rainy seasons, typhoon periods, or other recurring environmental conditions.</w:t>
      </w:r>
    </w:p>
    <w:p w14:paraId="698467B9" w14:textId="77777777" w:rsidR="001F340B" w:rsidRPr="003C1705" w:rsidRDefault="00A73F00" w:rsidP="003C1705">
      <w:pPr>
        <w:pStyle w:val="ThesisBody"/>
      </w:pPr>
      <w:r w:rsidRPr="003C1705">
        <w:t>Spatial analysis will examine the geographic distribution of disease cases. Disease incidence rates may be mapped by municipality or barangay using choropleth maps, heatmaps, or risk-level maps. These visualizations will help identify areas with consistently high disease burden, recurring outbreaks, or unusual increases in cases. If sufficient spatial data are available, hotspot analysis may be conducted to identify statistically significant clusters of disease activity.</w:t>
      </w:r>
    </w:p>
    <w:p w14:paraId="178C00BF" w14:textId="77777777" w:rsidR="001F340B" w:rsidRPr="003C1705" w:rsidRDefault="006121FB" w:rsidP="003C1705">
      <w:pPr>
        <w:pStyle w:val="ThesisBody"/>
      </w:pPr>
      <w:r w:rsidRPr="003C1705">
        <w:lastRenderedPageBreak/>
        <w:t>Correlation and lag analysis will be used to explore relationships between disease cases and possible predictors. For example, the study may examine the relationship between dengue cases and rainfall, temperature, and humidity at different lag periods. For measles, the analysis may focus more closely on vaccination coverage, population susceptibility, historical outbreak patterns, and demographic factors that may influence disease transmission. For influenza-like illnesses, the analysis may focus on temporal clustering, previous case levels, and syndromic indicators.</w:t>
      </w:r>
    </w:p>
    <w:p w14:paraId="71055F5F" w14:textId="77777777" w:rsidR="001F340B" w:rsidRPr="003C1705" w:rsidRDefault="00A73F00" w:rsidP="003C1705">
      <w:pPr>
        <w:pStyle w:val="ThesisBody"/>
      </w:pPr>
      <w:r w:rsidRPr="003C1705">
        <w:t>The results of exploratory, temporal, and spatial analysis will guide the selection of features and modeling techniques. They will also help ensure that the machine learning models are not developed as purely technical tools, but as public health models grounded in actual disease behavior and local surveillance patterns.</w:t>
      </w:r>
    </w:p>
    <w:p w14:paraId="7628C45B" w14:textId="77777777" w:rsidR="001F340B" w:rsidRPr="003C1705" w:rsidRDefault="00A73F00" w:rsidP="003C1705">
      <w:pPr>
        <w:pStyle w:val="Heading4"/>
        <w:spacing w:line="480" w:lineRule="auto"/>
      </w:pPr>
      <w:r w:rsidRPr="003C1705">
        <w:t>Model Training</w:t>
      </w:r>
    </w:p>
    <w:p w14:paraId="1501D936" w14:textId="77777777" w:rsidR="001F340B" w:rsidRPr="003C1705" w:rsidRDefault="000D5C78" w:rsidP="003C1705">
      <w:pPr>
        <w:pStyle w:val="ThesisBody"/>
      </w:pPr>
      <w:r w:rsidRPr="003C1705">
        <w:t>The study will develop disease-specific predictive and forecasting models for dengue fever, measles, and influenza-like illnesses using Python. Separate disease-specific models will be developed because the three diseases differ in transmission patterns, environmental drivers, seasonality, reporting behavior, and outbreak characteristics. Dengue fever is often influenced by rainfall, temperature, mosquito breeding conditions, and lagged environmental effects. Measles transmission is strongly associated with vaccination coverage, population immunity, demographic characteristics, and the accumulation of susceptible individuals within communities. Influenza-like illnesses are more strongly linked to respiratory transmission, syndromic trends, seasonality, and previous case patterns. Because of these differences, each disease may require its own predictors, lag structures, and alert thresholds.</w:t>
      </w:r>
    </w:p>
    <w:p w14:paraId="02F6B3BA" w14:textId="77777777" w:rsidR="001F340B" w:rsidRPr="003C1705" w:rsidRDefault="00A73F00" w:rsidP="003C1705">
      <w:pPr>
        <w:pStyle w:val="ThesisBody"/>
      </w:pPr>
      <w:r w:rsidRPr="003C1705">
        <w:lastRenderedPageBreak/>
        <w:t>The model development process will focus on two practical tasks: case forecasting and outbreak risk classification. Case forecasting will estimate the expected number of disease cases for a future period, such as one week, two weeks, or four weeks ahead. Outbreak risk classification will classify the disease situation as low risk, moderate risk, high risk, or potential outbreak based on observed trends, predicted case increases, and predefined alert thresholds.</w:t>
      </w:r>
    </w:p>
    <w:p w14:paraId="4D59A882" w14:textId="77777777" w:rsidR="001F340B" w:rsidRPr="003C1705" w:rsidRDefault="00A73F00" w:rsidP="003C1705">
      <w:pPr>
        <w:pStyle w:val="ThesisBody"/>
      </w:pPr>
      <w:r w:rsidRPr="003C1705">
        <w:t xml:space="preserve">For case forecasting, the study will use Moving Average, ARIMA or SARIMA, and Random Forest Regressor. Moving Average will serve as the simplest baseline forecasting model because it is easy to implement, easy to interpret, and useful for determining whether more advanced models provide meaningful improvement. ARIMA or SARIMA will serve as the main statistical time-series forecasting model. ARIMA may be used when the data show temporal dependence, while SARIMA may be used when seasonal disease patterns are observed. These models are suitable for surveillance data because dengue fever, </w:t>
      </w:r>
      <w:r w:rsidR="000D5C78" w:rsidRPr="003C1705">
        <w:t>measles</w:t>
      </w:r>
      <w:r w:rsidRPr="003C1705">
        <w:t>, and influenza-like illnesses may show recurring temporal or seasonal trends. Random Forest Regressor will serve as the main machine learning forecasting model because it is practical, stable, and suitable for structured epidemiological, environmental, temporal, and location-based predictors. It can also capture nonlinear relationships between disease cases and possible predictors without requiring highly complex model design.</w:t>
      </w:r>
    </w:p>
    <w:p w14:paraId="03A25714" w14:textId="77777777" w:rsidR="001F340B" w:rsidRPr="003C1705" w:rsidRDefault="00A73F00" w:rsidP="003C1705">
      <w:pPr>
        <w:pStyle w:val="ThesisBody"/>
      </w:pPr>
      <w:r w:rsidRPr="003C1705">
        <w:t xml:space="preserve">For outbreak risk classification, the study will use Logistic Regression, Random Forest Classifier, and </w:t>
      </w:r>
      <w:proofErr w:type="spellStart"/>
      <w:r w:rsidRPr="003C1705">
        <w:t>XGBoost</w:t>
      </w:r>
      <w:proofErr w:type="spellEnd"/>
      <w:r w:rsidRPr="003C1705">
        <w:t xml:space="preserve"> or </w:t>
      </w:r>
      <w:proofErr w:type="spellStart"/>
      <w:r w:rsidRPr="003C1705">
        <w:t>LightGBM</w:t>
      </w:r>
      <w:proofErr w:type="spellEnd"/>
      <w:r w:rsidRPr="003C1705">
        <w:t xml:space="preserve"> Classifier. Logistic Regression will provide an interpretable baseline classification model and will help explain how selected predictors relate to the likelihood of a higher-risk disease situation. Random Forest Classifier will serve as the main machine learning classification model because it can handle nonlinear relationships and interactions among epidemiological, </w:t>
      </w:r>
      <w:r w:rsidRPr="003C1705">
        <w:lastRenderedPageBreak/>
        <w:t xml:space="preserve">environmental, and temporal predictors while remaining relatively easy to implement and interpret through feature importance. </w:t>
      </w:r>
      <w:proofErr w:type="spellStart"/>
      <w:r w:rsidRPr="003C1705">
        <w:t>XGBoost</w:t>
      </w:r>
      <w:proofErr w:type="spellEnd"/>
      <w:r w:rsidRPr="003C1705">
        <w:t xml:space="preserve"> or </w:t>
      </w:r>
      <w:proofErr w:type="spellStart"/>
      <w:r w:rsidRPr="003C1705">
        <w:t>LightGBM</w:t>
      </w:r>
      <w:proofErr w:type="spellEnd"/>
      <w:r w:rsidRPr="003C1705">
        <w:t xml:space="preserve"> Classifier may be used as an advanced comparison model because gradient boosting methods often perform well with structured tabular data. However, these models will be used only when the dataset is sufficiently complete and stable enough to support reliable tuning and validation.</w:t>
      </w:r>
    </w:p>
    <w:p w14:paraId="05F34833" w14:textId="77777777" w:rsidR="001F340B" w:rsidRPr="003C1705" w:rsidRDefault="00A73F00" w:rsidP="003C1705">
      <w:pPr>
        <w:pStyle w:val="ThesisBody"/>
      </w:pPr>
      <w:r w:rsidRPr="003C1705">
        <w:t xml:space="preserve">The selected algorithms are feasible for the project because they are supported by stable Python libraries and can be implemented using commonly available computing resources. Pandas and NumPy will be used for data preparation and feature engineering. </w:t>
      </w:r>
      <w:proofErr w:type="spellStart"/>
      <w:r w:rsidRPr="003C1705">
        <w:t>Statsmodels</w:t>
      </w:r>
      <w:proofErr w:type="spellEnd"/>
      <w:r w:rsidRPr="003C1705">
        <w:t xml:space="preserve"> will be used for ARIMA or SARIMA modeling, while Scikit-learn will be used for Moving Average implementation, Random Forest models, Logistic Regression, and model evaluation. </w:t>
      </w:r>
      <w:proofErr w:type="spellStart"/>
      <w:r w:rsidRPr="003C1705">
        <w:t>XGBoost</w:t>
      </w:r>
      <w:proofErr w:type="spellEnd"/>
      <w:r w:rsidRPr="003C1705">
        <w:t xml:space="preserve"> or </w:t>
      </w:r>
      <w:proofErr w:type="spellStart"/>
      <w:r w:rsidRPr="003C1705">
        <w:t>LightGBM</w:t>
      </w:r>
      <w:proofErr w:type="spellEnd"/>
      <w:r w:rsidRPr="003C1705">
        <w:t xml:space="preserve"> may be used for advanced classification if data quality and volume are sufficient.</w:t>
      </w:r>
    </w:p>
    <w:p w14:paraId="61258D44" w14:textId="77777777" w:rsidR="001F340B" w:rsidRPr="003C1705" w:rsidRDefault="00A73F00" w:rsidP="003C1705">
      <w:pPr>
        <w:pStyle w:val="ThesisBody"/>
      </w:pPr>
      <w:r w:rsidRPr="003C1705">
        <w:t>Outbreak thresholds will be defined using appropriate epidemiological or statistical criteria. When available, official alert or epidemic thresholds from public health authorities will be used. If official thresholds are not available for a specific disease or locality, the study may use historical percentile thresholds, moving average-based thresholds, or standard deviation-based alert levels. These thresholds will be used to label outbreak or non-outbreak periods for classification modeling.</w:t>
      </w:r>
    </w:p>
    <w:p w14:paraId="78A94124" w14:textId="77777777" w:rsidR="001F340B" w:rsidRPr="003C1705" w:rsidRDefault="00A73F00" w:rsidP="003C1705">
      <w:pPr>
        <w:pStyle w:val="ThesisBody"/>
      </w:pPr>
      <w:r w:rsidRPr="003C1705">
        <w:t xml:space="preserve">The models will be trained and validated using time-aware procedures to avoid data leakage. Since disease surveillance data are temporal in nature, random splitting will not be the primary method because it may allow future information to influence past predictions. Instead, the dataset will be arranged chronologically. A recommended split will assign the earliest 70% of observations to the training set, the next 15% to the validation set, and the most recent 15% to the test set. The training set will be used to </w:t>
      </w:r>
      <w:r w:rsidRPr="003C1705">
        <w:lastRenderedPageBreak/>
        <w:t>fit the models, the validation set will be used for tuning and model selection, and the test set will be used for final performance evaluation.</w:t>
      </w:r>
    </w:p>
    <w:p w14:paraId="1035014F" w14:textId="77777777" w:rsidR="001F340B" w:rsidRPr="003C1705" w:rsidRDefault="00A73F00" w:rsidP="003C1705">
      <w:pPr>
        <w:pStyle w:val="ThesisBody"/>
      </w:pPr>
      <w:r w:rsidRPr="003C1705">
        <w:t>When the data volume allows, rolling-origin validation or walk-forward validation may also be used. In this procedure, the model is repeatedly trained on earlier time periods and tested on later time periods. This approach better reflects real-world forecasting because the model must predict future disease activity using only information available at the time of prediction.</w:t>
      </w:r>
    </w:p>
    <w:p w14:paraId="5C7FF7A8" w14:textId="4E7876AE" w:rsidR="001F340B" w:rsidRPr="003C1705" w:rsidRDefault="00A73F00" w:rsidP="003C1705">
      <w:pPr>
        <w:pStyle w:val="ThesisBody"/>
      </w:pPr>
      <w:r w:rsidRPr="003C1705">
        <w:t xml:space="preserve">Hyperparameter tuning will be conducted only for models that require tuning, such as Random Forest and </w:t>
      </w:r>
      <w:proofErr w:type="spellStart"/>
      <w:r w:rsidRPr="003C1705">
        <w:t>XGBoost</w:t>
      </w:r>
      <w:proofErr w:type="spellEnd"/>
      <w:r w:rsidRPr="003C1705">
        <w:t xml:space="preserve"> or </w:t>
      </w:r>
      <w:proofErr w:type="spellStart"/>
      <w:r w:rsidRPr="003C1705">
        <w:t>LightGBM</w:t>
      </w:r>
      <w:proofErr w:type="spellEnd"/>
      <w:r w:rsidRPr="003C1705">
        <w:t xml:space="preserve">. Grid search or random search may be used depending on the number of candidate settings and available computing resources. Model tuning will focus on improving predictive performance while avoiding overfitting. Model selection will consider forecasting accuracy, classification performance, interpretability, stability, computational efficiency, and suitability for integration into the </w:t>
      </w:r>
      <w:proofErr w:type="spellStart"/>
      <w:r w:rsidR="003C1705">
        <w:t>HealthAlert</w:t>
      </w:r>
      <w:proofErr w:type="spellEnd"/>
      <w:r w:rsidRPr="003C1705">
        <w:t xml:space="preserve"> platform.</w:t>
      </w:r>
    </w:p>
    <w:p w14:paraId="344CDE92" w14:textId="77777777" w:rsidR="001F340B" w:rsidRPr="003C1705" w:rsidRDefault="00A73F00" w:rsidP="003C1705">
      <w:pPr>
        <w:pStyle w:val="ThesisBody"/>
      </w:pPr>
      <w:r w:rsidRPr="003C1705">
        <w:t xml:space="preserve">The selection of algorithms will prioritize feasibility, interpretability, and suitability for the expected surveillance data. Since the study will use disease case counts, reporting dates, locations, environmental indicators, demographic variables, and possible clinical or digital health-related indicators, the models must work well with structured tabular and time-series data. Moving Average and ARIMA or SARIMA will provide interpretable forecasting baselines, while Random Forest Regressor will serve as the primary machine learning model for case forecasting. Logistic Regression will provide an interpretable baseline for outbreak risk classification, while Random Forest Classifier and </w:t>
      </w:r>
      <w:proofErr w:type="spellStart"/>
      <w:r w:rsidRPr="003C1705">
        <w:t>XGBoost</w:t>
      </w:r>
      <w:proofErr w:type="spellEnd"/>
      <w:r w:rsidRPr="003C1705">
        <w:t xml:space="preserve"> or </w:t>
      </w:r>
      <w:proofErr w:type="spellStart"/>
      <w:r w:rsidRPr="003C1705">
        <w:t>LightGBM</w:t>
      </w:r>
      <w:proofErr w:type="spellEnd"/>
      <w:r w:rsidRPr="003C1705">
        <w:t xml:space="preserve"> Classifier will be used to capture more complex predictor relationships. This selection balances predictive performance with </w:t>
      </w:r>
      <w:r w:rsidRPr="003C1705">
        <w:lastRenderedPageBreak/>
        <w:t>practicality, explainability, and ease of integration into a web-based public health decision-support platform.</w:t>
      </w:r>
    </w:p>
    <w:p w14:paraId="04034828" w14:textId="77777777" w:rsidR="001F340B" w:rsidRPr="003C1705" w:rsidRDefault="00A73F00" w:rsidP="003C1705">
      <w:pPr>
        <w:pStyle w:val="Heading4"/>
        <w:spacing w:line="480" w:lineRule="auto"/>
      </w:pPr>
      <w:r w:rsidRPr="003C1705">
        <w:t>Controlled Continuous Learning and Model Updating</w:t>
      </w:r>
    </w:p>
    <w:p w14:paraId="0CF3D417" w14:textId="555B6029" w:rsidR="001F340B" w:rsidRPr="003C1705" w:rsidRDefault="00A73F00" w:rsidP="003C1705">
      <w:pPr>
        <w:pStyle w:val="ThesisBody"/>
      </w:pPr>
      <w:r w:rsidRPr="003C1705">
        <w:t xml:space="preserve">To support continuous improvement after deployment, the study may incorporate a controlled continuous learning process within the </w:t>
      </w:r>
      <w:proofErr w:type="spellStart"/>
      <w:r w:rsidR="003C1705">
        <w:t>HealthAlert</w:t>
      </w:r>
      <w:proofErr w:type="spellEnd"/>
      <w:r w:rsidRPr="003C1705">
        <w:t xml:space="preserve"> platform. In this approach, the system will not automatically retrain and replace deployed models after every new data entry. Instead, newly uploaded or entered surveillance data will first undergo validation, preprocessing, and quality checking before they are considered for future model updating. This approach is necessary because public health surveillance data may contain delayed reports, duplicate records, missing values, reporting gaps, or later corrections that could affect model reliability if used without review.</w:t>
      </w:r>
    </w:p>
    <w:p w14:paraId="011C3A9F" w14:textId="77777777" w:rsidR="001F340B" w:rsidRPr="003C1705" w:rsidRDefault="00A73F00" w:rsidP="003C1705">
      <w:pPr>
        <w:pStyle w:val="ThesisBody"/>
      </w:pPr>
      <w:r w:rsidRPr="003C1705">
        <w:t xml:space="preserve">The platform may include a model monitoring and retraining readiness function that checks whether model updating is advisable as new data </w:t>
      </w:r>
      <w:r w:rsidR="00987D86" w:rsidRPr="003C1705">
        <w:t>becomes</w:t>
      </w:r>
      <w:r w:rsidRPr="003C1705">
        <w:t xml:space="preserve"> available. This function may assess the amount of new validated data, data completeness, data quality, recent prediction errors, forecast reliability, and possible changes in disease patterns. For example, the system may compare recent predicted case counts with observed cases and monitor whether forecasting errors increase over time. It may also monitor whether outbreak risk classification performance declines, such as when sensitivity, precision, or F1-score becomes lower than the accepted performance level.</w:t>
      </w:r>
    </w:p>
    <w:p w14:paraId="33018515" w14:textId="77777777" w:rsidR="001F340B" w:rsidRPr="003C1705" w:rsidRDefault="00A73F00" w:rsidP="003C1705">
      <w:pPr>
        <w:pStyle w:val="ThesisBody"/>
      </w:pPr>
      <w:r w:rsidRPr="003C1705">
        <w:t xml:space="preserve">If the new data are still insufficient, incomplete, or unstable, the system will continue using the current deployed model while updating the dashboard, forecasts, alerts, and reports using the latest validated records. If there are signs of declining model performance, meaningful changes in disease patterns, or enough validated new </w:t>
      </w:r>
      <w:r w:rsidRPr="003C1705">
        <w:lastRenderedPageBreak/>
        <w:t xml:space="preserve">data for model updating, the system may recommend retraining for </w:t>
      </w:r>
      <w:r w:rsidR="00987D86" w:rsidRPr="003C1705">
        <w:t xml:space="preserve">the </w:t>
      </w:r>
      <w:r w:rsidRPr="003C1705">
        <w:t>researcher or administrator review. The updated model will then be trained, validated, and compared with the currently deployed model before replacement. Only models that show acceptable or improved performance will be deployed in the platform.</w:t>
      </w:r>
    </w:p>
    <w:p w14:paraId="5C5B4D9F" w14:textId="5F220FCB" w:rsidR="001F340B" w:rsidRPr="003C1705" w:rsidRDefault="00A73F00" w:rsidP="003C1705">
      <w:pPr>
        <w:pStyle w:val="ThesisBody"/>
      </w:pPr>
      <w:r w:rsidRPr="003C1705">
        <w:t xml:space="preserve">This controlled continuous learning approach will allow </w:t>
      </w:r>
      <w:proofErr w:type="spellStart"/>
      <w:r w:rsidR="003C1705">
        <w:t>HealthAlert</w:t>
      </w:r>
      <w:proofErr w:type="spellEnd"/>
      <w:r w:rsidRPr="003C1705">
        <w:t xml:space="preserve"> to remain responsive to new disease surveillance information while maintaining model stability, traceability, and accountability. It will also help ensure that model updates are based on sufficient and reliable data rather than short-term fluctuations or incomplete daily reports. Previous model versions, training dates, data coverage, evaluation results, and deployment decisions will be documented to support transparency and future auditing.</w:t>
      </w:r>
    </w:p>
    <w:p w14:paraId="35BDADAF" w14:textId="77777777" w:rsidR="001F340B" w:rsidRPr="003C1705" w:rsidRDefault="00A73F00" w:rsidP="003C1705">
      <w:pPr>
        <w:pStyle w:val="ThesisBody"/>
      </w:pPr>
      <w:r w:rsidRPr="003C1705">
        <w:t>This process will be treated as a controlled model improvement workflow rather than fully automated self-learning, ensuring that updates remain technically valid, ethically responsible, and appropriate for public health decision support</w:t>
      </w:r>
    </w:p>
    <w:p w14:paraId="48BCD75C" w14:textId="6F3D54E7" w:rsidR="001F340B" w:rsidRPr="003C1705" w:rsidRDefault="000B0704" w:rsidP="003C1705">
      <w:pPr>
        <w:pStyle w:val="Heading3"/>
        <w:spacing w:line="480" w:lineRule="auto"/>
      </w:pPr>
      <w:r w:rsidRPr="003C1705">
        <w:t xml:space="preserve">Study 2: Development of the </w:t>
      </w:r>
      <w:proofErr w:type="spellStart"/>
      <w:r w:rsidR="003C1705">
        <w:t>HealthAlert</w:t>
      </w:r>
      <w:proofErr w:type="spellEnd"/>
      <w:r w:rsidRPr="003C1705">
        <w:t xml:space="preserve"> Surveillance and Predictive Analytics Platform</w:t>
      </w:r>
    </w:p>
    <w:p w14:paraId="0F9EB486" w14:textId="5308FE88" w:rsidR="001F340B" w:rsidRPr="003C1705" w:rsidRDefault="00A73F00" w:rsidP="003C1705">
      <w:pPr>
        <w:pStyle w:val="ThesisBody"/>
      </w:pPr>
      <w:r w:rsidRPr="003C1705">
        <w:t xml:space="preserve">The main output of this study will be a functional </w:t>
      </w:r>
      <w:proofErr w:type="spellStart"/>
      <w:r w:rsidR="003C1705">
        <w:t>HealthAlert</w:t>
      </w:r>
      <w:proofErr w:type="spellEnd"/>
      <w:r w:rsidRPr="003C1705">
        <w:t xml:space="preserve"> prototype capable of supporting integrated disease surveillance, predictive analytics, outbreak forecasting, early warning generation, visualization, and AI-assisted public health decision support.</w:t>
      </w:r>
    </w:p>
    <w:p w14:paraId="568032D3" w14:textId="77777777" w:rsidR="001F340B" w:rsidRPr="003C1705" w:rsidRDefault="00A73F00" w:rsidP="003C1705">
      <w:pPr>
        <w:pStyle w:val="ThesisFigure"/>
        <w:spacing w:line="480" w:lineRule="auto"/>
      </w:pPr>
      <w:r w:rsidRPr="003C1705">
        <w:rPr>
          <w:b/>
          <w:bCs/>
          <w:noProof/>
        </w:rPr>
        <w:lastRenderedPageBreak/>
        <w:drawing>
          <wp:inline distT="0" distB="0" distL="0" distR="0" wp14:anchorId="02A3BFBE" wp14:editId="02A3BFBF">
            <wp:extent cx="5212080" cy="3251630"/>
            <wp:effectExtent l="0" t="0" r="0" b="0"/>
            <wp:docPr id="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4"/>
                    <a:srcRect t="7941" b="4072"/>
                    <a:stretch>
                      <a:fillRect/>
                    </a:stretch>
                  </pic:blipFill>
                  <pic:spPr>
                    <a:xfrm>
                      <a:off x="0" y="0"/>
                      <a:ext cx="5212080" cy="3251630"/>
                    </a:xfrm>
                    <a:prstGeom prst="rect">
                      <a:avLst/>
                    </a:prstGeom>
                    <a:ln/>
                  </pic:spPr>
                </pic:pic>
              </a:graphicData>
            </a:graphic>
          </wp:inline>
        </w:drawing>
      </w:r>
    </w:p>
    <w:p w14:paraId="0F2AA0B2" w14:textId="77777777" w:rsidR="001F340B" w:rsidRPr="003C1705" w:rsidRDefault="00A73F00" w:rsidP="003C1705">
      <w:pPr>
        <w:pStyle w:val="ThesisCaption"/>
        <w:spacing w:line="480" w:lineRule="auto"/>
      </w:pPr>
      <w:r w:rsidRPr="003C1705">
        <w:t>Figure 3: Platform Development Framework</w:t>
      </w:r>
    </w:p>
    <w:p w14:paraId="7163908C" w14:textId="3C6640B9" w:rsidR="001F340B" w:rsidRPr="003C1705" w:rsidRDefault="00A73F00" w:rsidP="003C1705">
      <w:pPr>
        <w:pStyle w:val="ThesisBody"/>
      </w:pPr>
      <w:r w:rsidRPr="003C1705">
        <w:t xml:space="preserve">Figure 3 presents the platform development framework for </w:t>
      </w:r>
      <w:proofErr w:type="spellStart"/>
      <w:r w:rsidR="003C1705">
        <w:t>HealthAlert</w:t>
      </w:r>
      <w:proofErr w:type="spellEnd"/>
      <w:r w:rsidRPr="003C1705">
        <w:t>. The framework highlights the major system functions that will be developed through an iterative prototyping approach. These functions include data management, surveillance dashboard, geospatial visualization, predictive analytics and forecasting, early warning alerts, reporting, and system administration. The framework emphasizes that the platform will be designed not only as a data display tool, but as an AI-assisted decision-support system that can help public health users monitor disease trends, interpret forecasts, identify high-risk areas, and generate timely surveillance reports.</w:t>
      </w:r>
    </w:p>
    <w:p w14:paraId="13AD3A6E" w14:textId="77777777" w:rsidR="001F340B" w:rsidRPr="003C1705" w:rsidRDefault="00A73F00" w:rsidP="003C1705">
      <w:pPr>
        <w:pStyle w:val="Heading4"/>
        <w:spacing w:line="480" w:lineRule="auto"/>
      </w:pPr>
      <w:r w:rsidRPr="003C1705">
        <w:t>Requirements Analysis</w:t>
      </w:r>
    </w:p>
    <w:p w14:paraId="77A75344" w14:textId="27E42802" w:rsidR="001F340B" w:rsidRPr="003C1705" w:rsidRDefault="00A73F00" w:rsidP="003C1705">
      <w:pPr>
        <w:pStyle w:val="ThesisBody"/>
      </w:pPr>
      <w:r w:rsidRPr="003C1705">
        <w:t xml:space="preserve">The researchers will identify and analyze the functional and non-functional requirements of the </w:t>
      </w:r>
      <w:proofErr w:type="spellStart"/>
      <w:r w:rsidR="003C1705">
        <w:t>HealthAlert</w:t>
      </w:r>
      <w:proofErr w:type="spellEnd"/>
      <w:r w:rsidRPr="003C1705">
        <w:t xml:space="preserve"> platform. This phase will ensure that the system is grounded in actual surveillance practices and not developed only from a technical perspective. Since the intended users of the platform include public health and </w:t>
      </w:r>
      <w:r w:rsidRPr="003C1705">
        <w:lastRenderedPageBreak/>
        <w:t>healthcare personnel, the requirements analysis will focus on their current disease monitoring tasks, reporting workflows, decision-support needs, data management challenges, and expectations for an AI-assisted surveillance system.</w:t>
      </w:r>
    </w:p>
    <w:p w14:paraId="69325894" w14:textId="77777777" w:rsidR="001F340B" w:rsidRPr="003C1705" w:rsidRDefault="00A73F00" w:rsidP="003C1705">
      <w:pPr>
        <w:pStyle w:val="ThesisBody"/>
      </w:pPr>
      <w:r w:rsidRPr="003C1705">
        <w:t>The participants for requirements gathering may include disease surveillance officers, regional epidemiology personnel, provincial health office staff, municipal health officers, hospital disease reporting personnel, public health nurses, health program coordinators, IT personnel, and public health decision-makers. A purposive sampling approach will be used because the study requires participants who have direct experience in disease surveillance, disease reporting, health data management, outbreak monitoring, or public health decision-making.</w:t>
      </w:r>
    </w:p>
    <w:p w14:paraId="4B7D0FCA" w14:textId="77777777" w:rsidR="001F340B" w:rsidRPr="003C1705" w:rsidRDefault="00A73F00" w:rsidP="003C1705">
      <w:pPr>
        <w:pStyle w:val="ThesisBody"/>
      </w:pPr>
      <w:r w:rsidRPr="003C1705">
        <w:t>The researchers will collect requirements through key informant interviews, focus group discussions, workflow observations, stakeholder consultation meetings, and review of existing surveillance forms, reports, and data submission practices. The interviews and consultations will help determine what users need from the platform, what problems they experience in current surveillance processes, and what features would make the system useful in real public health work. Workflow observation will help the researchers understand how disease data are collected, encoded, validated, consolidated, interpreted, and reported. Existing forms and reports will be reviewed to ensure that the proposed platform aligns with current disease surveillance documentation and reporting practices.</w:t>
      </w:r>
    </w:p>
    <w:p w14:paraId="17D3930C" w14:textId="77777777" w:rsidR="001F340B" w:rsidRPr="003C1705" w:rsidRDefault="00A73F00" w:rsidP="003C1705">
      <w:pPr>
        <w:pStyle w:val="ThesisBody"/>
      </w:pPr>
      <w:r w:rsidRPr="003C1705">
        <w:t xml:space="preserve">The requirements analysis will identify both functional and non-functional requirements. Functional requirements will refer to the specific tasks that the system must perform. These may include user login, role-based access, disease case data upload, data validation, disease trend visualization, forecast display, outbreak risk classification, map-based disease monitoring, early warning alert generation, report </w:t>
      </w:r>
      <w:r w:rsidRPr="003C1705">
        <w:lastRenderedPageBreak/>
        <w:t>generation, model version tracking, and controlled model update support. Non-functional requirements will refer to the quality attributes of the system. These may include usability, accessibility, responsiveness, reliability, maintainability, scalability, security, data privacy, interoperability, and audit logging.</w:t>
      </w:r>
    </w:p>
    <w:p w14:paraId="2ABD04F5" w14:textId="7B1C862B" w:rsidR="001F340B" w:rsidRPr="003C1705" w:rsidRDefault="00A73F00" w:rsidP="003C1705">
      <w:pPr>
        <w:pStyle w:val="ThesisBody"/>
      </w:pPr>
      <w:r w:rsidRPr="003C1705">
        <w:t xml:space="preserve">The output of this phase will be a system requirements specification document. This document will define the expected users, user roles, system functions, data requirements, dashboard requirements, reporting needs, access control rules, privacy requirements, model monitoring requirements, and technical constraints of the </w:t>
      </w:r>
      <w:proofErr w:type="spellStart"/>
      <w:r w:rsidR="003C1705">
        <w:t>HealthAlert</w:t>
      </w:r>
      <w:proofErr w:type="spellEnd"/>
      <w:r w:rsidRPr="003C1705">
        <w:t xml:space="preserve"> platform.</w:t>
      </w:r>
    </w:p>
    <w:p w14:paraId="3073FD6D" w14:textId="77777777" w:rsidR="001F340B" w:rsidRPr="003C1705" w:rsidRDefault="00A73F00" w:rsidP="003C1705">
      <w:pPr>
        <w:pStyle w:val="Heading4"/>
        <w:spacing w:line="480" w:lineRule="auto"/>
      </w:pPr>
      <w:r w:rsidRPr="003C1705">
        <w:t>System Design</w:t>
      </w:r>
    </w:p>
    <w:p w14:paraId="6CCE10F1" w14:textId="04E00437" w:rsidR="001F340B" w:rsidRPr="003C1705" w:rsidRDefault="00A73F00" w:rsidP="003C1705">
      <w:pPr>
        <w:pStyle w:val="ThesisBody"/>
      </w:pPr>
      <w:r w:rsidRPr="003C1705">
        <w:t xml:space="preserve">After completing the requirements analysis, the researchers will design the architecture, database structure, user interface, and system workflows of the </w:t>
      </w:r>
      <w:proofErr w:type="spellStart"/>
      <w:r w:rsidR="003C1705">
        <w:t>HealthAlert</w:t>
      </w:r>
      <w:proofErr w:type="spellEnd"/>
      <w:r w:rsidRPr="003C1705">
        <w:t xml:space="preserve"> platform. The system design phase will translate user needs and technical requirements into a feasible software architecture that can support disease surveillance, forecasting, dashboard visualization, map-based monitoring, alert generation, reporting, model monitoring, and public health decision support.</w:t>
      </w:r>
    </w:p>
    <w:p w14:paraId="386CDF4B" w14:textId="77777777" w:rsidR="001F340B" w:rsidRPr="003C1705" w:rsidRDefault="00A73F00" w:rsidP="003C1705">
      <w:pPr>
        <w:pStyle w:val="ThesisBody"/>
      </w:pPr>
      <w:r w:rsidRPr="003C1705">
        <w:t>The platform will be designed as a web-based system with four major layers: the application layer, backend and processing layer, analytics layer, and data layer. These layers will allow the system to separate user interaction, data processing, predictive analytics, and data storage while maintaining a clear workflow from data entry to decision-support output.</w:t>
      </w:r>
    </w:p>
    <w:p w14:paraId="43BF0FE5" w14:textId="77777777" w:rsidR="001F340B" w:rsidRPr="003C1705" w:rsidRDefault="00A73F00" w:rsidP="003C1705">
      <w:pPr>
        <w:pStyle w:val="ThesisBody"/>
      </w:pPr>
      <w:r w:rsidRPr="003C1705">
        <w:t xml:space="preserve">The application layer will provide the user-facing interface and may be developed using Next.js with TypeScript. </w:t>
      </w:r>
      <w:proofErr w:type="spellStart"/>
      <w:r w:rsidRPr="003C1705">
        <w:t>TailwindCSS</w:t>
      </w:r>
      <w:proofErr w:type="spellEnd"/>
      <w:r w:rsidRPr="003C1705">
        <w:t xml:space="preserve"> and </w:t>
      </w:r>
      <w:proofErr w:type="spellStart"/>
      <w:r w:rsidRPr="003C1705">
        <w:t>shadcn</w:t>
      </w:r>
      <w:proofErr w:type="spellEnd"/>
      <w:r w:rsidRPr="003C1705">
        <w:t>/</w:t>
      </w:r>
      <w:proofErr w:type="spellStart"/>
      <w:r w:rsidRPr="003C1705">
        <w:t>ui</w:t>
      </w:r>
      <w:proofErr w:type="spellEnd"/>
      <w:r w:rsidRPr="003C1705">
        <w:t xml:space="preserve"> may be used to create a clean, consistent, and responsive interface for public health users. This layer </w:t>
      </w:r>
      <w:r w:rsidRPr="003C1705">
        <w:lastRenderedPageBreak/>
        <w:t>will include the surveillance dashboard, data upload interface, disease filters, charts, maps, alert views, and report generation pages.</w:t>
      </w:r>
    </w:p>
    <w:p w14:paraId="13D1A141" w14:textId="77777777" w:rsidR="001F340B" w:rsidRPr="003C1705" w:rsidRDefault="00A73F00" w:rsidP="003C1705">
      <w:pPr>
        <w:pStyle w:val="ThesisBody"/>
      </w:pPr>
      <w:r w:rsidRPr="003C1705">
        <w:t xml:space="preserve">The backend and processing layer may be developed using </w:t>
      </w:r>
      <w:proofErr w:type="spellStart"/>
      <w:r w:rsidRPr="003C1705">
        <w:t>FastAPI</w:t>
      </w:r>
      <w:proofErr w:type="spellEnd"/>
      <w:r w:rsidRPr="003C1705">
        <w:t xml:space="preserve"> with Python. This layer will manage user requests, authentication, data validation, data preprocessing, feature generation, model inference, alert generation, report generation, audit logging, and communication between the frontend and the database. </w:t>
      </w:r>
      <w:proofErr w:type="spellStart"/>
      <w:r w:rsidRPr="003C1705">
        <w:t>FastAPI</w:t>
      </w:r>
      <w:proofErr w:type="spellEnd"/>
      <w:r w:rsidRPr="003C1705">
        <w:t xml:space="preserve"> is appropriate because the predictive models and preprocessing pipelines will also be developed in Python, allowing smoother integration between the analytics components and the deployed system.</w:t>
      </w:r>
    </w:p>
    <w:p w14:paraId="6C240504" w14:textId="77777777" w:rsidR="001F340B" w:rsidRPr="003C1705" w:rsidRDefault="00A73F00" w:rsidP="003C1705">
      <w:pPr>
        <w:pStyle w:val="ThesisBody"/>
      </w:pPr>
      <w:r w:rsidRPr="003C1705">
        <w:t xml:space="preserve">The analytics layer will contain the disease-specific forecasting and outbreak risk classification models developed during the model development phase. This layer will process validated surveillance data, generate required input features, run the appropriate disease-specific model, and produce forecast outputs or outbreak risk classifications. The selected forecasting models may include Moving Average, ARIMA or SARIMA, and Random Forest Regressor, while the outbreak risk classification models may include Logistic Regression, Random Forest Classifier, and </w:t>
      </w:r>
      <w:proofErr w:type="spellStart"/>
      <w:r w:rsidRPr="003C1705">
        <w:t>XGBoost</w:t>
      </w:r>
      <w:proofErr w:type="spellEnd"/>
      <w:r w:rsidRPr="003C1705">
        <w:t xml:space="preserve"> or </w:t>
      </w:r>
      <w:proofErr w:type="spellStart"/>
      <w:r w:rsidRPr="003C1705">
        <w:t>LightGBM</w:t>
      </w:r>
      <w:proofErr w:type="spellEnd"/>
      <w:r w:rsidRPr="003C1705">
        <w:t xml:space="preserve"> Classifier. The model outputs will be stored in the database and displayed through dashboards, maps, alerts, and reports.</w:t>
      </w:r>
    </w:p>
    <w:p w14:paraId="3CE15274" w14:textId="77777777" w:rsidR="001F340B" w:rsidRPr="003C1705" w:rsidRDefault="00A73F00" w:rsidP="003C1705">
      <w:pPr>
        <w:pStyle w:val="ThesisBody"/>
      </w:pPr>
      <w:r w:rsidRPr="003C1705">
        <w:t xml:space="preserve">The data layer will use PostgreSQL as the main database for storing disease surveillance records, environmental indicators, geographic data, forecast results, risk classifications, alert logs, user accounts, and system activity logs. </w:t>
      </w:r>
      <w:proofErr w:type="spellStart"/>
      <w:r w:rsidRPr="003C1705">
        <w:t>PostGIS</w:t>
      </w:r>
      <w:proofErr w:type="spellEnd"/>
      <w:r w:rsidRPr="003C1705">
        <w:t xml:space="preserve"> may be added to support geospatial queries and map-based disease visualization. Redis may be used only when needed for caching frequently accessed dashboard data, managing background tasks, or temporarily storing alert states when faster response time is required.</w:t>
      </w:r>
    </w:p>
    <w:p w14:paraId="2B250A7A" w14:textId="77777777" w:rsidR="001F340B" w:rsidRPr="003C1705" w:rsidRDefault="00A73F00" w:rsidP="003C1705">
      <w:pPr>
        <w:pStyle w:val="ThesisBody"/>
      </w:pPr>
      <w:r w:rsidRPr="003C1705">
        <w:lastRenderedPageBreak/>
        <w:t>The platform will also include security mechanisms such as user authentication, role-based access control, access restrictions, audit logs, database protection, and backup procedures. These controls are necessary because the platform may process health-related surveillance data and will be accessed by different user groups, including public health officials, disease surveillance personnel, healthcare providers, system administrators, and IT support staff.</w:t>
      </w:r>
    </w:p>
    <w:p w14:paraId="470FB819" w14:textId="77777777" w:rsidR="001F340B" w:rsidRPr="003C1705" w:rsidRDefault="00A73F00" w:rsidP="003C1705">
      <w:pPr>
        <w:pStyle w:val="ThesisBody"/>
      </w:pPr>
      <w:r w:rsidRPr="003C1705">
        <w:t>The system workflows will also be designed during this phase. These workflows will describe how users will upload or update disease data, how the system will validate records, how predictive models will process the data, how forecast results will be displayed, how alerts will be generated, how reports will be produced, and how model performance will be monitored over time. The researchers may prepare workflow diagrams, data flow diagrams, entity-relationship diagrams, use case diagrams, activity diagrams, deployment diagrams, and interface wireframes to guide development.</w:t>
      </w:r>
    </w:p>
    <w:p w14:paraId="41165F63" w14:textId="77777777" w:rsidR="001F340B" w:rsidRPr="003C1705" w:rsidRDefault="00A73F00" w:rsidP="003C1705">
      <w:pPr>
        <w:pStyle w:val="ThesisFigure"/>
        <w:spacing w:line="480" w:lineRule="auto"/>
      </w:pPr>
      <w:r w:rsidRPr="003C1705">
        <w:rPr>
          <w:noProof/>
        </w:rPr>
        <w:drawing>
          <wp:inline distT="114300" distB="114300" distL="114300" distR="114300" wp14:anchorId="02A3BFC0" wp14:editId="02A3BFC1">
            <wp:extent cx="5212080" cy="3297625"/>
            <wp:effectExtent l="0" t="0" r="0" b="0"/>
            <wp:docPr id="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5"/>
                    <a:srcRect t="5263"/>
                    <a:stretch>
                      <a:fillRect/>
                    </a:stretch>
                  </pic:blipFill>
                  <pic:spPr>
                    <a:xfrm>
                      <a:off x="0" y="0"/>
                      <a:ext cx="5212080" cy="3297625"/>
                    </a:xfrm>
                    <a:prstGeom prst="rect">
                      <a:avLst/>
                    </a:prstGeom>
                    <a:ln/>
                  </pic:spPr>
                </pic:pic>
              </a:graphicData>
            </a:graphic>
          </wp:inline>
        </w:drawing>
      </w:r>
    </w:p>
    <w:p w14:paraId="12563DAC" w14:textId="411D6241" w:rsidR="001F340B" w:rsidRPr="003C1705" w:rsidRDefault="00A73F00" w:rsidP="003C1705">
      <w:pPr>
        <w:pStyle w:val="ThesisCaption"/>
        <w:spacing w:line="480" w:lineRule="auto"/>
      </w:pPr>
      <w:r w:rsidRPr="003C1705">
        <w:t xml:space="preserve">Figure 4. Proposed System Design Workflow of the </w:t>
      </w:r>
      <w:proofErr w:type="spellStart"/>
      <w:r w:rsidR="003C1705">
        <w:t>HealthAlert</w:t>
      </w:r>
      <w:proofErr w:type="spellEnd"/>
      <w:r w:rsidRPr="003C1705">
        <w:t xml:space="preserve"> Platform</w:t>
      </w:r>
    </w:p>
    <w:p w14:paraId="1188A7C2" w14:textId="39B93CE0" w:rsidR="001F340B" w:rsidRPr="003C1705" w:rsidRDefault="00A73F00" w:rsidP="003C1705">
      <w:pPr>
        <w:pStyle w:val="ThesisBody"/>
      </w:pPr>
      <w:r w:rsidRPr="003C1705">
        <w:lastRenderedPageBreak/>
        <w:t xml:space="preserve">Figure 4 presents the proposed system design workflow of the </w:t>
      </w:r>
      <w:proofErr w:type="spellStart"/>
      <w:r w:rsidR="003C1705">
        <w:t>HealthAlert</w:t>
      </w:r>
      <w:proofErr w:type="spellEnd"/>
      <w:r w:rsidRPr="003C1705">
        <w:t xml:space="preserve"> platform. The workflow shows how authorized users and approved data sources will interact with the system, beginning with disease data upload or data entry through the application layer. The frontend will provide the user-facing interface for dashboards, maps, alerts, reports, and disease filters, while the backend will handle authentication, data validation, preprocessing, feature generation, and communication with the database.</w:t>
      </w:r>
    </w:p>
    <w:p w14:paraId="429880C3" w14:textId="3847D6DE" w:rsidR="001F340B" w:rsidRPr="003C1705" w:rsidRDefault="00A73F00" w:rsidP="003C1705">
      <w:pPr>
        <w:pStyle w:val="ThesisBody"/>
      </w:pPr>
      <w:r w:rsidRPr="003C1705">
        <w:t xml:space="preserve">The platform will be designed to support staged data integration. For the initial prototype, the system may allow authorized users to upload CSV or Excel files exported from existing surveillance or health monitoring systems. This approach is feasible because it does not require immediate direct connection to institutional databases. If technical access, data-sharing agreements, cybersecurity requirements, and institutional approval are granted, the platform may later support scheduled data import or API-based integration with existing DOH or local health information systems. This staged approach allows </w:t>
      </w:r>
      <w:proofErr w:type="spellStart"/>
      <w:r w:rsidR="003C1705">
        <w:t>HealthAlert</w:t>
      </w:r>
      <w:proofErr w:type="spellEnd"/>
      <w:r w:rsidRPr="003C1705">
        <w:t xml:space="preserve"> to be implemented within the project period while keeping future interoperability possible.</w:t>
      </w:r>
    </w:p>
    <w:p w14:paraId="6F909706" w14:textId="77777777" w:rsidR="001F340B" w:rsidRPr="003C1705" w:rsidRDefault="00A73F00" w:rsidP="003C1705">
      <w:pPr>
        <w:pStyle w:val="ThesisBody"/>
      </w:pPr>
      <w:r w:rsidRPr="003C1705">
        <w:t xml:space="preserve">Validated surveillance, environmental, and geographic data will be stored in the system database using PostgreSQL, with </w:t>
      </w:r>
      <w:proofErr w:type="spellStart"/>
      <w:r w:rsidRPr="003C1705">
        <w:t>PostGIS</w:t>
      </w:r>
      <w:proofErr w:type="spellEnd"/>
      <w:r w:rsidRPr="003C1705">
        <w:t xml:space="preserve"> added when geospatial storage and map-based disease monitoring are required. The analytics layer will process the validated data and generate disease forecasts and outbreak risk classifications using the selected disease-specific models. The resulting outputs will be displayed through the surveillance dashboard, geospatial maps, alert indicators, and downloadable reports.</w:t>
      </w:r>
    </w:p>
    <w:p w14:paraId="18FEA762" w14:textId="77777777" w:rsidR="001F340B" w:rsidRPr="003C1705" w:rsidRDefault="00A73F00" w:rsidP="003C1705">
      <w:pPr>
        <w:pStyle w:val="ThesisBody"/>
      </w:pPr>
      <w:r w:rsidRPr="003C1705">
        <w:t xml:space="preserve">The workflow also includes model monitoring and retraining readiness checking. This means that the platform may track model performance over time and determine whether retraining is advisable when sufficient validated data are available, </w:t>
      </w:r>
      <w:r w:rsidRPr="003C1705">
        <w:lastRenderedPageBreak/>
        <w:t>when forecasting performance begins to decline, or when disease patterns appear to change. This design keeps the system technically feasible while supporting future improvement, traceability, and responsible public health decision support.</w:t>
      </w:r>
    </w:p>
    <w:p w14:paraId="7C682B25" w14:textId="342736B3" w:rsidR="001F340B" w:rsidRPr="003C1705" w:rsidRDefault="00A73F00" w:rsidP="003C1705">
      <w:pPr>
        <w:pStyle w:val="ThesisBody"/>
      </w:pPr>
      <w:r w:rsidRPr="003C1705">
        <w:t xml:space="preserve">The platform will be designed to support staged data integration. For the initial prototype, the system may allow authorized users to upload CSV or Excel files exported from existing surveillance or health monitoring systems. This approach is feasible because it does not require immediate direct connection to institutional databases. If technical access, data-sharing agreements, and institutional approval are granted, the platform may later support scheduled data import or API-based integration with existing DOH or local health information systems. This staged approach allows </w:t>
      </w:r>
      <w:proofErr w:type="spellStart"/>
      <w:r w:rsidR="003C1705">
        <w:t>HealthAlert</w:t>
      </w:r>
      <w:proofErr w:type="spellEnd"/>
      <w:r w:rsidRPr="003C1705">
        <w:t xml:space="preserve"> to be implemented within the project period while keeping future interoperability possible.</w:t>
      </w:r>
    </w:p>
    <w:p w14:paraId="434C34C2" w14:textId="77777777" w:rsidR="001F340B" w:rsidRPr="003C1705" w:rsidRDefault="00A73F00" w:rsidP="003C1705">
      <w:pPr>
        <w:pStyle w:val="Heading4"/>
        <w:spacing w:line="480" w:lineRule="auto"/>
      </w:pPr>
      <w:r w:rsidRPr="003C1705">
        <w:t>Platform Development</w:t>
      </w:r>
    </w:p>
    <w:p w14:paraId="5D90DC4D" w14:textId="0968739D" w:rsidR="001F340B" w:rsidRPr="003C1705" w:rsidRDefault="00A73F00" w:rsidP="003C1705">
      <w:pPr>
        <w:pStyle w:val="ThesisBody"/>
      </w:pPr>
      <w:r w:rsidRPr="003C1705">
        <w:t xml:space="preserve">The </w:t>
      </w:r>
      <w:proofErr w:type="spellStart"/>
      <w:r w:rsidR="003C1705">
        <w:t>HealthAlert</w:t>
      </w:r>
      <w:proofErr w:type="spellEnd"/>
      <w:r w:rsidRPr="003C1705">
        <w:t xml:space="preserve"> platform will be developed using an iterative prototyping approach. Under this approach, the system will be built, tested, reviewed, and refined based on technical evaluation and user feedback. This approach is appropriate because public health users may need to interact with early versions of the platform before they can provide specific and practical feedback on its usability, functions, and relevance to disease surveillance workflows.</w:t>
      </w:r>
    </w:p>
    <w:p w14:paraId="19607068" w14:textId="77777777" w:rsidR="001F340B" w:rsidRPr="003C1705" w:rsidRDefault="00A73F00" w:rsidP="003C1705">
      <w:pPr>
        <w:pStyle w:val="ThesisBody"/>
      </w:pPr>
      <w:r w:rsidRPr="003C1705">
        <w:t xml:space="preserve">The platform will first prioritize the core functions needed for a working surveillance prototype. These include user login, role-based access, disease data upload, data validation, dataset viewing, dashboard visualization, map display, model inference, alert generation, report generation, system logs, and model version tracking. The frontend may be developed using Next.js, TypeScript, </w:t>
      </w:r>
      <w:proofErr w:type="spellStart"/>
      <w:r w:rsidRPr="003C1705">
        <w:t>TailwindCSS</w:t>
      </w:r>
      <w:proofErr w:type="spellEnd"/>
      <w:r w:rsidRPr="003C1705">
        <w:t xml:space="preserve">, and </w:t>
      </w:r>
      <w:proofErr w:type="spellStart"/>
      <w:r w:rsidRPr="003C1705">
        <w:lastRenderedPageBreak/>
        <w:t>shadcn</w:t>
      </w:r>
      <w:proofErr w:type="spellEnd"/>
      <w:r w:rsidRPr="003C1705">
        <w:t>/</w:t>
      </w:r>
      <w:proofErr w:type="spellStart"/>
      <w:r w:rsidRPr="003C1705">
        <w:t>ui</w:t>
      </w:r>
      <w:proofErr w:type="spellEnd"/>
      <w:r w:rsidRPr="003C1705">
        <w:t xml:space="preserve">, while the backend services may be implemented using </w:t>
      </w:r>
      <w:proofErr w:type="spellStart"/>
      <w:r w:rsidRPr="003C1705">
        <w:t>FastAPI</w:t>
      </w:r>
      <w:proofErr w:type="spellEnd"/>
      <w:r w:rsidRPr="003C1705">
        <w:t xml:space="preserve"> with Python. PostgreSQL will serve as the main database, with </w:t>
      </w:r>
      <w:proofErr w:type="spellStart"/>
      <w:r w:rsidRPr="003C1705">
        <w:t>PostGIS</w:t>
      </w:r>
      <w:proofErr w:type="spellEnd"/>
      <w:r w:rsidRPr="003C1705">
        <w:t xml:space="preserve"> used for geospatial data if map-based monitoring is included.</w:t>
      </w:r>
    </w:p>
    <w:p w14:paraId="23C517FB" w14:textId="77777777" w:rsidR="001F340B" w:rsidRPr="003C1705" w:rsidRDefault="00A73F00" w:rsidP="003C1705">
      <w:pPr>
        <w:pStyle w:val="ThesisBody"/>
      </w:pPr>
      <w:r w:rsidRPr="003C1705">
        <w:t>The platform will include core data management functions to support the secure handling of disease surveillance data. Authorized users may upload CSV or Excel files containing disease surveillance records, while manual data entry may be provided if required by the participating agencies. The backend will validate uploaded data by checking for missing values, incorrect formats, duplicate entries, invalid dates, incomplete location fields, and reporting inconsistencies. Validated data will be stored in PostgreSQL and made available for dashboard display, model inference, alerts, reports, and model monitoring.</w:t>
      </w:r>
    </w:p>
    <w:p w14:paraId="5B35B5A0" w14:textId="77777777" w:rsidR="001F340B" w:rsidRPr="003C1705" w:rsidRDefault="00A73F00" w:rsidP="003C1705">
      <w:pPr>
        <w:pStyle w:val="ThesisBody"/>
      </w:pPr>
      <w:r w:rsidRPr="003C1705">
        <w:t xml:space="preserve">The surveillance dashboard will present current and historical disease data in a clear and usable format. It may display disease case counts, weekly or monthly trends, disease-specific filters, municipality-level comparisons, incidence rates, and summaries by location and reporting period. Recharts or </w:t>
      </w:r>
      <w:proofErr w:type="spellStart"/>
      <w:r w:rsidRPr="003C1705">
        <w:t>ECharts</w:t>
      </w:r>
      <w:proofErr w:type="spellEnd"/>
      <w:r w:rsidRPr="003C1705">
        <w:t xml:space="preserve"> may be used for trend charts, forecast plots, and summary indicators. The dashboard will be designed to help users interpret disease activity rather than simply view raw data.</w:t>
      </w:r>
    </w:p>
    <w:p w14:paraId="368592DE" w14:textId="77777777" w:rsidR="001F340B" w:rsidRPr="003C1705" w:rsidRDefault="00A73F00" w:rsidP="003C1705">
      <w:pPr>
        <w:pStyle w:val="ThesisBody"/>
      </w:pPr>
      <w:r w:rsidRPr="003C1705">
        <w:t>The platform will also include geospatial visualization functions to support location-based disease monitoring. Leaflet may be used to display municipality-level or barangay-level maps, incidence maps, risk maps, and color-coded alert areas. These visualizations will help users identify locations with increasing disease activity, recurring high-risk patterns, or possible outbreak-prone communities.</w:t>
      </w:r>
    </w:p>
    <w:p w14:paraId="3D601D06" w14:textId="77777777" w:rsidR="001F340B" w:rsidRPr="003C1705" w:rsidRDefault="00A73F00" w:rsidP="003C1705">
      <w:pPr>
        <w:pStyle w:val="ThesisBody"/>
      </w:pPr>
      <w:r w:rsidRPr="003C1705">
        <w:t xml:space="preserve">The predictive analytics and forecasting functions will allow the platform to display model-generated forecasts and outbreak risk estimates. Forecast outputs may include predicted case counts, forecast horizon, risk level, date of prediction, model </w:t>
      </w:r>
      <w:r w:rsidRPr="003C1705">
        <w:lastRenderedPageBreak/>
        <w:t>used, and model version. These outputs will be presented through charts, tables, maps, and risk indicators so that public health personnel can interpret the results more easily.</w:t>
      </w:r>
    </w:p>
    <w:p w14:paraId="2B4648DF" w14:textId="77777777" w:rsidR="001F340B" w:rsidRPr="003C1705" w:rsidRDefault="00A73F00" w:rsidP="003C1705">
      <w:pPr>
        <w:pStyle w:val="ThesisBody"/>
      </w:pPr>
      <w:r w:rsidRPr="003C1705">
        <w:t>The early warning and alert generation functions will notify users when observed or predicted disease activity exceeds a defined threshold. Alerts may be based on increasing disease trends, forecasted case increases, high-risk municipality classification, data anomalies, or environmental risk indicators. Alert levels may be categorized as low, moderate, high, and critical. Each alert will include relevant information such as disease type, affected location, reporting period, trigger condition, model output, and recommended attention level.</w:t>
      </w:r>
    </w:p>
    <w:p w14:paraId="426656BF" w14:textId="77777777" w:rsidR="001F340B" w:rsidRPr="003C1705" w:rsidRDefault="00A73F00" w:rsidP="003C1705">
      <w:pPr>
        <w:pStyle w:val="ThesisBody"/>
      </w:pPr>
      <w:r w:rsidRPr="003C1705">
        <w:t>The platform will also include reporting and system administration functions. The reporting module may allow users to generate disease trend summaries, forecast summaries, municipality-level risk reports, alert history reports, and downloadable PDF or Excel outputs. The system administration module will support user account management, access control, data source management, model version tracking, system logs, backup management, and monitoring of model update recommendations. Docker may be used to support deployment and portability across local, institutional, or cloud-based environments.</w:t>
      </w:r>
    </w:p>
    <w:p w14:paraId="6B1ABF04" w14:textId="77777777" w:rsidR="001F340B" w:rsidRPr="003C1705" w:rsidRDefault="00A73F00" w:rsidP="003C1705">
      <w:pPr>
        <w:pStyle w:val="ThesisBody"/>
      </w:pPr>
      <w:r w:rsidRPr="003C1705">
        <w:t>The data upload module will support structured CSV or Excel files from authorized surveillance records and may later be extended to support scheduled import or API-based data exchange with approved health information systems.</w:t>
      </w:r>
    </w:p>
    <w:p w14:paraId="7C1EF04A" w14:textId="77777777" w:rsidR="001F340B" w:rsidRPr="003C1705" w:rsidRDefault="00A73F00" w:rsidP="003C1705">
      <w:pPr>
        <w:pStyle w:val="Heading4"/>
        <w:spacing w:line="480" w:lineRule="auto"/>
      </w:pPr>
      <w:r w:rsidRPr="003C1705">
        <w:t>Integration of Predictive and Forecasting Models</w:t>
      </w:r>
    </w:p>
    <w:p w14:paraId="49F54031" w14:textId="22D20728" w:rsidR="001F340B" w:rsidRPr="003C1705" w:rsidRDefault="00A73F00" w:rsidP="003C1705">
      <w:pPr>
        <w:pStyle w:val="ThesisBody"/>
      </w:pPr>
      <w:r w:rsidRPr="003C1705">
        <w:t xml:space="preserve">The machine learning-based predictive and forecasting models developed in the model development phase will be integrated into the </w:t>
      </w:r>
      <w:proofErr w:type="spellStart"/>
      <w:r w:rsidR="003C1705">
        <w:t>HealthAlert</w:t>
      </w:r>
      <w:proofErr w:type="spellEnd"/>
      <w:r w:rsidRPr="003C1705">
        <w:t xml:space="preserve"> platform through a Python-based model inference pipeline. The purpose of this integration is to transform </w:t>
      </w:r>
      <w:r w:rsidRPr="003C1705">
        <w:lastRenderedPageBreak/>
        <w:t>the models from standalone analytical outputs into usable decision-support components within the surveillance platform.</w:t>
      </w:r>
    </w:p>
    <w:p w14:paraId="60AC74A3" w14:textId="77777777" w:rsidR="001F340B" w:rsidRPr="003C1705" w:rsidRDefault="00A73F00" w:rsidP="003C1705">
      <w:pPr>
        <w:pStyle w:val="ThesisBody"/>
      </w:pPr>
      <w:r w:rsidRPr="003C1705">
        <w:t xml:space="preserve">The model integration process will begin by preparing the selected disease-specific models for deployment. The best-performing and most operationally suitable models will be saved, documented, and versioned using appropriate model storage formats such as Pickle, </w:t>
      </w:r>
      <w:proofErr w:type="spellStart"/>
      <w:r w:rsidRPr="003C1705">
        <w:t>Joblib</w:t>
      </w:r>
      <w:proofErr w:type="spellEnd"/>
      <w:r w:rsidRPr="003C1705">
        <w:t>, or an equivalent model registry approach. Each model package will include the trained model, required input features, preprocessing steps, prediction outputs, alert thresholds, model version, training data coverage, evaluation results, and known limitations.</w:t>
      </w:r>
    </w:p>
    <w:p w14:paraId="53036D13" w14:textId="77777777" w:rsidR="001F340B" w:rsidRPr="003C1705" w:rsidRDefault="00A73F00" w:rsidP="003C1705">
      <w:pPr>
        <w:pStyle w:val="ThesisBody"/>
      </w:pPr>
      <w:r w:rsidRPr="003C1705">
        <w:t xml:space="preserve">The backend will use </w:t>
      </w:r>
      <w:proofErr w:type="spellStart"/>
      <w:r w:rsidRPr="003C1705">
        <w:t>FastAPI</w:t>
      </w:r>
      <w:proofErr w:type="spellEnd"/>
      <w:r w:rsidRPr="003C1705">
        <w:t xml:space="preserve"> to expose model inference functions to the platform. When authorized users upload or update disease surveillance data, the system will validate and preprocess the records, generate the required input features, and send the prepared data to the appropriate disease-specific model. The model will then generate disease forecasts or outbreak risk classifications. These outputs will be stored in PostgreSQL and displayed through dashboards, maps, tables, and alert indicators.</w:t>
      </w:r>
    </w:p>
    <w:p w14:paraId="457C6644" w14:textId="77777777" w:rsidR="001F340B" w:rsidRPr="003C1705" w:rsidRDefault="00A73F00" w:rsidP="003C1705">
      <w:pPr>
        <w:pStyle w:val="ThesisBody"/>
      </w:pPr>
      <w:r w:rsidRPr="003C1705">
        <w:t>For feasibility, the initial implementation will use scheduled or event-triggered model inference rather than continuous real-time streaming. This means that the system may generate forecasts when new validated data are uploaded or at scheduled intervals, such as daily, weekly, or monthly, depending on the reporting practice of participating agencies. This approach is more realistic for a two-year applied research project because public health surveillance data are often submitted periodically and may require validation before use.</w:t>
      </w:r>
    </w:p>
    <w:p w14:paraId="506C1BEA" w14:textId="77777777" w:rsidR="001F340B" w:rsidRPr="003C1705" w:rsidRDefault="00A73F00" w:rsidP="003C1705">
      <w:pPr>
        <w:pStyle w:val="ThesisBody"/>
      </w:pPr>
      <w:r w:rsidRPr="003C1705">
        <w:t xml:space="preserve">To support controlled continuous learning, the platform may include a model monitoring and retraining decision function. This function will check whether model retraining is advisable based on the amount of new validated data, data completeness, </w:t>
      </w:r>
      <w:r w:rsidRPr="003C1705">
        <w:lastRenderedPageBreak/>
        <w:t>data quality, recent prediction errors, forecast reliability, classification performance, alert reliability, and possible changes in disease patterns. However, the system will not automatically replace deployed models without review. If the new data are insufficient, incomplete, or unstable, the current deployed model will remain in use. If performance decline, drift indicators, or sufficient validated data are detected, the system may recommend retraining for researcher or administrator review.</w:t>
      </w:r>
    </w:p>
    <w:p w14:paraId="5E77B859" w14:textId="77777777" w:rsidR="001F340B" w:rsidRPr="003C1705" w:rsidRDefault="00A73F00" w:rsidP="003C1705">
      <w:pPr>
        <w:pStyle w:val="ThesisBody"/>
      </w:pPr>
      <w:r w:rsidRPr="003C1705">
        <w:t>When retraining is recommended, the updated model will be trained, validated, and compared with the currently deployed model before replacement. Only models that show acceptable or improved performance will be deployed in the platform. Previous model versions, training dates, data coverage, evaluation results, and deployment decisions will be documented to support transparency, traceability, and future auditing.</w:t>
      </w:r>
    </w:p>
    <w:p w14:paraId="31E80E17" w14:textId="77777777" w:rsidR="001F340B" w:rsidRPr="003C1705" w:rsidRDefault="00A73F00" w:rsidP="003C1705">
      <w:pPr>
        <w:pStyle w:val="ThesisBody"/>
      </w:pPr>
      <w:r w:rsidRPr="003C1705">
        <w:t xml:space="preserve">Although the initial implementation will focus on dengue fever, </w:t>
      </w:r>
      <w:r w:rsidR="000D5C78" w:rsidRPr="003C1705">
        <w:t>measles</w:t>
      </w:r>
      <w:r w:rsidRPr="003C1705">
        <w:t>, and influenza-like illnesses, the system may be designed with a disease-extensible model registry. This registry will allow future disease models to be added by defining the disease profile, required data fields, feature pipeline, trained model, thresholds, and dashboard settings. This design will allow additional disease models to be integrated in future deployments without changing the entire platform architecture.</w:t>
      </w:r>
    </w:p>
    <w:p w14:paraId="2E716771" w14:textId="56592745" w:rsidR="001F340B" w:rsidRPr="003C1705" w:rsidRDefault="000B0704" w:rsidP="003C1705">
      <w:pPr>
        <w:pStyle w:val="Heading3"/>
        <w:spacing w:line="480" w:lineRule="auto"/>
      </w:pPr>
      <w:r w:rsidRPr="003C1705">
        <w:t xml:space="preserve">Study 3: Pilot Implementation and Validation of the </w:t>
      </w:r>
      <w:proofErr w:type="spellStart"/>
      <w:r w:rsidR="003C1705">
        <w:t>HealthAlert</w:t>
      </w:r>
      <w:proofErr w:type="spellEnd"/>
      <w:r w:rsidRPr="003C1705">
        <w:t xml:space="preserve"> Platform</w:t>
      </w:r>
    </w:p>
    <w:p w14:paraId="4F9A20C8" w14:textId="19DA2CB7" w:rsidR="001F340B" w:rsidRPr="003C1705" w:rsidRDefault="00A73F00" w:rsidP="003C1705">
      <w:pPr>
        <w:pStyle w:val="ThesisBody"/>
      </w:pPr>
      <w:r w:rsidRPr="003C1705">
        <w:t xml:space="preserve">This part of the project will focus on the pilot implementation, validation, and field evaluation of the </w:t>
      </w:r>
      <w:proofErr w:type="spellStart"/>
      <w:r w:rsidR="003C1705">
        <w:t>HealthAlert</w:t>
      </w:r>
      <w:proofErr w:type="spellEnd"/>
      <w:r w:rsidRPr="003C1705">
        <w:t xml:space="preserve"> platform in selected public health and healthcare settings in Region I. The purpose of the pilot implementation is to determine whether the platform can operate under realistic surveillance conditions and whether it can support disease monitoring, forecasting, early warning generation, and public health decision-making for dengue fever, </w:t>
      </w:r>
      <w:r w:rsidR="000D5C78" w:rsidRPr="003C1705">
        <w:t>measles</w:t>
      </w:r>
      <w:r w:rsidRPr="003C1705">
        <w:t>, and influenza-like illnesses.</w:t>
      </w:r>
    </w:p>
    <w:p w14:paraId="66E8847A" w14:textId="77777777" w:rsidR="001F340B" w:rsidRPr="003C1705" w:rsidRDefault="00A73F00" w:rsidP="003C1705">
      <w:pPr>
        <w:pStyle w:val="ThesisBody"/>
      </w:pPr>
      <w:r w:rsidRPr="003C1705">
        <w:lastRenderedPageBreak/>
        <w:t>The methodology will include institutional coordination, site selection, system deployment, user training, pilot use, predictive model validation, platform effectiveness evaluation, usability and acceptability assessment, documentation of implementation concerns, and formulation of recommendations for improvement and future scaling. The pilot sites may include the Department of Health–Center for Health Development Region I, provincial health offices, municipal health offices, selected public hospitals, and local epidemiology or disease surveillance units. Site selection will consider data availability, willingness to participate, institutional approval, technical readiness, internet connectivity, and relevance to the monitoring of the target diseases.</w:t>
      </w:r>
    </w:p>
    <w:p w14:paraId="012F24C6" w14:textId="77777777" w:rsidR="001F340B" w:rsidRPr="003C1705" w:rsidRDefault="00A73F00" w:rsidP="003C1705">
      <w:pPr>
        <w:pStyle w:val="ThesisFigure"/>
        <w:spacing w:line="480" w:lineRule="auto"/>
      </w:pPr>
      <w:r w:rsidRPr="003C1705">
        <w:rPr>
          <w:b/>
          <w:bCs/>
          <w:noProof/>
        </w:rPr>
        <w:drawing>
          <wp:inline distT="114300" distB="114300" distL="114300" distR="114300" wp14:anchorId="02A3BFC2" wp14:editId="02A3BFC3">
            <wp:extent cx="5212080" cy="3010836"/>
            <wp:effectExtent l="0" t="0" r="0" b="0"/>
            <wp:docPr id="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6"/>
                    <a:srcRect t="11090" b="7279"/>
                    <a:stretch>
                      <a:fillRect/>
                    </a:stretch>
                  </pic:blipFill>
                  <pic:spPr>
                    <a:xfrm>
                      <a:off x="0" y="0"/>
                      <a:ext cx="5212080" cy="3010836"/>
                    </a:xfrm>
                    <a:prstGeom prst="rect">
                      <a:avLst/>
                    </a:prstGeom>
                    <a:ln/>
                  </pic:spPr>
                </pic:pic>
              </a:graphicData>
            </a:graphic>
          </wp:inline>
        </w:drawing>
      </w:r>
    </w:p>
    <w:p w14:paraId="08A27B5A" w14:textId="77777777" w:rsidR="001F340B" w:rsidRPr="003C1705" w:rsidRDefault="00A73F00" w:rsidP="003C1705">
      <w:pPr>
        <w:pStyle w:val="ThesisCaption"/>
        <w:spacing w:line="480" w:lineRule="auto"/>
      </w:pPr>
      <w:r w:rsidRPr="003C1705">
        <w:t>Figure 5: Pilot Implementation Framework</w:t>
      </w:r>
    </w:p>
    <w:p w14:paraId="5C62E0BF" w14:textId="22A57AF8" w:rsidR="001F340B" w:rsidRPr="003C1705" w:rsidRDefault="00A73F00" w:rsidP="003C1705">
      <w:pPr>
        <w:pStyle w:val="ThesisBody"/>
      </w:pPr>
      <w:r w:rsidRPr="003C1705">
        <w:t xml:space="preserve">Figure 5 presents the methodological framework for the pilot implementation and validation of </w:t>
      </w:r>
      <w:proofErr w:type="spellStart"/>
      <w:r w:rsidR="003C1705">
        <w:t>HealthAlert</w:t>
      </w:r>
      <w:proofErr w:type="spellEnd"/>
      <w:r w:rsidRPr="003C1705">
        <w:t xml:space="preserve">. The framework begins with pilot preparation and site selection, followed by system deployment and user training. After deployment, participating users will use the platform to upload or review surveillance data, monitor disease trends, view forecasts, check alerts, interpret risk maps, and generate reports. </w:t>
      </w:r>
      <w:r w:rsidRPr="003C1705">
        <w:lastRenderedPageBreak/>
        <w:t>The system will then be evaluated in terms of predictive model performance, platform effectiveness, usability, acceptability, user satisfaction, and operational feasibility. The findings will be analyzed to identify needed refinements and to develop recommendations for future scaling and possible integration into public health surveillance workflows.</w:t>
      </w:r>
    </w:p>
    <w:p w14:paraId="5854D571" w14:textId="77777777" w:rsidR="001F340B" w:rsidRPr="003C1705" w:rsidRDefault="00A73F00" w:rsidP="003C1705">
      <w:pPr>
        <w:pStyle w:val="Heading4"/>
        <w:spacing w:line="480" w:lineRule="auto"/>
      </w:pPr>
      <w:r w:rsidRPr="003C1705">
        <w:t>Pilot Implementation Sites and Participants</w:t>
      </w:r>
    </w:p>
    <w:p w14:paraId="498D2E4F" w14:textId="77777777" w:rsidR="001F340B" w:rsidRPr="003C1705" w:rsidRDefault="00A73F00" w:rsidP="003C1705">
      <w:pPr>
        <w:pStyle w:val="ThesisBody"/>
      </w:pPr>
      <w:r w:rsidRPr="003C1705">
        <w:t>The pilot implementation will be conducted in selected institutions involved in disease surveillance, health data reporting, outbreak monitoring, or public health decision-making in Region I. These may include the Department of Health–Center for Health Development Region I, provincial health offices, municipal health offices, selected public hospitals, and local epidemiology or disease surveillance units.</w:t>
      </w:r>
    </w:p>
    <w:p w14:paraId="483679DF" w14:textId="77777777" w:rsidR="001F340B" w:rsidRPr="003C1705" w:rsidRDefault="00A73F00" w:rsidP="003C1705">
      <w:pPr>
        <w:pStyle w:val="ThesisBody"/>
      </w:pPr>
      <w:r w:rsidRPr="003C1705">
        <w:t xml:space="preserve">The final pilot sites will be selected based on operational and institutional criteria. These will include the availability of relevant surveillance data, participation in dengue fever, </w:t>
      </w:r>
      <w:r w:rsidR="000D5C78" w:rsidRPr="003C1705">
        <w:t>measles</w:t>
      </w:r>
      <w:r w:rsidRPr="003C1705">
        <w:t>, and influenza-like illness monitoring, administrative approval, willingness to participate, availability of personnel who can use the platform, internet connectivity, and basic technical readiness. This selection process will help ensure that the platform is tested in settings where it can be meaningfully used and evaluated.</w:t>
      </w:r>
    </w:p>
    <w:p w14:paraId="6CEE2C70" w14:textId="77777777" w:rsidR="001F340B" w:rsidRPr="003C1705" w:rsidRDefault="00A73F00" w:rsidP="003C1705">
      <w:pPr>
        <w:pStyle w:val="ThesisBody"/>
      </w:pPr>
      <w:r w:rsidRPr="003C1705">
        <w:t xml:space="preserve">The participants may include disease surveillance officers, epidemiology staff, municipal health officers, provincial health personnel, public health nurses, hospital reporting personnel, DOH regional staff, health program coordinators, IT support staff, and public health decision-makers. A purposive sampling technique will be used because the evaluation requires participants who are directly involved in surveillance, reporting, monitoring, technical support, or decision-making. These participants are </w:t>
      </w:r>
      <w:r w:rsidRPr="003C1705">
        <w:lastRenderedPageBreak/>
        <w:t>expected to provide informed feedback on the usefulness, usability, acceptability, and operational feasibility of the platform.</w:t>
      </w:r>
    </w:p>
    <w:p w14:paraId="082BA905" w14:textId="77777777" w:rsidR="001F340B" w:rsidRPr="003C1705" w:rsidRDefault="00A73F00" w:rsidP="003C1705">
      <w:pPr>
        <w:pStyle w:val="Heading4"/>
        <w:spacing w:line="480" w:lineRule="auto"/>
      </w:pPr>
      <w:r w:rsidRPr="003C1705">
        <w:t>Institutional Coordination and Pilot Preparation</w:t>
      </w:r>
    </w:p>
    <w:p w14:paraId="0DFFE0B0" w14:textId="77777777" w:rsidR="001F340B" w:rsidRPr="003C1705" w:rsidRDefault="00A73F00" w:rsidP="003C1705">
      <w:pPr>
        <w:pStyle w:val="ThesisBody"/>
      </w:pPr>
      <w:r w:rsidRPr="003C1705">
        <w:t>Before deployment, the researchers will coordinate with participating agencies and institutions to finalize the operational requirements of the pilot implementation. This will include securing institutional permissions, confirming pilot sites, identifying authorized users, defining user roles, arranging data-sharing procedures, and setting the implementation schedule.</w:t>
      </w:r>
    </w:p>
    <w:p w14:paraId="2C5B786F" w14:textId="77777777" w:rsidR="001F340B" w:rsidRPr="003C1705" w:rsidRDefault="00A73F00" w:rsidP="003C1705">
      <w:pPr>
        <w:pStyle w:val="ThesisBody"/>
      </w:pPr>
      <w:r w:rsidRPr="003C1705">
        <w:t>The researchers will also address the ethical and administrative requirements of the pilot. These may include ethics clearance, data-sharing agreements, confidentiality agreements, designation of authorized system users, and clarification of data privacy responsibilities. Since the platform may process health-related surveillance data, all data access and system use will follow approved protocols, institutional requirements, and relevant data protection policies.</w:t>
      </w:r>
    </w:p>
    <w:p w14:paraId="4C281284" w14:textId="77777777" w:rsidR="001F340B" w:rsidRPr="003C1705" w:rsidRDefault="00A73F00" w:rsidP="003C1705">
      <w:pPr>
        <w:pStyle w:val="ThesisBody"/>
      </w:pPr>
      <w:r w:rsidRPr="003C1705">
        <w:t>Technical readiness will also be assessed before deployment. This may include checking internet connectivity, available computers or devices, user access requirements, preferred deployment arrangement, and availability of institutional IT support. These preparatory activities will help reduce implementation problems and ensure that the pilot is conducted under realistic but manageable conditions.</w:t>
      </w:r>
    </w:p>
    <w:p w14:paraId="385B23C7" w14:textId="77777777" w:rsidR="001F340B" w:rsidRPr="003C1705" w:rsidRDefault="00A73F00" w:rsidP="003C1705">
      <w:pPr>
        <w:pStyle w:val="Heading4"/>
        <w:spacing w:line="480" w:lineRule="auto"/>
      </w:pPr>
      <w:r w:rsidRPr="003C1705">
        <w:t>System Deployment</w:t>
      </w:r>
    </w:p>
    <w:p w14:paraId="1B784A42" w14:textId="48DBBC66" w:rsidR="001F340B" w:rsidRPr="003C1705" w:rsidRDefault="00A73F00" w:rsidP="003C1705">
      <w:pPr>
        <w:pStyle w:val="ThesisBody"/>
      </w:pPr>
      <w:r w:rsidRPr="003C1705">
        <w:t xml:space="preserve">The </w:t>
      </w:r>
      <w:proofErr w:type="spellStart"/>
      <w:r w:rsidR="003C1705">
        <w:t>HealthAlert</w:t>
      </w:r>
      <w:proofErr w:type="spellEnd"/>
      <w:r w:rsidRPr="003C1705">
        <w:t xml:space="preserve"> prototype will be deployed in a secure and controlled implementation environment. Depending on the technical capacity and requirements of the participating agencies, the platform may be deployed through a secure local server, institutional server, or cloud-hosted prototype.</w:t>
      </w:r>
    </w:p>
    <w:p w14:paraId="70C58BF5" w14:textId="77777777" w:rsidR="001F340B" w:rsidRPr="003C1705" w:rsidRDefault="00A73F00" w:rsidP="003C1705">
      <w:pPr>
        <w:pStyle w:val="ThesisBody"/>
      </w:pPr>
      <w:r w:rsidRPr="003C1705">
        <w:lastRenderedPageBreak/>
        <w:t>Deployment will include the setup of user accounts, role-based access, database access, dashboard functions, model inference components, early warning alert functions, data upload features, reporting functions, model version tracking, audit logs, and backup procedures. Role-based access will be implemented to ensure that users can access only the functions and data appropriate to their responsibilities. For example, system administrators may manage user accounts and system settings, while disease surveillance personnel may upload data, view dashboards, interpret forecasts, check alerts, and generate reports.</w:t>
      </w:r>
    </w:p>
    <w:p w14:paraId="659728DE" w14:textId="77777777" w:rsidR="001F340B" w:rsidRPr="003C1705" w:rsidRDefault="00A73F00" w:rsidP="003C1705">
      <w:pPr>
        <w:pStyle w:val="ThesisBody"/>
      </w:pPr>
      <w:r w:rsidRPr="003C1705">
        <w:t>Before actual pilot use, the researchers will verify that the platform is functioning properly. This technical verification will include checking login access, database connection, data upload, data validation, dashboard display, map visualization, forecast generation, risk classification, alert generation, report export, system logs, and backup procedures. Any major technical issue identified before the pilot will be corrected to avoid unnecessary disruption during implementation.</w:t>
      </w:r>
    </w:p>
    <w:p w14:paraId="7307B805" w14:textId="77777777" w:rsidR="001F340B" w:rsidRPr="003C1705" w:rsidRDefault="00A73F00" w:rsidP="003C1705">
      <w:pPr>
        <w:pStyle w:val="Heading4"/>
        <w:spacing w:line="480" w:lineRule="auto"/>
      </w:pPr>
      <w:r w:rsidRPr="003C1705">
        <w:t>User Training and Orientation</w:t>
      </w:r>
    </w:p>
    <w:p w14:paraId="0A2B7CD3" w14:textId="77777777" w:rsidR="001F340B" w:rsidRPr="003C1705" w:rsidRDefault="00A73F00" w:rsidP="003C1705">
      <w:pPr>
        <w:pStyle w:val="ThesisBody"/>
      </w:pPr>
      <w:r w:rsidRPr="003C1705">
        <w:t>After deployment, the researchers will conduct training and orientation sessions for the target users. The training will help ensure that participants can use the platform properly and interpret its outputs responsibly.</w:t>
      </w:r>
    </w:p>
    <w:p w14:paraId="4160586F" w14:textId="77777777" w:rsidR="001F340B" w:rsidRPr="003C1705" w:rsidRDefault="00A73F00" w:rsidP="003C1705">
      <w:pPr>
        <w:pStyle w:val="ThesisBody"/>
      </w:pPr>
      <w:r w:rsidRPr="003C1705">
        <w:t xml:space="preserve">Training topics may include logging in, managing user access where applicable, uploading or reviewing surveillance data, viewing disease dashboards, filtering trends by disease and location, interpreting forecast results, understanding risk levels, checking early warning alerts, viewing maps, generating reports, and reporting system issues. The training will also include reminders on data privacy, confidentiality, </w:t>
      </w:r>
      <w:r w:rsidRPr="003C1705">
        <w:lastRenderedPageBreak/>
        <w:t>responsible use of health data, and the role of AI-generated outputs as decision-support information rather than final public health decisions.</w:t>
      </w:r>
    </w:p>
    <w:p w14:paraId="282D737E" w14:textId="77777777" w:rsidR="001F340B" w:rsidRPr="003C1705" w:rsidRDefault="00A73F00" w:rsidP="003C1705">
      <w:pPr>
        <w:pStyle w:val="ThesisBody"/>
      </w:pPr>
      <w:r w:rsidRPr="003C1705">
        <w:t>The researchers may provide user guides, demonstration sessions, hands-on exercises, and quick-reference materials. After the orientation, participants may be asked to perform basic system tasks to confirm that they can navigate the platform and understand its core functions before the pilot use period begins.</w:t>
      </w:r>
    </w:p>
    <w:p w14:paraId="72B46217" w14:textId="77777777" w:rsidR="001F340B" w:rsidRPr="003C1705" w:rsidRDefault="00A73F00" w:rsidP="003C1705">
      <w:pPr>
        <w:pStyle w:val="Heading4"/>
        <w:spacing w:line="480" w:lineRule="auto"/>
      </w:pPr>
      <w:r w:rsidRPr="003C1705">
        <w:t>Pilot Use of the Platform</w:t>
      </w:r>
    </w:p>
    <w:p w14:paraId="0D240AD6" w14:textId="553BC80D" w:rsidR="001F340B" w:rsidRPr="003C1705" w:rsidRDefault="00A73F00" w:rsidP="003C1705">
      <w:pPr>
        <w:pStyle w:val="ThesisBody"/>
      </w:pPr>
      <w:r w:rsidRPr="003C1705">
        <w:t xml:space="preserve">Participating users will use the </w:t>
      </w:r>
      <w:proofErr w:type="spellStart"/>
      <w:r w:rsidR="003C1705">
        <w:t>HealthAlert</w:t>
      </w:r>
      <w:proofErr w:type="spellEnd"/>
      <w:r w:rsidRPr="003C1705">
        <w:t xml:space="preserve"> platform for a defined pilot period. A pilot period of four to eight weeks may be used for initial implementation. If institutional schedules and data availability allow, a longer period of three to six months would provide stronger evidence of operational usefulness and system performance.</w:t>
      </w:r>
    </w:p>
    <w:p w14:paraId="3AC07E99" w14:textId="77777777" w:rsidR="001F340B" w:rsidRPr="003C1705" w:rsidRDefault="00A73F00" w:rsidP="003C1705">
      <w:pPr>
        <w:pStyle w:val="ThesisBody"/>
      </w:pPr>
      <w:r w:rsidRPr="003C1705">
        <w:t xml:space="preserve">During the pilot period, users may upload or review disease surveillance data, monitor disease trends, view forecast outputs, examine risk maps, check early warning alerts, generate reports, and provide feedback. The platform will be used in relation to dengue fever, </w:t>
      </w:r>
      <w:r w:rsidR="000D5C78" w:rsidRPr="003C1705">
        <w:t>measles</w:t>
      </w:r>
      <w:r w:rsidRPr="003C1705">
        <w:t>, and influenza-like illnesses based on available surveillance data.</w:t>
      </w:r>
    </w:p>
    <w:p w14:paraId="05C578AB" w14:textId="77777777" w:rsidR="001F340B" w:rsidRPr="003C1705" w:rsidRDefault="00A73F00" w:rsidP="003C1705">
      <w:pPr>
        <w:pStyle w:val="ThesisBody"/>
      </w:pPr>
      <w:r w:rsidRPr="003C1705">
        <w:t>The researchers will monitor system use throughout the pilot period. System logs, data upload records, forecast outputs, alert generation records, user feedback, technical issues, and operational concerns will be documented. This documentation will help determine whether the platform works technically and whether it fits the actual practices and constraints of public health surveillance work.</w:t>
      </w:r>
    </w:p>
    <w:p w14:paraId="03B2FDBC" w14:textId="77777777" w:rsidR="001F340B" w:rsidRPr="003C1705" w:rsidRDefault="00A73F00" w:rsidP="003C1705">
      <w:pPr>
        <w:pStyle w:val="Heading4"/>
        <w:spacing w:line="480" w:lineRule="auto"/>
      </w:pPr>
      <w:r w:rsidRPr="003C1705">
        <w:t>Predictive Model Validation Using Real-World Surveillance Data</w:t>
      </w:r>
    </w:p>
    <w:p w14:paraId="04BCBEF6" w14:textId="6885086E" w:rsidR="001F340B" w:rsidRPr="003C1705" w:rsidRDefault="00A73F00" w:rsidP="003C1705">
      <w:pPr>
        <w:pStyle w:val="ThesisBody"/>
      </w:pPr>
      <w:r w:rsidRPr="003C1705">
        <w:t xml:space="preserve">The predictive and forecasting models integrated into </w:t>
      </w:r>
      <w:proofErr w:type="spellStart"/>
      <w:r w:rsidR="003C1705">
        <w:t>HealthAlert</w:t>
      </w:r>
      <w:proofErr w:type="spellEnd"/>
      <w:r w:rsidRPr="003C1705">
        <w:t xml:space="preserve"> will be validated using recent or real-world disease surveillance data that were not used during </w:t>
      </w:r>
      <w:r w:rsidRPr="003C1705">
        <w:lastRenderedPageBreak/>
        <w:t>model training. This validation is necessary to determine whether the models remain reliable when applied to new data from actual surveillance settings.</w:t>
      </w:r>
    </w:p>
    <w:p w14:paraId="57F6968B" w14:textId="77777777" w:rsidR="001F340B" w:rsidRPr="003C1705" w:rsidRDefault="00A73F00" w:rsidP="003C1705">
      <w:pPr>
        <w:pStyle w:val="ThesisBody"/>
      </w:pPr>
      <w:r w:rsidRPr="003C1705">
        <w:t>For disease case forecasting, the validation will assess how closely predicted case counts match observed cases. Metrics such as Mean Absolute Error, Root Mean Square Error, and, when appropriate, Mean Absolute Percentage Error or symmetric Mean Absolute Percentage Error may be used. Forecast bias may also be examined to determine whether the model tends to overestimate or underestimate disease cases. These metrics will help determine whether the model outputs are reliable enough for surveillance interpretation.</w:t>
      </w:r>
    </w:p>
    <w:p w14:paraId="29FA2EA9" w14:textId="77777777" w:rsidR="001F340B" w:rsidRPr="003C1705" w:rsidRDefault="00A73F00" w:rsidP="003C1705">
      <w:pPr>
        <w:pStyle w:val="ThesisBody"/>
      </w:pPr>
      <w:r w:rsidRPr="003C1705">
        <w:t>For outbreak risk classification, the validation will assess whether the system correctly identifies low-risk, moderate-risk, high-risk, or potential outbreak situations. Metrics such as accuracy, precision, recall or sensitivity, specificity, F1-score, and confusion matrix analysis may be used. Recall or sensitivity will be given particular importance because missed outbreak signals may delay public health monitoring or response. Precision will also be considered because too many false alerts may reduce user trust and contribute to alert fatigue.</w:t>
      </w:r>
    </w:p>
    <w:p w14:paraId="7DDCCCE7" w14:textId="77777777" w:rsidR="001F340B" w:rsidRPr="003C1705" w:rsidRDefault="00A73F00" w:rsidP="003C1705">
      <w:pPr>
        <w:pStyle w:val="ThesisBody"/>
      </w:pPr>
      <w:r w:rsidRPr="003C1705">
        <w:t>The researchers may also assess public health relevance beyond statistical accuracy. This may include the number of correct alerts, false alarms, missed outbreak signals, lead time before observed increases in cases, and agreement between model-generated alerts and expert judgment from public health personnel. This combined approach will allow the evaluation to consider both technical performance and practical usefulness.</w:t>
      </w:r>
    </w:p>
    <w:p w14:paraId="1AADAD03" w14:textId="77777777" w:rsidR="001F340B" w:rsidRPr="003C1705" w:rsidRDefault="00A73F00" w:rsidP="003C1705">
      <w:pPr>
        <w:pStyle w:val="Heading4"/>
        <w:spacing w:line="480" w:lineRule="auto"/>
      </w:pPr>
      <w:r w:rsidRPr="003C1705">
        <w:lastRenderedPageBreak/>
        <w:t>Model Monitoring During Pilot Use</w:t>
      </w:r>
    </w:p>
    <w:p w14:paraId="13D2FF92" w14:textId="77777777" w:rsidR="001F340B" w:rsidRPr="003C1705" w:rsidRDefault="00A73F00" w:rsidP="003C1705">
      <w:pPr>
        <w:pStyle w:val="ThesisBody"/>
      </w:pPr>
      <w:r w:rsidRPr="003C1705">
        <w:t>During the pilot period, the researchers may also observe the model monitoring and retraining readiness function of the platform. This function will not automatically replace deployed models. Instead, it will check whether model retraining may be advisable based on the amount of new validated data, data completeness, data quality, recent prediction errors, forecast reliability, alert performance, and possible changes in disease patterns.</w:t>
      </w:r>
    </w:p>
    <w:p w14:paraId="20A32F5A" w14:textId="77777777" w:rsidR="001F340B" w:rsidRPr="003C1705" w:rsidRDefault="00A73F00" w:rsidP="003C1705">
      <w:pPr>
        <w:pStyle w:val="ThesisBody"/>
      </w:pPr>
      <w:r w:rsidRPr="003C1705">
        <w:t>If the available data are insufficient, incomplete, or unstable, the current deployed model will remain in use. If the system detects sustained performance decline or sufficient validated new data, it may recommend retraining for researcher or administrator review. Any retrained model will be validated and compared with the current deployed model before implementation. This process supports controlled continuous learning while maintaining reliability, traceability, and accountability in public health decision support.</w:t>
      </w:r>
    </w:p>
    <w:p w14:paraId="2F5C42B9" w14:textId="77777777" w:rsidR="001F340B" w:rsidRPr="003C1705" w:rsidRDefault="00A73F00" w:rsidP="003C1705">
      <w:pPr>
        <w:pStyle w:val="ThesisBody"/>
      </w:pPr>
      <w:r w:rsidRPr="003C1705">
        <w:t>The results of the pilot implementation will be used to formulate policy recommendations and implementation guidelines for the responsible adoption of AI-assisted disease surveillance. These recommendations may address data-sharing procedures, privacy safeguards, model validation requirements, alert interpretation, user training, workflow integration, system maintenance, and future scaling to other diseases, local government units, or regions.</w:t>
      </w:r>
    </w:p>
    <w:p w14:paraId="01788170" w14:textId="77777777" w:rsidR="001F340B" w:rsidRPr="003C1705" w:rsidRDefault="00A73F00" w:rsidP="003C1705">
      <w:pPr>
        <w:pStyle w:val="Heading2"/>
        <w:spacing w:line="480" w:lineRule="auto"/>
      </w:pPr>
      <w:r w:rsidRPr="003C1705">
        <w:lastRenderedPageBreak/>
        <w:t>Data Analysis</w:t>
      </w:r>
    </w:p>
    <w:p w14:paraId="070A4B15" w14:textId="77777777" w:rsidR="001F340B" w:rsidRPr="003C1705" w:rsidRDefault="000B0704" w:rsidP="003C1705">
      <w:pPr>
        <w:pStyle w:val="Heading3"/>
        <w:spacing w:line="480" w:lineRule="auto"/>
      </w:pPr>
      <w:r w:rsidRPr="003C1705">
        <w:t>Study 1: Development of Machine Learning Models for Disease Trend Detection and Outbreak Forecasting</w:t>
      </w:r>
    </w:p>
    <w:p w14:paraId="30EF0A3F" w14:textId="77777777" w:rsidR="001F340B" w:rsidRPr="003C1705" w:rsidRDefault="00A73F00" w:rsidP="003C1705">
      <w:pPr>
        <w:pStyle w:val="ThesisBody"/>
      </w:pPr>
      <w:r w:rsidRPr="003C1705">
        <w:t>The developed models will be evaluated using metrics appropriate to the two main modeling tasks of the study: disease case forecasting and outbreak risk classification. Since the forecasting models will estimate future case counts, the analysis will focus on measuring how close the predicted values are to the actual reported cases. For outbreak risk classification, the analysis will examine how well the models identify risk levels or possible outbreak signals.</w:t>
      </w:r>
    </w:p>
    <w:p w14:paraId="5D68D8E8" w14:textId="77777777" w:rsidR="001F340B" w:rsidRPr="003C1705" w:rsidRDefault="00A73F00" w:rsidP="003C1705">
      <w:pPr>
        <w:pStyle w:val="ThesisBody"/>
      </w:pPr>
      <w:r w:rsidRPr="003C1705">
        <w:t>For disease case forecasting, the study will use Mean Absolute Error (MAE) and Root Mean Square Error (RMSE) as the primary evaluation metrics. These measures are appropriate because they are commonly used to assess forecast accuracy by comparing predicted and observed values. MAE will measure the average absolute difference between the predicted and observed number of cases. It is useful because it is easy to interpret in the same unit as the actual case counts. RMSE will also measure forecasting error, but it gives greater weight to larger errors. This is important in public health surveillance because large forecasting errors may affect the interpretation of disease increases and may influence alert generation or resource planning. Hyndman and Athanasopoulos (2021) discuss the use of forecast accuracy measures for evaluating forecasting models, including errors computed from training and test sets.</w:t>
      </w:r>
    </w:p>
    <w:p w14:paraId="1A561F74" w14:textId="77777777" w:rsidR="001F340B" w:rsidRPr="003C1705" w:rsidRDefault="00A73F00" w:rsidP="003C1705">
      <w:pPr>
        <w:pStyle w:val="ThesisEquation"/>
        <w:spacing w:line="480" w:lineRule="auto"/>
      </w:pPr>
      <m:oMathPara>
        <m:oMath>
          <m:r>
            <w:rPr>
              <w:rFonts w:ascii="Cambria Math" w:eastAsia="Arial" w:hAnsi="Cambria Math"/>
            </w:rPr>
            <m:t>MAE = (</m:t>
          </m:r>
          <m:f>
            <m:fPr>
              <m:ctrlPr>
                <w:rPr>
                  <w:rFonts w:ascii="Cambria Math" w:eastAsia="Arial" w:hAnsi="Cambria Math"/>
                </w:rPr>
              </m:ctrlPr>
            </m:fPr>
            <m:num>
              <m:r>
                <w:rPr>
                  <w:rFonts w:ascii="Cambria Math" w:eastAsia="Arial" w:hAnsi="Cambria Math"/>
                </w:rPr>
                <m:t>1</m:t>
              </m:r>
            </m:num>
            <m:den>
              <m:r>
                <w:rPr>
                  <w:rFonts w:ascii="Cambria Math" w:eastAsia="Arial" w:hAnsi="Cambria Math"/>
                </w:rPr>
                <m:t>n</m:t>
              </m:r>
            </m:den>
          </m:f>
          <m:r>
            <w:rPr>
              <w:rFonts w:ascii="Cambria Math" w:eastAsia="Arial" w:hAnsi="Cambria Math"/>
            </w:rPr>
            <m:t xml:space="preserve">)Σ |Actualᵢ - Predictedᵢ| </m:t>
          </m:r>
        </m:oMath>
      </m:oMathPara>
    </w:p>
    <w:p w14:paraId="750154CB" w14:textId="77777777" w:rsidR="001F340B" w:rsidRPr="003C1705" w:rsidRDefault="00A73F00" w:rsidP="003C1705">
      <w:pPr>
        <w:pStyle w:val="ThesisBody"/>
        <w:ind w:firstLine="0"/>
      </w:pPr>
      <w:r w:rsidRPr="003C1705">
        <w:t>where n is the number of observations, Actualᵢ is the observed number of cases, and Predictedᵢ is the forecasted number of cases.</w:t>
      </w:r>
    </w:p>
    <w:p w14:paraId="4F1EDDAA" w14:textId="77777777" w:rsidR="001F340B" w:rsidRPr="003C1705" w:rsidRDefault="00A73F00" w:rsidP="003C1705">
      <w:pPr>
        <w:pStyle w:val="ThesisEquation"/>
        <w:spacing w:line="480" w:lineRule="auto"/>
      </w:pPr>
      <m:oMathPara>
        <m:oMath>
          <m:r>
            <w:rPr>
              <w:rFonts w:ascii="Cambria Math" w:eastAsia="Arial" w:hAnsi="Cambria Math"/>
            </w:rPr>
            <w:lastRenderedPageBreak/>
            <m:t xml:space="preserve">RMSE = </m:t>
          </m:r>
          <m:rad>
            <m:radPr>
              <m:degHide m:val="1"/>
              <m:ctrlPr>
                <w:rPr>
                  <w:rFonts w:ascii="Cambria Math" w:eastAsia="Arial" w:hAnsi="Cambria Math"/>
                </w:rPr>
              </m:ctrlPr>
            </m:radPr>
            <m:deg/>
            <m:e>
              <m:r>
                <w:rPr>
                  <w:rFonts w:ascii="Cambria Math" w:eastAsia="Arial" w:hAnsi="Cambria Math"/>
                </w:rPr>
                <m:t>(</m:t>
              </m:r>
              <m:f>
                <m:fPr>
                  <m:ctrlPr>
                    <w:rPr>
                      <w:rFonts w:ascii="Cambria Math" w:eastAsia="Arial" w:hAnsi="Cambria Math"/>
                    </w:rPr>
                  </m:ctrlPr>
                </m:fPr>
                <m:num>
                  <m:r>
                    <w:rPr>
                      <w:rFonts w:ascii="Cambria Math" w:eastAsia="Arial" w:hAnsi="Cambria Math"/>
                    </w:rPr>
                    <m:t>1</m:t>
                  </m:r>
                </m:num>
                <m:den>
                  <m:r>
                    <w:rPr>
                      <w:rFonts w:ascii="Cambria Math" w:eastAsia="Arial" w:hAnsi="Cambria Math"/>
                    </w:rPr>
                    <m:t>n</m:t>
                  </m:r>
                </m:den>
              </m:f>
              <m:r>
                <w:rPr>
                  <w:rFonts w:ascii="Cambria Math" w:eastAsia="Arial" w:hAnsi="Cambria Math"/>
                </w:rPr>
                <m:t>)Σ |Actualᵢ - Predictedᵢ|</m:t>
              </m:r>
            </m:e>
          </m:rad>
          <m:r>
            <w:rPr>
              <w:rFonts w:ascii="Cambria Math" w:eastAsia="Arial" w:hAnsi="Cambria Math"/>
            </w:rPr>
            <m:t xml:space="preserve"> </m:t>
          </m:r>
        </m:oMath>
      </m:oMathPara>
    </w:p>
    <w:p w14:paraId="6E2AAE94" w14:textId="77777777" w:rsidR="001F340B" w:rsidRPr="003C1705" w:rsidRDefault="00A73F00" w:rsidP="003C1705">
      <w:pPr>
        <w:pStyle w:val="ThesisBody"/>
        <w:ind w:firstLine="0"/>
      </w:pPr>
      <w:r w:rsidRPr="003C1705">
        <w:t>where n is the number of observations, Actualᵢ is the observed number of cases, and Predictedᵢ is the forecasted number of cases.</w:t>
      </w:r>
    </w:p>
    <w:p w14:paraId="76784C36" w14:textId="77777777" w:rsidR="001F340B" w:rsidRPr="003C1705" w:rsidRDefault="00A73F00" w:rsidP="003C1705">
      <w:pPr>
        <w:pStyle w:val="ThesisBody"/>
      </w:pPr>
      <w:r w:rsidRPr="003C1705">
        <w:t>Mean Absolute Percentage Error (MAPE) or symmetric Mean Absolute Percentage Error (</w:t>
      </w:r>
      <w:proofErr w:type="spellStart"/>
      <w:r w:rsidRPr="003C1705">
        <w:t>sMAPE</w:t>
      </w:r>
      <w:proofErr w:type="spellEnd"/>
      <w:r w:rsidRPr="003C1705">
        <w:t>) may be used only as supplementary metrics when the data are suitable. These percentage-based metrics can help compare forecasting performance across diseases or municipalities with different case volumes. However, they will be used cautiously because disease surveillance data may contain zero or very low case counts, which can make percentage errors unstable or misleading.</w:t>
      </w:r>
    </w:p>
    <w:p w14:paraId="0010BBEA" w14:textId="77777777" w:rsidR="001F340B" w:rsidRPr="003C1705" w:rsidRDefault="00A73F00" w:rsidP="003C1705">
      <w:pPr>
        <w:pStyle w:val="ThesisBody"/>
      </w:pPr>
      <w:r w:rsidRPr="003C1705">
        <w:t xml:space="preserve">For outbreak detection or risk classification, the study will use accuracy, precision, recall or sensitivity, specificity, and F1-score. These metrics are appropriate because outbreak risk classification involves distinguishing among different risk conditions, such as low-risk, moderate-risk, high-risk, or potential outbreak situations. Accuracy will show the overall proportion of correct classifications. However, accuracy alone may not be sufficient when outbreak cases are less frequent than non-outbreak cases. For this reason, precision, recall, specificity, and F1-score will also be used. Recent reviews on machine learning evaluation emphasize that different metrics capture different aspects of model performance and should be selected according to the task, the class distribution, and the consequences of errors (Hicks et al., 2022; </w:t>
      </w:r>
      <w:proofErr w:type="spellStart"/>
      <w:r w:rsidRPr="003C1705">
        <w:t>Rainio</w:t>
      </w:r>
      <w:proofErr w:type="spellEnd"/>
      <w:r w:rsidRPr="003C1705">
        <w:t xml:space="preserve"> et al., 2024).</w:t>
      </w:r>
    </w:p>
    <w:p w14:paraId="1D05C312" w14:textId="77777777" w:rsidR="001F340B" w:rsidRPr="003C1705" w:rsidRDefault="00A73F00" w:rsidP="003C1705">
      <w:pPr>
        <w:pStyle w:val="ThesisEquation"/>
        <w:spacing w:line="480" w:lineRule="auto"/>
      </w:pPr>
      <m:oMathPara>
        <m:oMath>
          <m:r>
            <w:rPr>
              <w:rFonts w:ascii="Cambria Math" w:eastAsia="Arial" w:hAnsi="Cambria Math"/>
            </w:rPr>
            <m:t xml:space="preserve">Accuracy =  </m:t>
          </m:r>
          <m:f>
            <m:fPr>
              <m:ctrlPr>
                <w:rPr>
                  <w:rFonts w:ascii="Cambria Math" w:eastAsia="Arial" w:hAnsi="Cambria Math"/>
                </w:rPr>
              </m:ctrlPr>
            </m:fPr>
            <m:num>
              <m:r>
                <w:rPr>
                  <w:rFonts w:ascii="Cambria Math" w:eastAsia="Arial" w:hAnsi="Cambria Math"/>
                </w:rPr>
                <m:t xml:space="preserve">(TP + TN) </m:t>
              </m:r>
            </m:num>
            <m:den>
              <m:r>
                <w:rPr>
                  <w:rFonts w:ascii="Cambria Math" w:eastAsia="Arial" w:hAnsi="Cambria Math"/>
                </w:rPr>
                <m:t xml:space="preserve">(TP + TN + FP + FN) </m:t>
              </m:r>
            </m:den>
          </m:f>
          <m:r>
            <w:rPr>
              <w:rFonts w:ascii="Cambria Math" w:eastAsia="Arial" w:hAnsi="Cambria Math"/>
            </w:rPr>
            <m:t xml:space="preserve"> </m:t>
          </m:r>
        </m:oMath>
      </m:oMathPara>
    </w:p>
    <w:p w14:paraId="011952D3" w14:textId="77777777" w:rsidR="001F340B" w:rsidRPr="003C1705" w:rsidRDefault="00A73F00" w:rsidP="003C1705">
      <w:pPr>
        <w:pStyle w:val="ThesisEquation"/>
        <w:spacing w:line="480" w:lineRule="auto"/>
      </w:pPr>
      <m:oMathPara>
        <m:oMath>
          <m:r>
            <w:rPr>
              <w:rFonts w:ascii="Cambria Math" w:eastAsia="Arial" w:hAnsi="Cambria Math"/>
            </w:rPr>
            <m:t xml:space="preserve">Precision =  </m:t>
          </m:r>
          <m:f>
            <m:fPr>
              <m:ctrlPr>
                <w:rPr>
                  <w:rFonts w:ascii="Cambria Math" w:eastAsia="Arial" w:hAnsi="Cambria Math"/>
                </w:rPr>
              </m:ctrlPr>
            </m:fPr>
            <m:num>
              <m:r>
                <w:rPr>
                  <w:rFonts w:ascii="Cambria Math" w:eastAsia="Arial" w:hAnsi="Cambria Math"/>
                </w:rPr>
                <m:t xml:space="preserve">TP </m:t>
              </m:r>
            </m:num>
            <m:den>
              <m:r>
                <w:rPr>
                  <w:rFonts w:ascii="Cambria Math" w:eastAsia="Arial" w:hAnsi="Cambria Math"/>
                </w:rPr>
                <m:t xml:space="preserve">(TP + FP) </m:t>
              </m:r>
            </m:den>
          </m:f>
          <m:r>
            <w:rPr>
              <w:rFonts w:ascii="Cambria Math" w:eastAsia="Arial" w:hAnsi="Cambria Math"/>
            </w:rPr>
            <m:t xml:space="preserve"> </m:t>
          </m:r>
        </m:oMath>
      </m:oMathPara>
    </w:p>
    <w:p w14:paraId="438B1C21" w14:textId="77777777" w:rsidR="001F340B" w:rsidRPr="003C1705" w:rsidRDefault="00A73F00" w:rsidP="003C1705">
      <w:pPr>
        <w:pStyle w:val="ThesisEquation"/>
        <w:spacing w:line="480" w:lineRule="auto"/>
      </w:pPr>
      <m:oMathPara>
        <m:oMath>
          <m:r>
            <w:rPr>
              <w:rFonts w:ascii="Cambria Math" w:eastAsia="Arial" w:hAnsi="Cambria Math"/>
            </w:rPr>
            <w:lastRenderedPageBreak/>
            <m:t xml:space="preserve">Recall = Sensitivity =   </m:t>
          </m:r>
          <m:f>
            <m:fPr>
              <m:ctrlPr>
                <w:rPr>
                  <w:rFonts w:ascii="Cambria Math" w:eastAsia="Arial" w:hAnsi="Cambria Math"/>
                </w:rPr>
              </m:ctrlPr>
            </m:fPr>
            <m:num>
              <m:r>
                <w:rPr>
                  <w:rFonts w:ascii="Cambria Math" w:eastAsia="Arial" w:hAnsi="Cambria Math"/>
                </w:rPr>
                <m:t xml:space="preserve">TP </m:t>
              </m:r>
            </m:num>
            <m:den>
              <m:r>
                <w:rPr>
                  <w:rFonts w:ascii="Cambria Math" w:eastAsia="Arial" w:hAnsi="Cambria Math"/>
                </w:rPr>
                <m:t xml:space="preserve">(TP + FN)  </m:t>
              </m:r>
            </m:den>
          </m:f>
          <m:r>
            <w:rPr>
              <w:rFonts w:ascii="Cambria Math" w:eastAsia="Arial" w:hAnsi="Cambria Math"/>
            </w:rPr>
            <m:t xml:space="preserve"> </m:t>
          </m:r>
        </m:oMath>
      </m:oMathPara>
    </w:p>
    <w:p w14:paraId="4AC2EFA9" w14:textId="77777777" w:rsidR="001F340B" w:rsidRPr="003C1705" w:rsidRDefault="00A73F00" w:rsidP="003C1705">
      <w:pPr>
        <w:pStyle w:val="ThesisEquation"/>
        <w:spacing w:line="480" w:lineRule="auto"/>
      </w:pPr>
      <m:oMathPara>
        <m:oMath>
          <m:r>
            <w:rPr>
              <w:rFonts w:ascii="Cambria Math" w:eastAsia="Arial" w:hAnsi="Cambria Math"/>
            </w:rPr>
            <m:t xml:space="preserve">Specificity =   </m:t>
          </m:r>
          <m:f>
            <m:fPr>
              <m:ctrlPr>
                <w:rPr>
                  <w:rFonts w:ascii="Cambria Math" w:eastAsia="Arial" w:hAnsi="Cambria Math"/>
                </w:rPr>
              </m:ctrlPr>
            </m:fPr>
            <m:num>
              <m:r>
                <w:rPr>
                  <w:rFonts w:ascii="Cambria Math" w:eastAsia="Arial" w:hAnsi="Cambria Math"/>
                </w:rPr>
                <m:t xml:space="preserve">TN </m:t>
              </m:r>
            </m:num>
            <m:den>
              <m:r>
                <w:rPr>
                  <w:rFonts w:ascii="Cambria Math" w:eastAsia="Arial" w:hAnsi="Cambria Math"/>
                </w:rPr>
                <m:t xml:space="preserve">(TN + FP)  </m:t>
              </m:r>
            </m:den>
          </m:f>
          <m:r>
            <w:rPr>
              <w:rFonts w:ascii="Cambria Math" w:eastAsia="Arial" w:hAnsi="Cambria Math"/>
            </w:rPr>
            <m:t xml:space="preserve"> </m:t>
          </m:r>
        </m:oMath>
      </m:oMathPara>
    </w:p>
    <w:p w14:paraId="33710B40" w14:textId="77777777" w:rsidR="001F340B" w:rsidRPr="003C1705" w:rsidRDefault="00A73F00" w:rsidP="003C1705">
      <w:pPr>
        <w:pStyle w:val="ThesisEquation"/>
        <w:spacing w:line="480" w:lineRule="auto"/>
      </w:pPr>
      <m:oMathPara>
        <m:oMath>
          <m:r>
            <w:rPr>
              <w:rFonts w:ascii="Cambria Math" w:eastAsia="Arial" w:hAnsi="Cambria Math"/>
            </w:rPr>
            <m:t xml:space="preserve">F1-score =2 ×   </m:t>
          </m:r>
          <m:f>
            <m:fPr>
              <m:ctrlPr>
                <w:rPr>
                  <w:rFonts w:ascii="Cambria Math" w:eastAsia="Arial" w:hAnsi="Cambria Math"/>
                </w:rPr>
              </m:ctrlPr>
            </m:fPr>
            <m:num>
              <m:r>
                <w:rPr>
                  <w:rFonts w:ascii="Cambria Math" w:eastAsia="Arial" w:hAnsi="Cambria Math"/>
                </w:rPr>
                <m:t xml:space="preserve">(Precision × Recall)  </m:t>
              </m:r>
            </m:num>
            <m:den>
              <m:r>
                <w:rPr>
                  <w:rFonts w:ascii="Cambria Math" w:eastAsia="Arial" w:hAnsi="Cambria Math"/>
                </w:rPr>
                <m:t xml:space="preserve">(Precision + Recall)  </m:t>
              </m:r>
            </m:den>
          </m:f>
          <m:r>
            <w:rPr>
              <w:rFonts w:ascii="Cambria Math" w:eastAsia="Arial" w:hAnsi="Cambria Math"/>
            </w:rPr>
            <m:t xml:space="preserve"> </m:t>
          </m:r>
        </m:oMath>
      </m:oMathPara>
    </w:p>
    <w:p w14:paraId="12C95C76" w14:textId="77777777" w:rsidR="001F340B" w:rsidRPr="003C1705" w:rsidRDefault="00A73F00" w:rsidP="003C1705">
      <w:pPr>
        <w:pStyle w:val="ThesisBody"/>
        <w:ind w:firstLine="0"/>
      </w:pPr>
      <w:r w:rsidRPr="003C1705">
        <w:t>where TP refers to true positives, TN refers to true negatives, FP refers to false positives, and FN refers to false negatives.</w:t>
      </w:r>
    </w:p>
    <w:p w14:paraId="51ECD5E9" w14:textId="77777777" w:rsidR="001F340B" w:rsidRPr="003C1705" w:rsidRDefault="00A73F00" w:rsidP="003C1705">
      <w:pPr>
        <w:pStyle w:val="ThesisBody"/>
      </w:pPr>
      <w:r w:rsidRPr="003C1705">
        <w:t>In public health surveillance, recall or sensitivity will be given particular importance because failing to detect a possible outbreak may delay monitoring, verification, or response. A model with high recall can detect a greater proportion of actual outbreak signals. However, precision will also be considered because too many false alerts may reduce user trust and contribute to alert fatigue. Specificity will help determine whether the model can correctly identify non-outbreak periods, while F1-score will provide a balanced measure between precision and recall. The final model selection will therefore consider both statistical performance and practical public health usefulness.</w:t>
      </w:r>
    </w:p>
    <w:p w14:paraId="05D72A95" w14:textId="12D78497" w:rsidR="001F340B" w:rsidRPr="003C1705" w:rsidRDefault="00A73F00" w:rsidP="003C1705">
      <w:pPr>
        <w:pStyle w:val="ThesisBody"/>
      </w:pPr>
      <w:r w:rsidRPr="003C1705">
        <w:t xml:space="preserve">The study will also compare model performance across the selected diseases, municipalities, and forecast horizons. This is necessary because a model may perform well overall but may be less reliable for a specific disease, location, or prediction period. Error analysis will be conducted to identify periods or locations where the models underperform, such as during unusual outbreaks, reporting delays, extreme weather events, sparse case counts, or periods with incomplete data. These findings will guide model refinement and help determine which models are suitable for integration into the </w:t>
      </w:r>
      <w:proofErr w:type="spellStart"/>
      <w:r w:rsidR="003C1705">
        <w:t>HealthAlert</w:t>
      </w:r>
      <w:proofErr w:type="spellEnd"/>
      <w:r w:rsidRPr="003C1705">
        <w:t xml:space="preserve"> platform.</w:t>
      </w:r>
    </w:p>
    <w:p w14:paraId="2A894EED" w14:textId="77777777" w:rsidR="001F340B" w:rsidRPr="003C1705" w:rsidRDefault="00A73F00" w:rsidP="003C1705">
      <w:pPr>
        <w:pStyle w:val="ThesisBody"/>
      </w:pPr>
      <w:r w:rsidRPr="003C1705">
        <w:lastRenderedPageBreak/>
        <w:t>To support interpretation, the study may also use feature importance analysis for selected machine learning models. This will help identify which predictors, such as previous case counts, moving averages, rainfall, temperature, seasonality, or location-related indicators, contribute most to the model outputs. Explainability is important in health-related AI systems because users need to understand the basis of model outputs, especially when these outputs may support monitoring, prioritization, or decision-making (Sadeghi et al., 2024).</w:t>
      </w:r>
    </w:p>
    <w:p w14:paraId="70A5A7CC" w14:textId="1AE3619A" w:rsidR="001F340B" w:rsidRPr="003C1705" w:rsidRDefault="000B0704" w:rsidP="003C1705">
      <w:pPr>
        <w:pStyle w:val="Heading3"/>
        <w:spacing w:line="480" w:lineRule="auto"/>
      </w:pPr>
      <w:r w:rsidRPr="003C1705">
        <w:t xml:space="preserve">Study 2: Development of the </w:t>
      </w:r>
      <w:proofErr w:type="spellStart"/>
      <w:r w:rsidR="003C1705">
        <w:t>HealthAlert</w:t>
      </w:r>
      <w:proofErr w:type="spellEnd"/>
      <w:r w:rsidRPr="003C1705">
        <w:t xml:space="preserve"> Surveillance and Predictive Analytics Platform</w:t>
      </w:r>
    </w:p>
    <w:p w14:paraId="1E2324D0" w14:textId="2428CE1C" w:rsidR="001F340B" w:rsidRPr="003C1705" w:rsidRDefault="00A73F00" w:rsidP="003C1705">
      <w:pPr>
        <w:pStyle w:val="ThesisBody"/>
      </w:pPr>
      <w:r w:rsidRPr="003C1705">
        <w:t xml:space="preserve">The </w:t>
      </w:r>
      <w:proofErr w:type="spellStart"/>
      <w:r w:rsidR="003C1705">
        <w:t>HealthAlert</w:t>
      </w:r>
      <w:proofErr w:type="spellEnd"/>
      <w:r w:rsidRPr="003C1705">
        <w:t xml:space="preserve"> platform will be evaluated in terms of functionality, usability, responsiveness, security, and technical acceptability. These dimensions are appropriate because the system is not only a predictive model but also a software platform that must function correctly, respond efficiently, protect data, and be usable by public health personnel. The evaluation of software quality may be guided by the ISO/IEC 25010:2023 software product quality model, which provides quality characteristics for specifying and evaluating software products throughout their life cycle (International Organization for Standardization, 2023).</w:t>
      </w:r>
    </w:p>
    <w:p w14:paraId="45480206" w14:textId="77777777" w:rsidR="001F340B" w:rsidRPr="003C1705" w:rsidRDefault="00A73F00" w:rsidP="003C1705">
      <w:pPr>
        <w:pStyle w:val="ThesisBody"/>
      </w:pPr>
      <w:r w:rsidRPr="003C1705">
        <w:t>Functional testing will determine whether the platform performs its required functions correctly. The researchers will prepare test cases for each system module. These test cases will check whether users can log in, upload data, validate records, view dashboards, generate forecasts, display maps, receive alerts, export reports, and manage user accounts. Functional testing will also examine whether the system handles invalid inputs, missing data, duplicate records, incomplete files, and unavailable model services appropriately.</w:t>
      </w:r>
    </w:p>
    <w:p w14:paraId="76827E70" w14:textId="2CC7AE8A" w:rsidR="001F340B" w:rsidRPr="003C1705" w:rsidRDefault="00A73F00" w:rsidP="003C1705">
      <w:pPr>
        <w:pStyle w:val="ThesisBody"/>
      </w:pPr>
      <w:r w:rsidRPr="003C1705">
        <w:lastRenderedPageBreak/>
        <w:t xml:space="preserve">Usability testing will assess whether target users can use the </w:t>
      </w:r>
      <w:proofErr w:type="spellStart"/>
      <w:r w:rsidR="003C1705">
        <w:t>HealthAlert</w:t>
      </w:r>
      <w:proofErr w:type="spellEnd"/>
      <w:r w:rsidRPr="003C1705">
        <w:t xml:space="preserve"> platform effectively, efficiently, and comfortably. Public health personnel and healthcare users will be asked to perform common system tasks, such as uploading disease surveillance data, filtering disease trends, interpreting forecast results, viewing risk maps, checking alerts, and generating reports.</w:t>
      </w:r>
    </w:p>
    <w:p w14:paraId="07397BDD" w14:textId="77777777" w:rsidR="001F340B" w:rsidRPr="003C1705" w:rsidRDefault="00A73F00" w:rsidP="003C1705">
      <w:pPr>
        <w:pStyle w:val="ThesisBody"/>
      </w:pPr>
      <w:r w:rsidRPr="003C1705">
        <w:t>The usability of the platform will be measured using the System Usability Scale (SUS). SUS is appropriate because it is a standardized 10-item instrument commonly used to assess perceived usability across digital systems. Recent digital health benchmarking research describes SUS as a short 10-item questionnaire using a Likert scale, with scores ranging from 0 to 100, and reports its continued use in evaluating digital health applications (Hyzy et al., 2022).</w:t>
      </w:r>
    </w:p>
    <w:p w14:paraId="4351736C" w14:textId="77777777" w:rsidR="001F340B" w:rsidRPr="003C1705" w:rsidRDefault="00A73F00" w:rsidP="003C1705">
      <w:pPr>
        <w:pStyle w:val="ThesisBody"/>
      </w:pPr>
      <w:r w:rsidRPr="003C1705">
        <w:t>The SUS score will be computed using the standard scoring procedure. For positively worded items, 1 will be subtracted from the respondent’s score. For negatively worded items, the respondent’s score will be subtracted from 5. The adjusted values will be summed and multiplied by 2.5 to obtain the final SUS score from 0 to 100.</w:t>
      </w:r>
    </w:p>
    <w:p w14:paraId="26C5E189" w14:textId="77777777" w:rsidR="001F340B" w:rsidRPr="003C1705" w:rsidRDefault="00A73F00" w:rsidP="003C1705">
      <w:pPr>
        <w:pStyle w:val="ThesisEquation"/>
        <w:spacing w:line="480" w:lineRule="auto"/>
      </w:pPr>
      <m:oMathPara>
        <m:oMath>
          <m:r>
            <w:rPr>
              <w:rFonts w:ascii="Cambria Math" w:eastAsia="Arial" w:hAnsi="Cambria Math"/>
            </w:rPr>
            <m:t xml:space="preserve">SUS score = 2.5 × Σ adjusted item scores  </m:t>
          </m:r>
        </m:oMath>
      </m:oMathPara>
    </w:p>
    <w:p w14:paraId="1069FC72" w14:textId="77777777" w:rsidR="001F340B" w:rsidRPr="003C1705" w:rsidRDefault="00A73F00" w:rsidP="003C1705">
      <w:pPr>
        <w:pStyle w:val="ThesisBody"/>
      </w:pPr>
      <w:r w:rsidRPr="003C1705">
        <w:t>The SUS results will be analyzed using descriptive statistics, including frequency, percentage, mean, and standard deviation. The overall SUS score will be interpreted using established SUS interpretation practices. Open-ended feedback may also be collected to identify specific usability issues related to dashboard layout, navigation, clarity of visualizations, interpretation of forecasts, alert messages, and report generation.</w:t>
      </w:r>
    </w:p>
    <w:p w14:paraId="4D065351" w14:textId="77777777" w:rsidR="001F340B" w:rsidRPr="003C1705" w:rsidRDefault="00A73F00" w:rsidP="003C1705">
      <w:pPr>
        <w:pStyle w:val="ThesisBody"/>
      </w:pPr>
      <w:r w:rsidRPr="003C1705">
        <w:t xml:space="preserve">Responsiveness and performance testing will examine how efficiently the system responds during use. The researchers may measure page loading time, </w:t>
      </w:r>
      <w:r w:rsidRPr="003C1705">
        <w:lastRenderedPageBreak/>
        <w:t>dashboard response time, data upload processing time, forecast generation time, report generation time, and system behavior during multiple user sessions. These results will be summarized using descriptive statistics and compared with practical benchmarks determined by the researchers and stakeholders.</w:t>
      </w:r>
    </w:p>
    <w:p w14:paraId="06B72338" w14:textId="77777777" w:rsidR="001F340B" w:rsidRPr="003C1705" w:rsidRDefault="00A73F00" w:rsidP="003C1705">
      <w:pPr>
        <w:pStyle w:val="ThesisBody"/>
      </w:pPr>
      <w:r w:rsidRPr="003C1705">
        <w:t>Security testing will examine whether the platform protects user access and health-related surveillance data. The system will be checked for secure login, password protection, role-based access, unauthorized access prevention, audit logs, database protection, backup procedures, and secure handling of uploaded files. Since the project uses surveillance and health-related data, the evaluation will focus on data privacy, access control, accountability, and responsible handling of records. No biological safety risk assessment is required unless the project later includes handling of biological specimens or laboratory materials.</w:t>
      </w:r>
    </w:p>
    <w:p w14:paraId="3ACED830" w14:textId="77777777" w:rsidR="001F340B" w:rsidRPr="003C1705" w:rsidRDefault="00A73F00" w:rsidP="003C1705">
      <w:pPr>
        <w:pStyle w:val="ThesisBody"/>
      </w:pPr>
      <w:r w:rsidRPr="003C1705">
        <w:t>Technical acceptability will be assessed using a researcher-made questionnaire informed by technology acceptance constructs. The questionnaire may include indicators on perceived usefulness, perceived ease of use, trust in AI-generated outputs, compatibility with current surveillance workflows, clarity of alert levels, and willingness to use the platform during future implementation. These constructs are appropriate because technology acceptance research in healthcare consistently identifies perceived usefulness, perceived ease of use, behavioral intention, trust, and facilitating conditions as important factors in technology adoption (AlQudah et al., 2021).</w:t>
      </w:r>
    </w:p>
    <w:p w14:paraId="2C486FCC" w14:textId="77777777" w:rsidR="001F340B" w:rsidRPr="003C1705" w:rsidRDefault="00A73F00" w:rsidP="003C1705">
      <w:pPr>
        <w:pStyle w:val="ThesisBody"/>
      </w:pPr>
      <w:r w:rsidRPr="003C1705">
        <w:t xml:space="preserve">The researcher-made questionnaire will undergo expert validation before use. Experts may review the items for clarity, relevance, appropriateness, and alignment with the study objectives. If the number of respondents is sufficient, internal consistency may be examined. Quantitative responses will be analyzed using </w:t>
      </w:r>
      <w:r w:rsidRPr="003C1705">
        <w:lastRenderedPageBreak/>
        <w:t>frequency, percentage, mean, and standard deviation. Open-ended responses will be analyzed qualitatively to identify recurring concerns and recommendations.</w:t>
      </w:r>
    </w:p>
    <w:p w14:paraId="71F5AE16" w14:textId="5731C4EC" w:rsidR="001F340B" w:rsidRPr="003C1705" w:rsidRDefault="000B0704" w:rsidP="003C1705">
      <w:pPr>
        <w:pStyle w:val="Heading3"/>
        <w:spacing w:line="480" w:lineRule="auto"/>
      </w:pPr>
      <w:r w:rsidRPr="003C1705">
        <w:t xml:space="preserve">Study 3: Pilot Implementation and Validation of the </w:t>
      </w:r>
      <w:proofErr w:type="spellStart"/>
      <w:r w:rsidR="003C1705">
        <w:t>HealthAlert</w:t>
      </w:r>
      <w:proofErr w:type="spellEnd"/>
      <w:r w:rsidRPr="003C1705">
        <w:t xml:space="preserve"> Platform</w:t>
      </w:r>
    </w:p>
    <w:p w14:paraId="79247F0B" w14:textId="12A08333" w:rsidR="001F340B" w:rsidRPr="003C1705" w:rsidRDefault="00A73F00" w:rsidP="003C1705">
      <w:pPr>
        <w:pStyle w:val="ThesisBody"/>
      </w:pPr>
      <w:r w:rsidRPr="003C1705">
        <w:t xml:space="preserve">The effectiveness of </w:t>
      </w:r>
      <w:proofErr w:type="spellStart"/>
      <w:r w:rsidR="003C1705">
        <w:t>HealthAlert</w:t>
      </w:r>
      <w:proofErr w:type="spellEnd"/>
      <w:r w:rsidRPr="003C1705">
        <w:t xml:space="preserve"> will be evaluated based on how well it supports regularly updated disease surveillance, outbreak detection, early warning generation, and evidence-based public health decision-making. This evaluation will focus on whether the platform helps users interpret disease data more clearly, identify high-risk areas, recognize possible outbreak signals, and prioritize locations that require closer monitoring.</w:t>
      </w:r>
    </w:p>
    <w:p w14:paraId="082ACF59" w14:textId="77777777" w:rsidR="001F340B" w:rsidRPr="003C1705" w:rsidRDefault="00A73F00" w:rsidP="003C1705">
      <w:pPr>
        <w:pStyle w:val="ThesisBody"/>
      </w:pPr>
      <w:r w:rsidRPr="003C1705">
        <w:t>Effectiveness indicators may include the platform’s ability to display disease trends clearly, present forecast outputs understandably, identify municipalities or areas with increasing disease activity, generate useful early warning alerts, support faster interpretation of surveillance data, and provide outputs relevant to public health workflows. The researchers will also examine whether users consider the platform helpful in supporting planning, monitoring, reporting, and decision-making.</w:t>
      </w:r>
    </w:p>
    <w:p w14:paraId="6D6130AB" w14:textId="77777777" w:rsidR="001F340B" w:rsidRPr="003C1705" w:rsidRDefault="00A73F00" w:rsidP="003C1705">
      <w:pPr>
        <w:pStyle w:val="ThesisBody"/>
      </w:pPr>
      <w:r w:rsidRPr="003C1705">
        <w:t>Data for effectiveness evaluation may be collected through user surveys, observation checklists, key informant interviews, focus group discussions, expert review, system logs, and implementation logs. The combination of these sources will allow the researchers to evaluate both measurable system outputs and user experience in the actual implementation setting.</w:t>
      </w:r>
    </w:p>
    <w:p w14:paraId="4494F7D2" w14:textId="77777777" w:rsidR="001F340B" w:rsidRPr="003C1705" w:rsidRDefault="00A73F00" w:rsidP="003C1705">
      <w:pPr>
        <w:pStyle w:val="ThesisBody"/>
      </w:pPr>
      <w:r w:rsidRPr="003C1705">
        <w:t xml:space="preserve">The platform will also be assessed in terms of usability, acceptability, and user satisfaction among healthcare providers, disease surveillance personnel, and public health officials. Usability will be measured using the System Usability Scale. Acceptability and satisfaction may be measured using a researcher-made Likert-scale </w:t>
      </w:r>
      <w:r w:rsidRPr="003C1705">
        <w:lastRenderedPageBreak/>
        <w:t>questionnaire guided by technology acceptance and information systems evaluation concepts. Items may include perceived usefulness, perceived ease of use, trust in forecast outputs, workflow compatibility, clarity of dashboards and alerts, adequacy of reports, and willingness to continue using the platform.</w:t>
      </w:r>
    </w:p>
    <w:p w14:paraId="21F41C1E" w14:textId="77777777" w:rsidR="001F340B" w:rsidRPr="003C1705" w:rsidRDefault="00A73F00" w:rsidP="003C1705">
      <w:pPr>
        <w:pStyle w:val="ThesisBody"/>
      </w:pPr>
      <w:r w:rsidRPr="003C1705">
        <w:t>Structured questionnaires using a five-point Likert scale may be administered to collect quantitative feedback. The scale may range from 1, strongly disagree, to 5, strongly agree. Open-ended questions may also be included to capture user suggestions, concerns, and recommendations for improvement.</w:t>
      </w:r>
    </w:p>
    <w:p w14:paraId="2CE762CC" w14:textId="77777777" w:rsidR="001F340B" w:rsidRPr="003C1705" w:rsidRDefault="00A73F00" w:rsidP="003C1705">
      <w:pPr>
        <w:pStyle w:val="ThesisBody"/>
      </w:pPr>
      <w:r w:rsidRPr="003C1705">
        <w:t>Operational and technical indicators may include system uptime, login reliability, data upload success rate, dashboard loading time, forecast generation time, report generation time, alert generation accuracy, frequency of system errors, user access issues, interoperability concerns, data quality issues, and internet connectivity problems. The researchers will maintain an implementation log throughout the pilot period to record technical issues, user-reported problems, data upload concerns, system errors, corrective actions, and recommendations from participants.</w:t>
      </w:r>
    </w:p>
    <w:p w14:paraId="43C5F2EB" w14:textId="77777777" w:rsidR="001F340B" w:rsidRPr="003C1705" w:rsidRDefault="00A73F00" w:rsidP="003C1705">
      <w:pPr>
        <w:pStyle w:val="ThesisBody"/>
      </w:pPr>
      <w:r w:rsidRPr="003C1705">
        <w:t>Quantitative data will be analyzed using descriptive statistics such as frequency, percentage, mean, and standard deviation. Predictive model performance will be analyzed using forecasting and classification metrics such as MAE, RMSE, accuracy, precision, recall, sensitivity, specificity, F1-score, confusion matrix analysis, and related reliability indicators. SUS scores will be computed and interpreted based on established scoring procedures. System performance indicators, such as loading time and forecast generation time, will be compared with practical benchmarks determined by the researchers and stakeholders.</w:t>
      </w:r>
    </w:p>
    <w:p w14:paraId="1C04EDCD" w14:textId="77777777" w:rsidR="001F340B" w:rsidRPr="003C1705" w:rsidRDefault="00A73F00" w:rsidP="003C1705">
      <w:pPr>
        <w:pStyle w:val="ThesisBody"/>
      </w:pPr>
      <w:r w:rsidRPr="003C1705">
        <w:t xml:space="preserve">Qualitative data from interviews, focus group discussions, open-ended survey responses, user observations, and implementation logs will be analyzed using thematic </w:t>
      </w:r>
      <w:r w:rsidRPr="003C1705">
        <w:lastRenderedPageBreak/>
        <w:t>analysis. The researchers will begin by familiarizing themselves with the data, generating initial codes, grouping related codes, identifying recurring themes, reviewing and refining themes, and interpreting the themes in relation to the study objectives. Braun and Clarke (2021) describe reflexive thematic analysis as a flexible qualitative approach that supports the interpretation of patterns across qualitative data, while Braun and Clarke (2022) provide practical guidance for conducting thematic analysis.</w:t>
      </w:r>
    </w:p>
    <w:p w14:paraId="04238F71" w14:textId="77777777" w:rsidR="001F340B" w:rsidRPr="003C1705" w:rsidRDefault="00A73F00" w:rsidP="003C1705">
      <w:pPr>
        <w:pStyle w:val="ThesisBody"/>
      </w:pPr>
      <w:r w:rsidRPr="003C1705">
        <w:t>Possible themes may include perceived usefulness, trust in AI-generated predictions, workflow compatibility, dashboard clarity, data availability issues, training needs, technical constraints, institutional readiness, and recommendations for scaling. The findings will be used to refine the platform, improve training materials, clarify alert interpretation, strengthen data workflows, and prepare recommendations for future adoption or integration into public health surveillance programs.</w:t>
      </w:r>
    </w:p>
    <w:p w14:paraId="63429DD7" w14:textId="77777777" w:rsidR="001F340B" w:rsidRPr="003C1705" w:rsidRDefault="00A73F00" w:rsidP="003C1705">
      <w:pPr>
        <w:pStyle w:val="Heading2"/>
        <w:spacing w:line="480" w:lineRule="auto"/>
      </w:pPr>
      <w:r w:rsidRPr="003C1705">
        <w:t>Ethical Considerations</w:t>
      </w:r>
    </w:p>
    <w:p w14:paraId="0DAE3F5D" w14:textId="558C3C08" w:rsidR="001F340B" w:rsidRPr="003C1705" w:rsidRDefault="00A73F00" w:rsidP="003C1705">
      <w:pPr>
        <w:pStyle w:val="ThesisBody"/>
      </w:pPr>
      <w:r w:rsidRPr="003C1705">
        <w:t xml:space="preserve">This project will observe ethical principles in all phases of the development, implementation, and validation of </w:t>
      </w:r>
      <w:proofErr w:type="spellStart"/>
      <w:r w:rsidR="003C1705">
        <w:t>HealthAlert</w:t>
      </w:r>
      <w:proofErr w:type="spellEnd"/>
      <w:r w:rsidRPr="003C1705">
        <w:t>. Since the project involves disease surveillance data, health-related information, predictive analytics, software development, and participation of public health personnel, the researchers will ensure privacy, confidentiality, transparency, accountability, and responsible use of data.</w:t>
      </w:r>
    </w:p>
    <w:p w14:paraId="70C188BB" w14:textId="77777777" w:rsidR="001F340B" w:rsidRPr="003C1705" w:rsidRDefault="00A73F00" w:rsidP="003C1705">
      <w:pPr>
        <w:pStyle w:val="ThesisBody"/>
      </w:pPr>
      <w:r w:rsidRPr="003C1705">
        <w:t xml:space="preserve">Before data collection, system development, pilot implementation, and user evaluation, the researchers will secure the necessary ethics clearance, institutional approvals, and data-sharing agreements from concerned agencies and participating institutions. The project will comply with institutional policies, public health data governance requirements, and the Data Privacy Act of 2012. The Data Privacy Act </w:t>
      </w:r>
      <w:r w:rsidRPr="003C1705">
        <w:lastRenderedPageBreak/>
        <w:t>emphasizes the principles of transparency, legitimate purpose, and proportionality in the processing of personal information; these principles will guide the handling of all project-related data.</w:t>
      </w:r>
    </w:p>
    <w:p w14:paraId="4BA765BE" w14:textId="77777777" w:rsidR="001F340B" w:rsidRPr="003C1705" w:rsidRDefault="00A73F00" w:rsidP="003C1705">
      <w:pPr>
        <w:pStyle w:val="ThesisBody"/>
      </w:pPr>
      <w:r w:rsidRPr="003C1705">
        <w:t>For model development, only authorized datasets obtained through approved channels will be used. Disease surveillance, clinical, environmental, and other health-related data will be handled confidentially. Whenever possible, the researchers will use aggregated data by municipality, barangay, epidemiological week, or reporting period. If individual-level data are required, personal identifiers will be removed or de-identified before processing. Data cleaning, preprocessing, feature extraction, model training, model evaluation, and model updating will be conducted in a secure environment accessible only to authorized project personnel.</w:t>
      </w:r>
    </w:p>
    <w:p w14:paraId="6FF714F2" w14:textId="7F7B0623" w:rsidR="001F340B" w:rsidRPr="003C1705" w:rsidRDefault="00A73F00" w:rsidP="003C1705">
      <w:pPr>
        <w:pStyle w:val="ThesisBody"/>
      </w:pPr>
      <w:r w:rsidRPr="003C1705">
        <w:t xml:space="preserve">For platform development, privacy and security will be considered from the system design stage. </w:t>
      </w:r>
      <w:proofErr w:type="spellStart"/>
      <w:r w:rsidR="003C1705">
        <w:t>HealthAlert</w:t>
      </w:r>
      <w:proofErr w:type="spellEnd"/>
      <w:r w:rsidRPr="003C1705">
        <w:t xml:space="preserve"> will use role-based access control, secure login procedures, user authentication, access restrictions, audit logs, database protection, and backup procedures. These measures will help protect uploaded data, forecast results, alert records, user accounts, system logs, and model version records. Data minimization will also be observed by collecting and processing only the data needed for disease surveillance, forecasting, evaluation, and system improvement.</w:t>
      </w:r>
    </w:p>
    <w:p w14:paraId="74EB6978" w14:textId="77777777" w:rsidR="001F340B" w:rsidRPr="003C1705" w:rsidRDefault="00A73F00" w:rsidP="003C1705">
      <w:pPr>
        <w:pStyle w:val="ThesisBody"/>
      </w:pPr>
      <w:r w:rsidRPr="003C1705">
        <w:t xml:space="preserve">For pilot implementation and validation, participants involved in interviews, focus group discussions, surveys, usability testing, acceptability assessment, and user satisfaction evaluation will be informed about the purpose of the project, the nature of their participation, the expected activities, and the confidentiality of their responses. Informed consent will be obtained before participation. Participation will be voluntary, and participants may decline or withdraw from evaluation activities without penalty. </w:t>
      </w:r>
      <w:r w:rsidRPr="003C1705">
        <w:lastRenderedPageBreak/>
        <w:t>Responses will be reported in summarized or anonymized form, and no participant will be personally identified in reports, presentations, or publications.</w:t>
      </w:r>
    </w:p>
    <w:p w14:paraId="063A0D9E" w14:textId="77777777" w:rsidR="001F340B" w:rsidRPr="003C1705" w:rsidRDefault="00A73F00" w:rsidP="003C1705">
      <w:pPr>
        <w:pStyle w:val="ThesisBody"/>
      </w:pPr>
      <w:r w:rsidRPr="003C1705">
        <w:t>The AI-generated forecasts, risk classifications, and early warning alerts will be treated as decision-support outputs, not as final public health decisions. The platform will assist users in identifying possible disease trends, outbreak signals, and high-risk areas, but public health actions will remain under the judgment of authorized health officials and healthcare professionals. Model limitations, possible false alarms, missed signals, forecasting uncertainty, and data quality issues will be documented and communicated responsibly to prevent overreliance on automated outputs.</w:t>
      </w:r>
    </w:p>
    <w:p w14:paraId="7C2924F6" w14:textId="77777777" w:rsidR="001F340B" w:rsidRPr="003C1705" w:rsidRDefault="00A73F00" w:rsidP="003C1705">
      <w:pPr>
        <w:pStyle w:val="ThesisBody"/>
      </w:pPr>
      <w:r w:rsidRPr="003C1705">
        <w:t>If controlled continuous learning or model updating is implemented, updated models will not automatically replace deployed models without review. New data will first undergo validation and quality checking, and any retrained model will be evaluated and compared with the existing model before deployment. Model versions, training data coverage, evaluation results, deployment dates, and approval decisions will be documented to support transparency, traceability, and accountability.</w:t>
      </w:r>
    </w:p>
    <w:p w14:paraId="517BE4E8" w14:textId="77777777" w:rsidR="001F340B" w:rsidRPr="003C1705" w:rsidRDefault="00A73F00" w:rsidP="003C1705">
      <w:pPr>
        <w:pStyle w:val="ThesisBody"/>
      </w:pPr>
      <w:r w:rsidRPr="003C1705">
        <w:t>Access to datasets, source code, credentials, model files, and system records will be limited to authorized project personnel. Research data will be retained only as long as necessary for project completion, validation, reporting, and approved institutional requirements, unless otherwise allowed by data-sharing agreements. After the retention period, data will be securely archived, anonymized, or disposed of according to institutional and regulatory requirements.</w:t>
      </w:r>
    </w:p>
    <w:p w14:paraId="190975B8" w14:textId="77777777" w:rsidR="001F340B" w:rsidRPr="003C1705" w:rsidRDefault="00A73F00" w:rsidP="003C1705">
      <w:pPr>
        <w:pStyle w:val="ThesisBody"/>
      </w:pPr>
      <w:r w:rsidRPr="003C1705">
        <w:t xml:space="preserve">If social media or other digital signals are used, the researchers will limit processing to publicly available, non-identifying, and aggregated information, subject to ethics approval and applicable platform terms. These data will be treated as </w:t>
      </w:r>
      <w:r w:rsidRPr="003C1705">
        <w:lastRenderedPageBreak/>
        <w:t>supplementary indicators only and will not replace official surveillance records or authorized public health reports.</w:t>
      </w:r>
    </w:p>
    <w:p w14:paraId="1AF5DABA" w14:textId="77777777" w:rsidR="001F340B" w:rsidRPr="003C1705" w:rsidRDefault="00A73F00" w:rsidP="003C1705">
      <w:pPr>
        <w:pStyle w:val="ThesisBody"/>
      </w:pPr>
      <w:r w:rsidRPr="003C1705">
        <w:t>No biological safety risk is expected because the project will not involve the collection, handling, storage, transport, or laboratory processing of biological specimens. The ethical risks are mainly related to data privacy, confidentiality, responsible AI use, participant consent, system security, and proper interpretation of decision-support outputs.</w:t>
      </w:r>
    </w:p>
    <w:p w14:paraId="64D4E4F7" w14:textId="77777777" w:rsidR="001F340B" w:rsidRPr="003C1705" w:rsidRDefault="00A73F00" w:rsidP="003C1705">
      <w:pPr>
        <w:pStyle w:val="ThesisBody"/>
      </w:pPr>
      <w:r w:rsidRPr="003C1705">
        <w:t>Overall, the ethical conduct of the project will be guided by respect for persons, protection of privacy, responsible data use, technical accountability, and public health benefit.</w:t>
      </w:r>
    </w:p>
    <w:p w14:paraId="5660B7F0" w14:textId="77777777" w:rsidR="001F340B" w:rsidRPr="003C1705" w:rsidRDefault="00A73F00" w:rsidP="003C1705">
      <w:pPr>
        <w:pStyle w:val="Heading1"/>
        <w:pageBreakBefore/>
        <w:spacing w:line="480" w:lineRule="auto"/>
      </w:pPr>
      <w:r w:rsidRPr="003C1705">
        <w:lastRenderedPageBreak/>
        <w:t>VI. POTENTIAL OUTCOMES &amp; IMPACTS</w:t>
      </w:r>
    </w:p>
    <w:p w14:paraId="577D54B8" w14:textId="0AF34628" w:rsidR="001F340B" w:rsidRPr="003C1705" w:rsidRDefault="00A73F00" w:rsidP="003C1705">
      <w:pPr>
        <w:pStyle w:val="ThesisBody"/>
      </w:pPr>
      <w:r w:rsidRPr="003C1705">
        <w:t xml:space="preserve">The </w:t>
      </w:r>
      <w:proofErr w:type="spellStart"/>
      <w:r w:rsidR="003C1705">
        <w:t>HealthAlert</w:t>
      </w:r>
      <w:proofErr w:type="spellEnd"/>
      <w:r w:rsidRPr="003C1705">
        <w:t xml:space="preserve"> project is expected to contribute to the strengthening of disease surveillance, outbreak preparedness, and data-driven public health decision-making in Region I. By combining disease surveillance data, environmental indicators, predictive analytics, dashboard visualization, early warning alerts, and pilot implementation, the project may provide practical evidence on how AI-assisted systems can support existing public health workflows.</w:t>
      </w:r>
    </w:p>
    <w:p w14:paraId="7E27EB36" w14:textId="77777777" w:rsidR="001F340B" w:rsidRPr="003C1705" w:rsidRDefault="00A73F00" w:rsidP="003C1705">
      <w:pPr>
        <w:pStyle w:val="ThesisBody"/>
      </w:pPr>
      <w:r w:rsidRPr="003C1705">
        <w:t>The project is not intended to replace the judgment of public health officials, disease surveillance personnel, or healthcare providers. Instead, it will serve as a decision-support tool that can help users organize surveillance data, identify emerging trends, interpret forecast results, and prioritize areas that may require closer monitoring. The expected impacts are therefore both technical and institutional: the project will produce digital tools and predictive models, while also generating implementation lessons and policy recommendations for the responsible use of AI in public health surveillance.</w:t>
      </w:r>
    </w:p>
    <w:p w14:paraId="5C7764AF" w14:textId="77777777" w:rsidR="001F340B" w:rsidRPr="003C1705" w:rsidRDefault="00A73F00" w:rsidP="003C1705">
      <w:pPr>
        <w:pStyle w:val="Heading2"/>
        <w:spacing w:line="480" w:lineRule="auto"/>
      </w:pPr>
      <w:r w:rsidRPr="003C1705">
        <w:t>Potential Outcomes</w:t>
      </w:r>
    </w:p>
    <w:p w14:paraId="6B5E8755" w14:textId="251EDC76" w:rsidR="001F340B" w:rsidRPr="003C1705" w:rsidRDefault="00A73F00" w:rsidP="003C1705">
      <w:pPr>
        <w:pStyle w:val="ThesisBody"/>
      </w:pPr>
      <w:r w:rsidRPr="003C1705">
        <w:t xml:space="preserve">The project is expected to produce a functional </w:t>
      </w:r>
      <w:proofErr w:type="spellStart"/>
      <w:r w:rsidR="003C1705">
        <w:t>HealthAlert</w:t>
      </w:r>
      <w:proofErr w:type="spellEnd"/>
      <w:r w:rsidRPr="003C1705">
        <w:t xml:space="preserve"> prototype for integrated disease surveillance and predictive analytics. The platform will include modules for data upload, data validation, dashboard visualization, geospatial monitoring, disease forecasting, outbreak risk classification, early warning alerts, reporting, user management, and system administration. The prototype may be deployed and pilot-tested in selected public health and healthcare settings in Region I.</w:t>
      </w:r>
    </w:p>
    <w:p w14:paraId="247AA817" w14:textId="77777777" w:rsidR="001F340B" w:rsidRPr="003C1705" w:rsidRDefault="00A73F00" w:rsidP="003C1705">
      <w:pPr>
        <w:pStyle w:val="ThesisBody"/>
      </w:pPr>
      <w:r w:rsidRPr="003C1705">
        <w:t xml:space="preserve">Another expected outcome is the development of disease-specific forecasting and outbreak risk classification models for dengue fever, </w:t>
      </w:r>
      <w:r w:rsidR="000D5C78" w:rsidRPr="003C1705">
        <w:t>measles</w:t>
      </w:r>
      <w:r w:rsidRPr="003C1705">
        <w:t xml:space="preserve">, and influenza-like </w:t>
      </w:r>
      <w:r w:rsidRPr="003C1705">
        <w:lastRenderedPageBreak/>
        <w:t>illnesses. These models will be trained and evaluated using available epidemiological, environmental, geographic, and other approved health-related datasets. The outputs may include predicted case counts, risk classifications, alert indicators, model performance reports, and model documentation for platform integration.</w:t>
      </w:r>
    </w:p>
    <w:p w14:paraId="108F3687" w14:textId="77777777" w:rsidR="001F340B" w:rsidRPr="003C1705" w:rsidRDefault="00A73F00" w:rsidP="003C1705">
      <w:pPr>
        <w:pStyle w:val="ThesisBody"/>
      </w:pPr>
      <w:r w:rsidRPr="003C1705">
        <w:t>The project may also produce cleaned, standardized, and integrated datasets that can support exploratory, temporal, and spatial disease analysis. These datasets may help describe disease trends, seasonal patterns, geographic risk areas, and possible outbreak-related indicators in Region I. When available and approved, supplementary data sources such as clinical records, digital health-related signals, or other relevant indicators may also be explored to improve situational awareness.</w:t>
      </w:r>
    </w:p>
    <w:p w14:paraId="612B870C" w14:textId="0B811EAF" w:rsidR="001F340B" w:rsidRPr="003C1705" w:rsidRDefault="00A73F00" w:rsidP="003C1705">
      <w:pPr>
        <w:pStyle w:val="ThesisBody"/>
      </w:pPr>
      <w:r w:rsidRPr="003C1705">
        <w:t xml:space="preserve">The pilot implementation is expected to generate evidence on the usability, functionality, responsiveness, security, technical acceptability, and operational feasibility of the </w:t>
      </w:r>
      <w:proofErr w:type="spellStart"/>
      <w:r w:rsidR="003C1705">
        <w:t>HealthAlert</w:t>
      </w:r>
      <w:proofErr w:type="spellEnd"/>
      <w:r w:rsidRPr="003C1705">
        <w:t xml:space="preserve"> platform. User feedback from public health personnel, disease surveillance staff, healthcare providers, and other stakeholders will help identify system strengths, limitations, and areas for improvement.</w:t>
      </w:r>
    </w:p>
    <w:p w14:paraId="5DE8C56D" w14:textId="77777777" w:rsidR="001F340B" w:rsidRPr="003C1705" w:rsidRDefault="00A73F00" w:rsidP="003C1705">
      <w:pPr>
        <w:pStyle w:val="ThesisBody"/>
      </w:pPr>
      <w:r w:rsidRPr="003C1705">
        <w:t>The project is also expected to produce technical documentation, user guides, implementation findings, research publications, and policy recommendations. These outputs may guide the future adoption, scaling, and integration of AI-assisted surveillance tools into regional public health workflows. Policy recommendations may cover data-sharing procedures, privacy safeguards, model validation, alert interpretation, user training, system maintenance, and future expansion to other diseases or local government units.</w:t>
      </w:r>
    </w:p>
    <w:p w14:paraId="45EAE048" w14:textId="77777777" w:rsidR="001F340B" w:rsidRPr="003C1705" w:rsidRDefault="00A73F00" w:rsidP="003C1705">
      <w:pPr>
        <w:pStyle w:val="Heading2"/>
        <w:spacing w:line="480" w:lineRule="auto"/>
      </w:pPr>
      <w:r w:rsidRPr="003C1705">
        <w:lastRenderedPageBreak/>
        <w:t>Social Impact</w:t>
      </w:r>
    </w:p>
    <w:p w14:paraId="5EAB0365" w14:textId="7E5FFA73" w:rsidR="001F340B" w:rsidRPr="003C1705" w:rsidRDefault="00A73F00" w:rsidP="003C1705">
      <w:pPr>
        <w:pStyle w:val="ThesisBody"/>
      </w:pPr>
      <w:r w:rsidRPr="003C1705">
        <w:t xml:space="preserve">The project may support public health institutions in improving the timeliness and clarity of disease surveillance. By providing dashboards, maps, forecasts, alerts, and reports, </w:t>
      </w:r>
      <w:proofErr w:type="spellStart"/>
      <w:r w:rsidR="003C1705">
        <w:t>HealthAlert</w:t>
      </w:r>
      <w:proofErr w:type="spellEnd"/>
      <w:r w:rsidRPr="003C1705">
        <w:t xml:space="preserve"> can help public health personnel monitor disease activity more efficiently and recognize possible outbreak signals earlier. This may be especially useful for diseases such as dengue fever, </w:t>
      </w:r>
      <w:r w:rsidR="000D5C78" w:rsidRPr="003C1705">
        <w:t>measles</w:t>
      </w:r>
      <w:r w:rsidRPr="003C1705">
        <w:t>, and influenza-like illnesses, which often require timely monitoring and coordinated response.</w:t>
      </w:r>
    </w:p>
    <w:p w14:paraId="61AE2057" w14:textId="77777777" w:rsidR="001F340B" w:rsidRPr="003C1705" w:rsidRDefault="00A73F00" w:rsidP="003C1705">
      <w:pPr>
        <w:pStyle w:val="ThesisBody"/>
      </w:pPr>
      <w:r w:rsidRPr="003C1705">
        <w:t>For communities, the project may indirectly contribute to better outbreak preparedness and public health protection. Earlier identification of disease trends and high-risk areas can help authorities plan health education activities, intensify monitoring, prepare local response measures, and prioritize areas that need closer attention. The system may also support more evidence-based communication between regional, provincial, municipal, and facility-level health offices.</w:t>
      </w:r>
    </w:p>
    <w:p w14:paraId="701BA3F6" w14:textId="77777777" w:rsidR="001F340B" w:rsidRPr="003C1705" w:rsidRDefault="00A73F00" w:rsidP="003C1705">
      <w:pPr>
        <w:pStyle w:val="ThesisBody"/>
      </w:pPr>
      <w:r w:rsidRPr="003C1705">
        <w:t>The project may also strengthen the capacity of public health workers to use data and digital tools in disease surveillance. Through training, pilot use, and feedback activities, users can gain experience in interpreting dashboards, forecasts, risk maps, and early warning outputs. This may help improve digital health literacy and encourage more data-informed decision-making within participating institutions.</w:t>
      </w:r>
    </w:p>
    <w:p w14:paraId="6F6E05F5" w14:textId="77777777" w:rsidR="001F340B" w:rsidRPr="003C1705" w:rsidRDefault="00A73F00" w:rsidP="003C1705">
      <w:pPr>
        <w:pStyle w:val="ThesisBody"/>
      </w:pPr>
      <w:r w:rsidRPr="003C1705">
        <w:t>In addition, the project promotes responsible and ethical use of AI in public health. By treating model outputs as decision-support information rather than final decisions, the project reinforces the role of human expertise, local knowledge, and institutional protocols in public health action. This balanced approach may help build trust in AI-assisted systems while reducing the risk of overreliance on automated predictions.</w:t>
      </w:r>
    </w:p>
    <w:p w14:paraId="6AE76FED" w14:textId="77777777" w:rsidR="001F340B" w:rsidRPr="003C1705" w:rsidRDefault="00A73F00" w:rsidP="003C1705">
      <w:pPr>
        <w:pStyle w:val="Heading2"/>
        <w:spacing w:line="480" w:lineRule="auto"/>
      </w:pPr>
      <w:r w:rsidRPr="003C1705">
        <w:lastRenderedPageBreak/>
        <w:t>Economic Impact</w:t>
      </w:r>
    </w:p>
    <w:p w14:paraId="4BBDD4E7" w14:textId="77777777" w:rsidR="001F340B" w:rsidRPr="003C1705" w:rsidRDefault="00A73F00" w:rsidP="003C1705">
      <w:pPr>
        <w:pStyle w:val="ThesisBody"/>
      </w:pPr>
      <w:r w:rsidRPr="003C1705">
        <w:t>The project may contribute to more efficient use of public health resources by helping authorities identify areas that may require closer monitoring, preparedness activities, or timely intervention. While the project will not directly measure cost savings, improved disease monitoring and early warning support may help public health offices plan resources more strategically, including personnel deployment, surveillance activities, health education efforts, and logistics preparation.</w:t>
      </w:r>
    </w:p>
    <w:p w14:paraId="4C9D7ADB" w14:textId="0C646D5E" w:rsidR="001F340B" w:rsidRPr="003C1705" w:rsidRDefault="003C1705" w:rsidP="003C1705">
      <w:pPr>
        <w:pStyle w:val="ThesisBody"/>
      </w:pPr>
      <w:proofErr w:type="spellStart"/>
      <w:r>
        <w:t>HealthAlert</w:t>
      </w:r>
      <w:proofErr w:type="spellEnd"/>
      <w:r w:rsidR="00A73F00" w:rsidRPr="003C1705">
        <w:t xml:space="preserve"> may also reduce the time and effort required for manual consolidation, visualization, and preliminary analysis of disease surveillance data. By automating selected tasks such as data validation, dashboard generation, trend visualization, forecast display, alert generation, and report preparation, the platform can help health personnel focus more on interpretation, coordination, and response planning.</w:t>
      </w:r>
    </w:p>
    <w:p w14:paraId="507F14B3" w14:textId="77777777" w:rsidR="001F340B" w:rsidRPr="003C1705" w:rsidRDefault="00A73F00" w:rsidP="003C1705">
      <w:pPr>
        <w:pStyle w:val="ThesisBody"/>
      </w:pPr>
      <w:r w:rsidRPr="003C1705">
        <w:t>The development of the system may also strengthen local research and technical capacity in AI, software development, health informatics, and predictive analytics. This can benefit the implementing institution and partner agencies by building expertise that may be applied to future digital health projects, local government systems, and public health innovation initiatives.</w:t>
      </w:r>
    </w:p>
    <w:p w14:paraId="3649FB82" w14:textId="77777777" w:rsidR="001F340B" w:rsidRPr="003C1705" w:rsidRDefault="00A73F00" w:rsidP="003C1705">
      <w:pPr>
        <w:pStyle w:val="ThesisBody"/>
      </w:pPr>
      <w:r w:rsidRPr="003C1705">
        <w:t>In the longer term, the project may support more sustainable and scalable approaches to disease surveillance. If the pilot implementation shows positive results, the platform and its implementation guidelines may inform future expansion to other diseases, local government units, or regions. This may help reduce duplication of effort in developing separate disease monitoring tools and may support more integrated public health data systems.</w:t>
      </w:r>
    </w:p>
    <w:p w14:paraId="4F4273F5" w14:textId="77777777" w:rsidR="001F340B" w:rsidRPr="003C1705" w:rsidRDefault="00A73F00" w:rsidP="003C1705">
      <w:pPr>
        <w:pStyle w:val="Heading1"/>
        <w:pageBreakBefore/>
        <w:spacing w:line="480" w:lineRule="auto"/>
      </w:pPr>
      <w:r w:rsidRPr="003C1705">
        <w:lastRenderedPageBreak/>
        <w:t>VII. EXPECTED OUTPUTS (6Ps)</w:t>
      </w:r>
    </w:p>
    <w:tbl>
      <w:tblPr>
        <w:tblW w:w="83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1" w:lastColumn="0" w:noHBand="0" w:noVBand="1"/>
      </w:tblPr>
      <w:tblGrid>
        <w:gridCol w:w="456"/>
        <w:gridCol w:w="4210"/>
        <w:gridCol w:w="3640"/>
      </w:tblGrid>
      <w:tr w:rsidR="001F340B" w:rsidRPr="003C1705" w14:paraId="6D1ADCBA" w14:textId="77777777">
        <w:trPr>
          <w:cantSplit/>
        </w:trPr>
        <w:tc>
          <w:tcPr>
            <w:tcW w:w="8306" w:type="dxa"/>
            <w:gridSpan w:val="3"/>
            <w:shd w:val="clear" w:color="auto" w:fill="F2F2F2"/>
          </w:tcPr>
          <w:p w14:paraId="43674DA7" w14:textId="77777777" w:rsidR="001F340B" w:rsidRPr="003C1705" w:rsidRDefault="00A73F00" w:rsidP="003C1705">
            <w:pPr>
              <w:pStyle w:val="TableText"/>
              <w:spacing w:line="480" w:lineRule="auto"/>
              <w:rPr>
                <w:sz w:val="24"/>
                <w:szCs w:val="24"/>
              </w:rPr>
            </w:pPr>
            <w:r w:rsidRPr="003C1705">
              <w:rPr>
                <w:b/>
                <w:sz w:val="24"/>
                <w:szCs w:val="24"/>
              </w:rPr>
              <w:t>Publications</w:t>
            </w:r>
          </w:p>
        </w:tc>
      </w:tr>
      <w:tr w:rsidR="001F340B" w:rsidRPr="003C1705" w14:paraId="2D4DC697" w14:textId="77777777">
        <w:trPr>
          <w:cantSplit/>
        </w:trPr>
        <w:tc>
          <w:tcPr>
            <w:tcW w:w="456" w:type="dxa"/>
          </w:tcPr>
          <w:p w14:paraId="3A92BC57" w14:textId="77777777" w:rsidR="001F340B" w:rsidRPr="003C1705" w:rsidRDefault="00A73F00" w:rsidP="003C1705">
            <w:pPr>
              <w:pStyle w:val="TableText"/>
              <w:spacing w:line="480" w:lineRule="auto"/>
              <w:rPr>
                <w:sz w:val="24"/>
                <w:szCs w:val="24"/>
              </w:rPr>
            </w:pPr>
            <w:r w:rsidRPr="003C1705">
              <w:rPr>
                <w:rFonts w:ascii="Segoe UI Symbol" w:hAnsi="Segoe UI Symbol" w:cs="Segoe UI Symbol"/>
                <w:sz w:val="24"/>
                <w:szCs w:val="24"/>
              </w:rPr>
              <w:t>☐</w:t>
            </w:r>
          </w:p>
        </w:tc>
        <w:tc>
          <w:tcPr>
            <w:tcW w:w="4210" w:type="dxa"/>
          </w:tcPr>
          <w:p w14:paraId="2A501752" w14:textId="77777777" w:rsidR="001F340B" w:rsidRPr="003C1705" w:rsidRDefault="00A73F00" w:rsidP="003C1705">
            <w:pPr>
              <w:pStyle w:val="TableText"/>
              <w:spacing w:line="480" w:lineRule="auto"/>
              <w:rPr>
                <w:sz w:val="24"/>
                <w:szCs w:val="24"/>
              </w:rPr>
            </w:pPr>
            <w:r w:rsidRPr="003C1705">
              <w:rPr>
                <w:sz w:val="24"/>
                <w:szCs w:val="24"/>
              </w:rPr>
              <w:t>Number of ISI- and/or SCOPUS- indexed publications</w:t>
            </w:r>
          </w:p>
        </w:tc>
        <w:tc>
          <w:tcPr>
            <w:tcW w:w="3640" w:type="dxa"/>
          </w:tcPr>
          <w:p w14:paraId="5D9B63BA" w14:textId="77777777" w:rsidR="001F340B" w:rsidRPr="003C1705" w:rsidRDefault="00A73F00" w:rsidP="003C1705">
            <w:pPr>
              <w:pStyle w:val="TableText"/>
              <w:spacing w:line="480" w:lineRule="auto"/>
              <w:rPr>
                <w:sz w:val="24"/>
                <w:szCs w:val="24"/>
              </w:rPr>
            </w:pPr>
            <w:r w:rsidRPr="003C1705">
              <w:rPr>
                <w:sz w:val="24"/>
                <w:szCs w:val="24"/>
              </w:rPr>
              <w:t>3</w:t>
            </w:r>
          </w:p>
        </w:tc>
      </w:tr>
      <w:tr w:rsidR="001F340B" w:rsidRPr="003C1705" w14:paraId="225498A5" w14:textId="77777777">
        <w:trPr>
          <w:cantSplit/>
        </w:trPr>
        <w:tc>
          <w:tcPr>
            <w:tcW w:w="456" w:type="dxa"/>
          </w:tcPr>
          <w:p w14:paraId="1BC8578A" w14:textId="77777777" w:rsidR="001F340B" w:rsidRPr="003C1705" w:rsidRDefault="00A73F00" w:rsidP="003C1705">
            <w:pPr>
              <w:pStyle w:val="TableText"/>
              <w:spacing w:line="480" w:lineRule="auto"/>
              <w:rPr>
                <w:sz w:val="24"/>
                <w:szCs w:val="24"/>
              </w:rPr>
            </w:pPr>
            <w:r w:rsidRPr="003C1705">
              <w:rPr>
                <w:rFonts w:ascii="Segoe UI Symbol" w:hAnsi="Segoe UI Symbol" w:cs="Segoe UI Symbol"/>
                <w:sz w:val="24"/>
                <w:szCs w:val="24"/>
              </w:rPr>
              <w:t>☐</w:t>
            </w:r>
          </w:p>
        </w:tc>
        <w:tc>
          <w:tcPr>
            <w:tcW w:w="4210" w:type="dxa"/>
          </w:tcPr>
          <w:p w14:paraId="6FD303F3" w14:textId="77777777" w:rsidR="001F340B" w:rsidRPr="003C1705" w:rsidRDefault="00A73F00" w:rsidP="003C1705">
            <w:pPr>
              <w:pStyle w:val="TableText"/>
              <w:spacing w:line="480" w:lineRule="auto"/>
              <w:rPr>
                <w:sz w:val="24"/>
                <w:szCs w:val="24"/>
              </w:rPr>
            </w:pPr>
            <w:r w:rsidRPr="003C1705">
              <w:rPr>
                <w:sz w:val="24"/>
                <w:szCs w:val="24"/>
              </w:rPr>
              <w:t>High impact factor journal publication</w:t>
            </w:r>
          </w:p>
        </w:tc>
        <w:tc>
          <w:tcPr>
            <w:tcW w:w="3640" w:type="dxa"/>
          </w:tcPr>
          <w:p w14:paraId="0D4B71AC" w14:textId="77777777" w:rsidR="001F340B" w:rsidRPr="003C1705" w:rsidRDefault="001F340B" w:rsidP="003C1705">
            <w:pPr>
              <w:pStyle w:val="TableText"/>
              <w:spacing w:line="480" w:lineRule="auto"/>
              <w:rPr>
                <w:sz w:val="24"/>
                <w:szCs w:val="24"/>
              </w:rPr>
            </w:pPr>
          </w:p>
        </w:tc>
      </w:tr>
      <w:tr w:rsidR="001F340B" w:rsidRPr="003C1705" w14:paraId="2FAA029E" w14:textId="77777777">
        <w:trPr>
          <w:cantSplit/>
        </w:trPr>
        <w:tc>
          <w:tcPr>
            <w:tcW w:w="456" w:type="dxa"/>
          </w:tcPr>
          <w:p w14:paraId="2270BE85" w14:textId="77777777" w:rsidR="001F340B" w:rsidRPr="003C1705" w:rsidRDefault="00A73F00" w:rsidP="003C1705">
            <w:pPr>
              <w:pStyle w:val="TableText"/>
              <w:spacing w:line="480" w:lineRule="auto"/>
              <w:rPr>
                <w:sz w:val="24"/>
                <w:szCs w:val="24"/>
              </w:rPr>
            </w:pPr>
            <w:r w:rsidRPr="003C1705">
              <w:rPr>
                <w:rFonts w:ascii="Segoe UI Symbol" w:hAnsi="Segoe UI Symbol" w:cs="Segoe UI Symbol"/>
                <w:sz w:val="24"/>
                <w:szCs w:val="24"/>
              </w:rPr>
              <w:t>☐</w:t>
            </w:r>
          </w:p>
        </w:tc>
        <w:tc>
          <w:tcPr>
            <w:tcW w:w="4210" w:type="dxa"/>
          </w:tcPr>
          <w:p w14:paraId="5A49C038" w14:textId="77777777" w:rsidR="001F340B" w:rsidRPr="003C1705" w:rsidRDefault="00A73F00" w:rsidP="003C1705">
            <w:pPr>
              <w:pStyle w:val="TableText"/>
              <w:spacing w:line="480" w:lineRule="auto"/>
              <w:rPr>
                <w:sz w:val="24"/>
                <w:szCs w:val="24"/>
              </w:rPr>
            </w:pPr>
            <w:r w:rsidRPr="003C1705">
              <w:rPr>
                <w:sz w:val="24"/>
                <w:szCs w:val="24"/>
              </w:rPr>
              <w:t>Industry Article Citation Impact (i.e., the influence and impact)</w:t>
            </w:r>
          </w:p>
        </w:tc>
        <w:tc>
          <w:tcPr>
            <w:tcW w:w="3640" w:type="dxa"/>
          </w:tcPr>
          <w:p w14:paraId="5A5FFE42" w14:textId="77777777" w:rsidR="001F340B" w:rsidRPr="003C1705" w:rsidRDefault="001F340B" w:rsidP="003C1705">
            <w:pPr>
              <w:pStyle w:val="TableText"/>
              <w:spacing w:line="480" w:lineRule="auto"/>
              <w:rPr>
                <w:sz w:val="24"/>
                <w:szCs w:val="24"/>
              </w:rPr>
            </w:pPr>
          </w:p>
        </w:tc>
      </w:tr>
      <w:tr w:rsidR="001F340B" w:rsidRPr="003C1705" w14:paraId="50AB3AB8" w14:textId="77777777">
        <w:trPr>
          <w:cantSplit/>
        </w:trPr>
        <w:tc>
          <w:tcPr>
            <w:tcW w:w="8306" w:type="dxa"/>
            <w:gridSpan w:val="3"/>
            <w:shd w:val="clear" w:color="auto" w:fill="F2F2F2"/>
          </w:tcPr>
          <w:p w14:paraId="28333CAB" w14:textId="77777777" w:rsidR="001F340B" w:rsidRPr="003C1705" w:rsidRDefault="00A73F00" w:rsidP="003C1705">
            <w:pPr>
              <w:pStyle w:val="TableText"/>
              <w:spacing w:line="480" w:lineRule="auto"/>
              <w:rPr>
                <w:sz w:val="24"/>
                <w:szCs w:val="24"/>
              </w:rPr>
            </w:pPr>
            <w:r w:rsidRPr="003C1705">
              <w:rPr>
                <w:b/>
                <w:sz w:val="24"/>
                <w:szCs w:val="24"/>
              </w:rPr>
              <w:t>Patents</w:t>
            </w:r>
          </w:p>
        </w:tc>
      </w:tr>
      <w:tr w:rsidR="001F340B" w:rsidRPr="003C1705" w14:paraId="4CD03530" w14:textId="77777777">
        <w:trPr>
          <w:cantSplit/>
        </w:trPr>
        <w:tc>
          <w:tcPr>
            <w:tcW w:w="456" w:type="dxa"/>
          </w:tcPr>
          <w:p w14:paraId="53F89370" w14:textId="77777777" w:rsidR="001F340B" w:rsidRPr="003C1705" w:rsidRDefault="00A73F00" w:rsidP="003C1705">
            <w:pPr>
              <w:pStyle w:val="TableText"/>
              <w:spacing w:line="480" w:lineRule="auto"/>
              <w:rPr>
                <w:sz w:val="24"/>
                <w:szCs w:val="24"/>
              </w:rPr>
            </w:pPr>
            <w:r w:rsidRPr="003C1705">
              <w:rPr>
                <w:rFonts w:ascii="Segoe UI Symbol" w:hAnsi="Segoe UI Symbol" w:cs="Segoe UI Symbol"/>
                <w:sz w:val="24"/>
                <w:szCs w:val="24"/>
              </w:rPr>
              <w:t>☐</w:t>
            </w:r>
          </w:p>
        </w:tc>
        <w:tc>
          <w:tcPr>
            <w:tcW w:w="4210" w:type="dxa"/>
          </w:tcPr>
          <w:p w14:paraId="023D0D6D" w14:textId="77777777" w:rsidR="001F340B" w:rsidRPr="003C1705" w:rsidRDefault="00A73F00" w:rsidP="003C1705">
            <w:pPr>
              <w:pStyle w:val="TableText"/>
              <w:spacing w:line="480" w:lineRule="auto"/>
              <w:rPr>
                <w:sz w:val="24"/>
                <w:szCs w:val="24"/>
              </w:rPr>
            </w:pPr>
            <w:r w:rsidRPr="003C1705">
              <w:rPr>
                <w:sz w:val="24"/>
                <w:szCs w:val="24"/>
              </w:rPr>
              <w:t>Total Patent Volume (registered under WIPO/ IPOPHL)</w:t>
            </w:r>
          </w:p>
        </w:tc>
        <w:tc>
          <w:tcPr>
            <w:tcW w:w="3640" w:type="dxa"/>
          </w:tcPr>
          <w:p w14:paraId="7B38CAFD" w14:textId="77777777" w:rsidR="001F340B" w:rsidRPr="003C1705" w:rsidRDefault="001F340B" w:rsidP="003C1705">
            <w:pPr>
              <w:pStyle w:val="TableText"/>
              <w:spacing w:line="480" w:lineRule="auto"/>
              <w:rPr>
                <w:sz w:val="24"/>
                <w:szCs w:val="24"/>
              </w:rPr>
            </w:pPr>
          </w:p>
        </w:tc>
      </w:tr>
      <w:tr w:rsidR="001F340B" w:rsidRPr="003C1705" w14:paraId="7764DCC8" w14:textId="77777777">
        <w:trPr>
          <w:cantSplit/>
        </w:trPr>
        <w:tc>
          <w:tcPr>
            <w:tcW w:w="456" w:type="dxa"/>
          </w:tcPr>
          <w:p w14:paraId="6A9544C8" w14:textId="77777777" w:rsidR="001F340B" w:rsidRPr="003C1705" w:rsidRDefault="00A73F00" w:rsidP="003C1705">
            <w:pPr>
              <w:pStyle w:val="TableText"/>
              <w:spacing w:line="480" w:lineRule="auto"/>
              <w:rPr>
                <w:sz w:val="24"/>
                <w:szCs w:val="24"/>
              </w:rPr>
            </w:pPr>
            <w:r w:rsidRPr="003C1705">
              <w:rPr>
                <w:rFonts w:ascii="Segoe UI Symbol" w:hAnsi="Segoe UI Symbol" w:cs="Segoe UI Symbol"/>
                <w:sz w:val="24"/>
                <w:szCs w:val="24"/>
              </w:rPr>
              <w:t>☐</w:t>
            </w:r>
          </w:p>
        </w:tc>
        <w:tc>
          <w:tcPr>
            <w:tcW w:w="4210" w:type="dxa"/>
          </w:tcPr>
          <w:p w14:paraId="7B7C9E65" w14:textId="77777777" w:rsidR="001F340B" w:rsidRPr="003C1705" w:rsidRDefault="00A73F00" w:rsidP="003C1705">
            <w:pPr>
              <w:pStyle w:val="TableText"/>
              <w:spacing w:line="480" w:lineRule="auto"/>
              <w:rPr>
                <w:sz w:val="24"/>
                <w:szCs w:val="24"/>
              </w:rPr>
            </w:pPr>
            <w:r w:rsidRPr="003C1705">
              <w:rPr>
                <w:sz w:val="24"/>
                <w:szCs w:val="24"/>
              </w:rPr>
              <w:t>Total Patent Success (i.e., the ratio of patent application to grants over the assessed timeframe)</w:t>
            </w:r>
          </w:p>
        </w:tc>
        <w:tc>
          <w:tcPr>
            <w:tcW w:w="3640" w:type="dxa"/>
          </w:tcPr>
          <w:p w14:paraId="76D57E8D" w14:textId="77777777" w:rsidR="001F340B" w:rsidRPr="003C1705" w:rsidRDefault="001F340B" w:rsidP="003C1705">
            <w:pPr>
              <w:pStyle w:val="TableText"/>
              <w:spacing w:line="480" w:lineRule="auto"/>
              <w:rPr>
                <w:sz w:val="24"/>
                <w:szCs w:val="24"/>
              </w:rPr>
            </w:pPr>
          </w:p>
        </w:tc>
      </w:tr>
      <w:tr w:rsidR="001F340B" w:rsidRPr="003C1705" w14:paraId="53503D41" w14:textId="77777777">
        <w:trPr>
          <w:cantSplit/>
        </w:trPr>
        <w:tc>
          <w:tcPr>
            <w:tcW w:w="456" w:type="dxa"/>
          </w:tcPr>
          <w:p w14:paraId="7376E4B5" w14:textId="77777777" w:rsidR="001F340B" w:rsidRPr="003C1705" w:rsidRDefault="00A73F00" w:rsidP="003C1705">
            <w:pPr>
              <w:pStyle w:val="TableText"/>
              <w:spacing w:line="480" w:lineRule="auto"/>
              <w:rPr>
                <w:sz w:val="24"/>
                <w:szCs w:val="24"/>
              </w:rPr>
            </w:pPr>
            <w:r w:rsidRPr="003C1705">
              <w:rPr>
                <w:rFonts w:ascii="Segoe UI Symbol" w:hAnsi="Segoe UI Symbol" w:cs="Segoe UI Symbol"/>
                <w:sz w:val="24"/>
                <w:szCs w:val="24"/>
              </w:rPr>
              <w:t>☐</w:t>
            </w:r>
          </w:p>
        </w:tc>
        <w:tc>
          <w:tcPr>
            <w:tcW w:w="4210" w:type="dxa"/>
          </w:tcPr>
          <w:p w14:paraId="3330DDEE" w14:textId="77777777" w:rsidR="001F340B" w:rsidRPr="003C1705" w:rsidRDefault="00A73F00" w:rsidP="003C1705">
            <w:pPr>
              <w:pStyle w:val="TableText"/>
              <w:spacing w:line="480" w:lineRule="auto"/>
              <w:rPr>
                <w:sz w:val="24"/>
                <w:szCs w:val="24"/>
              </w:rPr>
            </w:pPr>
            <w:r w:rsidRPr="003C1705">
              <w:rPr>
                <w:sz w:val="24"/>
                <w:szCs w:val="24"/>
              </w:rPr>
              <w:t>Number of Global Patents (…US, European and Japanese patent offices)</w:t>
            </w:r>
          </w:p>
        </w:tc>
        <w:tc>
          <w:tcPr>
            <w:tcW w:w="3640" w:type="dxa"/>
          </w:tcPr>
          <w:p w14:paraId="74BEB5C5" w14:textId="77777777" w:rsidR="001F340B" w:rsidRPr="003C1705" w:rsidRDefault="001F340B" w:rsidP="003C1705">
            <w:pPr>
              <w:pStyle w:val="TableText"/>
              <w:spacing w:line="480" w:lineRule="auto"/>
              <w:rPr>
                <w:sz w:val="24"/>
                <w:szCs w:val="24"/>
              </w:rPr>
            </w:pPr>
          </w:p>
        </w:tc>
      </w:tr>
      <w:tr w:rsidR="001F340B" w:rsidRPr="003C1705" w14:paraId="5AAC80BE" w14:textId="77777777">
        <w:trPr>
          <w:cantSplit/>
        </w:trPr>
        <w:tc>
          <w:tcPr>
            <w:tcW w:w="456" w:type="dxa"/>
          </w:tcPr>
          <w:p w14:paraId="484AB5AA" w14:textId="77777777" w:rsidR="001F340B" w:rsidRPr="003C1705" w:rsidRDefault="00A73F00" w:rsidP="003C1705">
            <w:pPr>
              <w:pStyle w:val="TableText"/>
              <w:spacing w:line="480" w:lineRule="auto"/>
              <w:rPr>
                <w:sz w:val="24"/>
                <w:szCs w:val="24"/>
              </w:rPr>
            </w:pPr>
            <w:r w:rsidRPr="003C1705">
              <w:rPr>
                <w:rFonts w:ascii="Segoe UI Symbol" w:hAnsi="Segoe UI Symbol" w:cs="Segoe UI Symbol"/>
                <w:sz w:val="24"/>
                <w:szCs w:val="24"/>
              </w:rPr>
              <w:t>☐</w:t>
            </w:r>
          </w:p>
        </w:tc>
        <w:tc>
          <w:tcPr>
            <w:tcW w:w="4210" w:type="dxa"/>
          </w:tcPr>
          <w:p w14:paraId="7528066F" w14:textId="77777777" w:rsidR="001F340B" w:rsidRPr="003C1705" w:rsidRDefault="00A73F00" w:rsidP="003C1705">
            <w:pPr>
              <w:pStyle w:val="TableText"/>
              <w:spacing w:line="480" w:lineRule="auto"/>
              <w:rPr>
                <w:sz w:val="24"/>
                <w:szCs w:val="24"/>
              </w:rPr>
            </w:pPr>
            <w:r w:rsidRPr="003C1705">
              <w:rPr>
                <w:sz w:val="24"/>
                <w:szCs w:val="24"/>
              </w:rPr>
              <w:t>Number of utility models (filed and granted by WIPO/IPOPHL)</w:t>
            </w:r>
          </w:p>
        </w:tc>
        <w:tc>
          <w:tcPr>
            <w:tcW w:w="3640" w:type="dxa"/>
          </w:tcPr>
          <w:p w14:paraId="1B8BBBB3" w14:textId="77777777" w:rsidR="001F340B" w:rsidRPr="003C1705" w:rsidRDefault="00A73F00" w:rsidP="003C1705">
            <w:pPr>
              <w:pStyle w:val="TableText"/>
              <w:spacing w:line="480" w:lineRule="auto"/>
              <w:rPr>
                <w:sz w:val="24"/>
                <w:szCs w:val="24"/>
              </w:rPr>
            </w:pPr>
            <w:r w:rsidRPr="003C1705">
              <w:rPr>
                <w:sz w:val="24"/>
                <w:szCs w:val="24"/>
              </w:rPr>
              <w:t>1</w:t>
            </w:r>
          </w:p>
        </w:tc>
      </w:tr>
      <w:tr w:rsidR="001F340B" w:rsidRPr="003C1705" w14:paraId="7545555C" w14:textId="77777777">
        <w:trPr>
          <w:cantSplit/>
        </w:trPr>
        <w:tc>
          <w:tcPr>
            <w:tcW w:w="456" w:type="dxa"/>
          </w:tcPr>
          <w:p w14:paraId="26D3D423" w14:textId="77777777" w:rsidR="001F340B" w:rsidRPr="003C1705" w:rsidRDefault="00A73F00" w:rsidP="003C1705">
            <w:pPr>
              <w:pStyle w:val="TableText"/>
              <w:spacing w:line="480" w:lineRule="auto"/>
              <w:rPr>
                <w:sz w:val="24"/>
                <w:szCs w:val="24"/>
              </w:rPr>
            </w:pPr>
            <w:r w:rsidRPr="003C1705">
              <w:rPr>
                <w:rFonts w:ascii="Segoe UI Symbol" w:hAnsi="Segoe UI Symbol" w:cs="Segoe UI Symbol"/>
                <w:sz w:val="24"/>
                <w:szCs w:val="24"/>
              </w:rPr>
              <w:t>☐</w:t>
            </w:r>
          </w:p>
        </w:tc>
        <w:tc>
          <w:tcPr>
            <w:tcW w:w="4210" w:type="dxa"/>
          </w:tcPr>
          <w:p w14:paraId="277E17C3" w14:textId="77777777" w:rsidR="001F340B" w:rsidRPr="003C1705" w:rsidRDefault="00A73F00" w:rsidP="003C1705">
            <w:pPr>
              <w:pStyle w:val="TableText"/>
              <w:spacing w:line="480" w:lineRule="auto"/>
              <w:rPr>
                <w:sz w:val="24"/>
                <w:szCs w:val="24"/>
              </w:rPr>
            </w:pPr>
            <w:r w:rsidRPr="003C1705">
              <w:rPr>
                <w:sz w:val="24"/>
                <w:szCs w:val="24"/>
              </w:rPr>
              <w:t>Patent Citations (i.e., total number of times a patent has been cited by other patents)</w:t>
            </w:r>
          </w:p>
        </w:tc>
        <w:tc>
          <w:tcPr>
            <w:tcW w:w="3640" w:type="dxa"/>
          </w:tcPr>
          <w:p w14:paraId="2B624D89" w14:textId="77777777" w:rsidR="001F340B" w:rsidRPr="003C1705" w:rsidRDefault="001F340B" w:rsidP="003C1705">
            <w:pPr>
              <w:pStyle w:val="TableText"/>
              <w:spacing w:line="480" w:lineRule="auto"/>
              <w:rPr>
                <w:sz w:val="24"/>
                <w:szCs w:val="24"/>
              </w:rPr>
            </w:pPr>
          </w:p>
        </w:tc>
      </w:tr>
      <w:tr w:rsidR="001F340B" w:rsidRPr="003C1705" w14:paraId="36F00819" w14:textId="77777777">
        <w:trPr>
          <w:cantSplit/>
        </w:trPr>
        <w:tc>
          <w:tcPr>
            <w:tcW w:w="456" w:type="dxa"/>
          </w:tcPr>
          <w:p w14:paraId="7FE8AD65" w14:textId="77777777" w:rsidR="001F340B" w:rsidRPr="003C1705" w:rsidRDefault="00A73F00" w:rsidP="003C1705">
            <w:pPr>
              <w:pStyle w:val="TableText"/>
              <w:spacing w:line="480" w:lineRule="auto"/>
              <w:rPr>
                <w:sz w:val="24"/>
                <w:szCs w:val="24"/>
              </w:rPr>
            </w:pPr>
            <w:r w:rsidRPr="003C1705">
              <w:rPr>
                <w:rFonts w:ascii="Segoe UI Symbol" w:hAnsi="Segoe UI Symbol" w:cs="Segoe UI Symbol"/>
                <w:sz w:val="24"/>
                <w:szCs w:val="24"/>
              </w:rPr>
              <w:t>☐</w:t>
            </w:r>
          </w:p>
        </w:tc>
        <w:tc>
          <w:tcPr>
            <w:tcW w:w="4210" w:type="dxa"/>
          </w:tcPr>
          <w:p w14:paraId="1C50E904" w14:textId="77777777" w:rsidR="001F340B" w:rsidRPr="003C1705" w:rsidRDefault="00A73F00" w:rsidP="003C1705">
            <w:pPr>
              <w:pStyle w:val="TableText"/>
              <w:spacing w:line="480" w:lineRule="auto"/>
              <w:rPr>
                <w:sz w:val="24"/>
                <w:szCs w:val="24"/>
              </w:rPr>
            </w:pPr>
            <w:r w:rsidRPr="003C1705">
              <w:rPr>
                <w:sz w:val="24"/>
                <w:szCs w:val="24"/>
              </w:rPr>
              <w:t>Percent of Patents Cited (…cited by other patents one or more times)</w:t>
            </w:r>
          </w:p>
        </w:tc>
        <w:tc>
          <w:tcPr>
            <w:tcW w:w="3640" w:type="dxa"/>
          </w:tcPr>
          <w:p w14:paraId="6707F287" w14:textId="77777777" w:rsidR="001F340B" w:rsidRPr="003C1705" w:rsidRDefault="001F340B" w:rsidP="003C1705">
            <w:pPr>
              <w:pStyle w:val="TableText"/>
              <w:spacing w:line="480" w:lineRule="auto"/>
              <w:rPr>
                <w:sz w:val="24"/>
                <w:szCs w:val="24"/>
              </w:rPr>
            </w:pPr>
          </w:p>
        </w:tc>
      </w:tr>
      <w:tr w:rsidR="001F340B" w:rsidRPr="003C1705" w14:paraId="3657CD98" w14:textId="77777777">
        <w:trPr>
          <w:cantSplit/>
        </w:trPr>
        <w:tc>
          <w:tcPr>
            <w:tcW w:w="456" w:type="dxa"/>
          </w:tcPr>
          <w:p w14:paraId="317385DE" w14:textId="77777777" w:rsidR="001F340B" w:rsidRPr="003C1705" w:rsidRDefault="00A73F00" w:rsidP="003C1705">
            <w:pPr>
              <w:pStyle w:val="TableText"/>
              <w:spacing w:line="480" w:lineRule="auto"/>
              <w:rPr>
                <w:sz w:val="24"/>
                <w:szCs w:val="24"/>
              </w:rPr>
            </w:pPr>
            <w:r w:rsidRPr="003C1705">
              <w:rPr>
                <w:rFonts w:ascii="Segoe UI Symbol" w:hAnsi="Segoe UI Symbol" w:cs="Segoe UI Symbol"/>
                <w:sz w:val="24"/>
                <w:szCs w:val="24"/>
              </w:rPr>
              <w:lastRenderedPageBreak/>
              <w:t>☐</w:t>
            </w:r>
          </w:p>
        </w:tc>
        <w:tc>
          <w:tcPr>
            <w:tcW w:w="4210" w:type="dxa"/>
          </w:tcPr>
          <w:p w14:paraId="37E366DF" w14:textId="77777777" w:rsidR="001F340B" w:rsidRPr="003C1705" w:rsidRDefault="00A73F00" w:rsidP="003C1705">
            <w:pPr>
              <w:pStyle w:val="TableText"/>
              <w:spacing w:line="480" w:lineRule="auto"/>
              <w:rPr>
                <w:sz w:val="24"/>
                <w:szCs w:val="24"/>
              </w:rPr>
            </w:pPr>
            <w:r w:rsidRPr="003C1705">
              <w:rPr>
                <w:sz w:val="24"/>
                <w:szCs w:val="24"/>
              </w:rPr>
              <w:t>Number Utility Models filed</w:t>
            </w:r>
          </w:p>
        </w:tc>
        <w:tc>
          <w:tcPr>
            <w:tcW w:w="3640" w:type="dxa"/>
          </w:tcPr>
          <w:p w14:paraId="29EE4EF5" w14:textId="77777777" w:rsidR="001F340B" w:rsidRPr="003C1705" w:rsidRDefault="001F340B" w:rsidP="003C1705">
            <w:pPr>
              <w:pStyle w:val="TableText"/>
              <w:spacing w:line="480" w:lineRule="auto"/>
              <w:rPr>
                <w:sz w:val="24"/>
                <w:szCs w:val="24"/>
              </w:rPr>
            </w:pPr>
          </w:p>
        </w:tc>
      </w:tr>
      <w:tr w:rsidR="001F340B" w:rsidRPr="003C1705" w14:paraId="293D29B1" w14:textId="77777777">
        <w:trPr>
          <w:cantSplit/>
        </w:trPr>
        <w:tc>
          <w:tcPr>
            <w:tcW w:w="456" w:type="dxa"/>
          </w:tcPr>
          <w:p w14:paraId="617709B9" w14:textId="77777777" w:rsidR="001F340B" w:rsidRPr="003C1705" w:rsidRDefault="00A73F00" w:rsidP="003C1705">
            <w:pPr>
              <w:pStyle w:val="TableText"/>
              <w:spacing w:line="480" w:lineRule="auto"/>
              <w:rPr>
                <w:sz w:val="24"/>
                <w:szCs w:val="24"/>
              </w:rPr>
            </w:pPr>
            <w:r w:rsidRPr="003C1705">
              <w:rPr>
                <w:rFonts w:ascii="Segoe UI Symbol" w:hAnsi="Segoe UI Symbol" w:cs="Segoe UI Symbol"/>
                <w:sz w:val="24"/>
                <w:szCs w:val="24"/>
              </w:rPr>
              <w:t>☐</w:t>
            </w:r>
          </w:p>
        </w:tc>
        <w:tc>
          <w:tcPr>
            <w:tcW w:w="4210" w:type="dxa"/>
          </w:tcPr>
          <w:p w14:paraId="2EBCDF51" w14:textId="77777777" w:rsidR="001F340B" w:rsidRPr="003C1705" w:rsidRDefault="00A73F00" w:rsidP="003C1705">
            <w:pPr>
              <w:pStyle w:val="TableText"/>
              <w:spacing w:line="480" w:lineRule="auto"/>
              <w:rPr>
                <w:sz w:val="24"/>
                <w:szCs w:val="24"/>
              </w:rPr>
            </w:pPr>
            <w:r w:rsidRPr="003C1705">
              <w:rPr>
                <w:sz w:val="24"/>
                <w:szCs w:val="24"/>
              </w:rPr>
              <w:t>Number of Utility Models granted</w:t>
            </w:r>
          </w:p>
        </w:tc>
        <w:tc>
          <w:tcPr>
            <w:tcW w:w="3640" w:type="dxa"/>
          </w:tcPr>
          <w:p w14:paraId="1ECFE97D" w14:textId="77777777" w:rsidR="001F340B" w:rsidRPr="003C1705" w:rsidRDefault="001F340B" w:rsidP="003C1705">
            <w:pPr>
              <w:pStyle w:val="TableText"/>
              <w:spacing w:line="480" w:lineRule="auto"/>
              <w:rPr>
                <w:sz w:val="24"/>
                <w:szCs w:val="24"/>
              </w:rPr>
            </w:pPr>
          </w:p>
        </w:tc>
      </w:tr>
      <w:tr w:rsidR="001F340B" w:rsidRPr="003C1705" w14:paraId="1CE6B07A" w14:textId="77777777">
        <w:trPr>
          <w:cantSplit/>
        </w:trPr>
        <w:tc>
          <w:tcPr>
            <w:tcW w:w="456" w:type="dxa"/>
          </w:tcPr>
          <w:p w14:paraId="2A753781" w14:textId="77777777" w:rsidR="001F340B" w:rsidRPr="003C1705" w:rsidRDefault="00A73F00" w:rsidP="003C1705">
            <w:pPr>
              <w:pStyle w:val="TableText"/>
              <w:spacing w:line="480" w:lineRule="auto"/>
              <w:rPr>
                <w:sz w:val="24"/>
                <w:szCs w:val="24"/>
              </w:rPr>
            </w:pPr>
            <w:r w:rsidRPr="003C1705">
              <w:rPr>
                <w:rFonts w:ascii="Segoe UI Symbol" w:hAnsi="Segoe UI Symbol" w:cs="Segoe UI Symbol"/>
                <w:sz w:val="24"/>
                <w:szCs w:val="24"/>
              </w:rPr>
              <w:t>☐</w:t>
            </w:r>
          </w:p>
        </w:tc>
        <w:tc>
          <w:tcPr>
            <w:tcW w:w="4210" w:type="dxa"/>
          </w:tcPr>
          <w:p w14:paraId="6DDF1F49" w14:textId="77777777" w:rsidR="001F340B" w:rsidRPr="003C1705" w:rsidRDefault="00A73F00" w:rsidP="003C1705">
            <w:pPr>
              <w:pStyle w:val="TableText"/>
              <w:spacing w:line="480" w:lineRule="auto"/>
              <w:rPr>
                <w:sz w:val="24"/>
                <w:szCs w:val="24"/>
              </w:rPr>
            </w:pPr>
            <w:r w:rsidRPr="003C1705">
              <w:rPr>
                <w:sz w:val="24"/>
                <w:szCs w:val="24"/>
              </w:rPr>
              <w:t>Number IP Patents filed</w:t>
            </w:r>
          </w:p>
        </w:tc>
        <w:tc>
          <w:tcPr>
            <w:tcW w:w="3640" w:type="dxa"/>
          </w:tcPr>
          <w:p w14:paraId="23C0220A" w14:textId="77777777" w:rsidR="001F340B" w:rsidRPr="003C1705" w:rsidRDefault="001F340B" w:rsidP="003C1705">
            <w:pPr>
              <w:pStyle w:val="TableText"/>
              <w:spacing w:line="480" w:lineRule="auto"/>
              <w:rPr>
                <w:sz w:val="24"/>
                <w:szCs w:val="24"/>
              </w:rPr>
            </w:pPr>
          </w:p>
        </w:tc>
      </w:tr>
      <w:tr w:rsidR="001F340B" w:rsidRPr="003C1705" w14:paraId="0560DCBA" w14:textId="77777777">
        <w:trPr>
          <w:cantSplit/>
        </w:trPr>
        <w:tc>
          <w:tcPr>
            <w:tcW w:w="456" w:type="dxa"/>
          </w:tcPr>
          <w:p w14:paraId="590CFFCD" w14:textId="77777777" w:rsidR="001F340B" w:rsidRPr="003C1705" w:rsidRDefault="00A73F00" w:rsidP="003C1705">
            <w:pPr>
              <w:pStyle w:val="TableText"/>
              <w:spacing w:line="480" w:lineRule="auto"/>
              <w:rPr>
                <w:sz w:val="24"/>
                <w:szCs w:val="24"/>
              </w:rPr>
            </w:pPr>
            <w:r w:rsidRPr="003C1705">
              <w:rPr>
                <w:rFonts w:ascii="Segoe UI Symbol" w:hAnsi="Segoe UI Symbol" w:cs="Segoe UI Symbol"/>
                <w:sz w:val="24"/>
                <w:szCs w:val="24"/>
              </w:rPr>
              <w:t>☐</w:t>
            </w:r>
          </w:p>
        </w:tc>
        <w:tc>
          <w:tcPr>
            <w:tcW w:w="4210" w:type="dxa"/>
          </w:tcPr>
          <w:p w14:paraId="62BE4040" w14:textId="77777777" w:rsidR="001F340B" w:rsidRPr="003C1705" w:rsidRDefault="00A73F00" w:rsidP="003C1705">
            <w:pPr>
              <w:pStyle w:val="TableText"/>
              <w:spacing w:line="480" w:lineRule="auto"/>
              <w:rPr>
                <w:sz w:val="24"/>
                <w:szCs w:val="24"/>
              </w:rPr>
            </w:pPr>
            <w:r w:rsidRPr="003C1705">
              <w:rPr>
                <w:sz w:val="24"/>
                <w:szCs w:val="24"/>
              </w:rPr>
              <w:t>Number of Patents granted</w:t>
            </w:r>
          </w:p>
        </w:tc>
        <w:tc>
          <w:tcPr>
            <w:tcW w:w="3640" w:type="dxa"/>
          </w:tcPr>
          <w:p w14:paraId="37B3BCDB" w14:textId="77777777" w:rsidR="001F340B" w:rsidRPr="003C1705" w:rsidRDefault="001F340B" w:rsidP="003C1705">
            <w:pPr>
              <w:pStyle w:val="TableText"/>
              <w:spacing w:line="480" w:lineRule="auto"/>
              <w:rPr>
                <w:sz w:val="24"/>
                <w:szCs w:val="24"/>
              </w:rPr>
            </w:pPr>
          </w:p>
        </w:tc>
      </w:tr>
      <w:tr w:rsidR="001F340B" w:rsidRPr="003C1705" w14:paraId="5ECBD8E2" w14:textId="77777777">
        <w:trPr>
          <w:cantSplit/>
        </w:trPr>
        <w:tc>
          <w:tcPr>
            <w:tcW w:w="8306" w:type="dxa"/>
            <w:gridSpan w:val="3"/>
            <w:shd w:val="clear" w:color="auto" w:fill="F2F2F2"/>
          </w:tcPr>
          <w:p w14:paraId="700083C4" w14:textId="77777777" w:rsidR="001F340B" w:rsidRPr="003C1705" w:rsidRDefault="00A73F00" w:rsidP="003C1705">
            <w:pPr>
              <w:pStyle w:val="TableText"/>
              <w:spacing w:line="480" w:lineRule="auto"/>
              <w:rPr>
                <w:sz w:val="24"/>
                <w:szCs w:val="24"/>
              </w:rPr>
            </w:pPr>
            <w:r w:rsidRPr="003C1705">
              <w:rPr>
                <w:b/>
                <w:sz w:val="24"/>
                <w:szCs w:val="24"/>
              </w:rPr>
              <w:t>Products/Processes</w:t>
            </w:r>
          </w:p>
        </w:tc>
      </w:tr>
      <w:tr w:rsidR="001F340B" w:rsidRPr="003C1705" w14:paraId="25BD2A6D" w14:textId="77777777">
        <w:trPr>
          <w:cantSplit/>
        </w:trPr>
        <w:tc>
          <w:tcPr>
            <w:tcW w:w="456" w:type="dxa"/>
          </w:tcPr>
          <w:p w14:paraId="4D4C387B" w14:textId="77777777" w:rsidR="001F340B" w:rsidRPr="003C1705" w:rsidRDefault="00A73F00" w:rsidP="003C1705">
            <w:pPr>
              <w:pStyle w:val="TableText"/>
              <w:spacing w:line="480" w:lineRule="auto"/>
              <w:rPr>
                <w:sz w:val="24"/>
                <w:szCs w:val="24"/>
              </w:rPr>
            </w:pPr>
            <w:r w:rsidRPr="003C1705">
              <w:rPr>
                <w:rFonts w:ascii="Segoe UI Symbol" w:hAnsi="Segoe UI Symbol" w:cs="Segoe UI Symbol"/>
                <w:sz w:val="24"/>
                <w:szCs w:val="24"/>
              </w:rPr>
              <w:t>☐</w:t>
            </w:r>
          </w:p>
        </w:tc>
        <w:tc>
          <w:tcPr>
            <w:tcW w:w="4210" w:type="dxa"/>
          </w:tcPr>
          <w:p w14:paraId="001FB37C" w14:textId="77777777" w:rsidR="001F340B" w:rsidRPr="003C1705" w:rsidRDefault="00A73F00" w:rsidP="003C1705">
            <w:pPr>
              <w:pStyle w:val="TableText"/>
              <w:spacing w:line="480" w:lineRule="auto"/>
              <w:rPr>
                <w:sz w:val="24"/>
                <w:szCs w:val="24"/>
              </w:rPr>
            </w:pPr>
            <w:r w:rsidRPr="003C1705">
              <w:rPr>
                <w:sz w:val="24"/>
                <w:szCs w:val="24"/>
              </w:rPr>
              <w:t>R&amp;D Ideation informed by industry, consumer, community, or market needs aligned with industry</w:t>
            </w:r>
          </w:p>
        </w:tc>
        <w:tc>
          <w:tcPr>
            <w:tcW w:w="3640" w:type="dxa"/>
          </w:tcPr>
          <w:p w14:paraId="5B3545A1" w14:textId="77777777" w:rsidR="001F340B" w:rsidRPr="003C1705" w:rsidRDefault="001F340B" w:rsidP="003C1705">
            <w:pPr>
              <w:pStyle w:val="TableText"/>
              <w:spacing w:line="480" w:lineRule="auto"/>
              <w:rPr>
                <w:sz w:val="24"/>
                <w:szCs w:val="24"/>
              </w:rPr>
            </w:pPr>
          </w:p>
        </w:tc>
      </w:tr>
      <w:tr w:rsidR="001F340B" w:rsidRPr="003C1705" w14:paraId="2BB2A358" w14:textId="77777777">
        <w:trPr>
          <w:cantSplit/>
        </w:trPr>
        <w:tc>
          <w:tcPr>
            <w:tcW w:w="456" w:type="dxa"/>
          </w:tcPr>
          <w:p w14:paraId="65115FE7" w14:textId="77777777" w:rsidR="001F340B" w:rsidRPr="003C1705" w:rsidRDefault="001F340B" w:rsidP="003C1705">
            <w:pPr>
              <w:pStyle w:val="TableText"/>
              <w:spacing w:line="480" w:lineRule="auto"/>
              <w:rPr>
                <w:sz w:val="24"/>
                <w:szCs w:val="24"/>
              </w:rPr>
            </w:pPr>
          </w:p>
        </w:tc>
        <w:tc>
          <w:tcPr>
            <w:tcW w:w="4210" w:type="dxa"/>
          </w:tcPr>
          <w:p w14:paraId="6699059F" w14:textId="77777777" w:rsidR="001F340B" w:rsidRPr="003C1705" w:rsidRDefault="00A73F00" w:rsidP="003C1705">
            <w:pPr>
              <w:pStyle w:val="TableText"/>
              <w:spacing w:line="480" w:lineRule="auto"/>
              <w:rPr>
                <w:sz w:val="24"/>
                <w:szCs w:val="24"/>
              </w:rPr>
            </w:pPr>
            <w:r w:rsidRPr="003C1705">
              <w:rPr>
                <w:sz w:val="24"/>
                <w:szCs w:val="24"/>
              </w:rPr>
              <w:t>Technology Readiness (select the category that best fits the proposed R&amp;D)</w:t>
            </w:r>
          </w:p>
        </w:tc>
        <w:tc>
          <w:tcPr>
            <w:tcW w:w="3640" w:type="dxa"/>
          </w:tcPr>
          <w:p w14:paraId="17798366" w14:textId="77777777" w:rsidR="001F340B" w:rsidRPr="003C1705" w:rsidRDefault="001F340B" w:rsidP="003C1705">
            <w:pPr>
              <w:pStyle w:val="TableText"/>
              <w:spacing w:line="480" w:lineRule="auto"/>
              <w:rPr>
                <w:sz w:val="24"/>
                <w:szCs w:val="24"/>
              </w:rPr>
            </w:pPr>
          </w:p>
        </w:tc>
      </w:tr>
      <w:tr w:rsidR="001F340B" w:rsidRPr="003C1705" w14:paraId="120BFB97" w14:textId="77777777">
        <w:trPr>
          <w:cantSplit/>
        </w:trPr>
        <w:tc>
          <w:tcPr>
            <w:tcW w:w="456" w:type="dxa"/>
          </w:tcPr>
          <w:p w14:paraId="7F311EC9" w14:textId="77777777" w:rsidR="001F340B" w:rsidRPr="003C1705" w:rsidRDefault="00A73F00" w:rsidP="003C1705">
            <w:pPr>
              <w:pStyle w:val="TableText"/>
              <w:spacing w:line="480" w:lineRule="auto"/>
              <w:rPr>
                <w:sz w:val="24"/>
                <w:szCs w:val="24"/>
              </w:rPr>
            </w:pPr>
            <w:r w:rsidRPr="003C1705">
              <w:rPr>
                <w:rFonts w:ascii="Segoe UI Symbol" w:hAnsi="Segoe UI Symbol" w:cs="Segoe UI Symbol"/>
                <w:sz w:val="24"/>
                <w:szCs w:val="24"/>
              </w:rPr>
              <w:t>☐</w:t>
            </w:r>
          </w:p>
        </w:tc>
        <w:tc>
          <w:tcPr>
            <w:tcW w:w="4210" w:type="dxa"/>
          </w:tcPr>
          <w:p w14:paraId="1A771196" w14:textId="77777777" w:rsidR="001F340B" w:rsidRPr="003C1705" w:rsidRDefault="00A73F00" w:rsidP="003C1705">
            <w:pPr>
              <w:pStyle w:val="TableText"/>
              <w:spacing w:line="480" w:lineRule="auto"/>
              <w:rPr>
                <w:sz w:val="24"/>
                <w:szCs w:val="24"/>
              </w:rPr>
            </w:pPr>
            <w:r w:rsidRPr="003C1705">
              <w:rPr>
                <w:sz w:val="24"/>
                <w:szCs w:val="24"/>
              </w:rPr>
              <w:t>TRL 1 – Basic principles and research</w:t>
            </w:r>
          </w:p>
        </w:tc>
        <w:tc>
          <w:tcPr>
            <w:tcW w:w="3640" w:type="dxa"/>
          </w:tcPr>
          <w:p w14:paraId="64EA780A" w14:textId="77777777" w:rsidR="001F340B" w:rsidRPr="003C1705" w:rsidRDefault="001F340B" w:rsidP="003C1705">
            <w:pPr>
              <w:pStyle w:val="TableText"/>
              <w:spacing w:line="480" w:lineRule="auto"/>
              <w:rPr>
                <w:sz w:val="24"/>
                <w:szCs w:val="24"/>
              </w:rPr>
            </w:pPr>
          </w:p>
        </w:tc>
      </w:tr>
      <w:tr w:rsidR="001F340B" w:rsidRPr="003C1705" w14:paraId="6CADB45F" w14:textId="77777777">
        <w:trPr>
          <w:cantSplit/>
        </w:trPr>
        <w:tc>
          <w:tcPr>
            <w:tcW w:w="456" w:type="dxa"/>
          </w:tcPr>
          <w:p w14:paraId="70BF8F2B" w14:textId="77777777" w:rsidR="001F340B" w:rsidRPr="003C1705" w:rsidRDefault="00A73F00" w:rsidP="003C1705">
            <w:pPr>
              <w:pStyle w:val="TableText"/>
              <w:spacing w:line="480" w:lineRule="auto"/>
              <w:rPr>
                <w:sz w:val="24"/>
                <w:szCs w:val="24"/>
              </w:rPr>
            </w:pPr>
            <w:r w:rsidRPr="003C1705">
              <w:rPr>
                <w:rFonts w:ascii="Segoe UI Symbol" w:hAnsi="Segoe UI Symbol" w:cs="Segoe UI Symbol"/>
                <w:sz w:val="24"/>
                <w:szCs w:val="24"/>
              </w:rPr>
              <w:t>☐</w:t>
            </w:r>
          </w:p>
        </w:tc>
        <w:tc>
          <w:tcPr>
            <w:tcW w:w="4210" w:type="dxa"/>
          </w:tcPr>
          <w:p w14:paraId="7FE4511D" w14:textId="77777777" w:rsidR="001F340B" w:rsidRPr="003C1705" w:rsidRDefault="00A73F00" w:rsidP="003C1705">
            <w:pPr>
              <w:pStyle w:val="TableText"/>
              <w:spacing w:line="480" w:lineRule="auto"/>
              <w:rPr>
                <w:sz w:val="24"/>
                <w:szCs w:val="24"/>
              </w:rPr>
            </w:pPr>
            <w:r w:rsidRPr="003C1705">
              <w:rPr>
                <w:sz w:val="24"/>
                <w:szCs w:val="24"/>
              </w:rPr>
              <w:t>TRL 2 – Application formulated</w:t>
            </w:r>
          </w:p>
        </w:tc>
        <w:tc>
          <w:tcPr>
            <w:tcW w:w="3640" w:type="dxa"/>
          </w:tcPr>
          <w:p w14:paraId="7508C655" w14:textId="77777777" w:rsidR="001F340B" w:rsidRPr="003C1705" w:rsidRDefault="001F340B" w:rsidP="003C1705">
            <w:pPr>
              <w:pStyle w:val="TableText"/>
              <w:spacing w:line="480" w:lineRule="auto"/>
              <w:rPr>
                <w:sz w:val="24"/>
                <w:szCs w:val="24"/>
              </w:rPr>
            </w:pPr>
          </w:p>
        </w:tc>
      </w:tr>
      <w:tr w:rsidR="001F340B" w:rsidRPr="003C1705" w14:paraId="468D79B1" w14:textId="77777777">
        <w:trPr>
          <w:cantSplit/>
        </w:trPr>
        <w:tc>
          <w:tcPr>
            <w:tcW w:w="456" w:type="dxa"/>
          </w:tcPr>
          <w:p w14:paraId="5EED8656" w14:textId="77777777" w:rsidR="001F340B" w:rsidRPr="003C1705" w:rsidRDefault="00A73F00" w:rsidP="003C1705">
            <w:pPr>
              <w:pStyle w:val="TableText"/>
              <w:spacing w:line="480" w:lineRule="auto"/>
              <w:rPr>
                <w:sz w:val="24"/>
                <w:szCs w:val="24"/>
              </w:rPr>
            </w:pPr>
            <w:r w:rsidRPr="003C1705">
              <w:rPr>
                <w:rFonts w:ascii="Segoe UI Symbol" w:hAnsi="Segoe UI Symbol" w:cs="Segoe UI Symbol"/>
                <w:sz w:val="24"/>
                <w:szCs w:val="24"/>
              </w:rPr>
              <w:t>☐</w:t>
            </w:r>
          </w:p>
        </w:tc>
        <w:tc>
          <w:tcPr>
            <w:tcW w:w="4210" w:type="dxa"/>
          </w:tcPr>
          <w:p w14:paraId="59478BC0" w14:textId="77777777" w:rsidR="001F340B" w:rsidRPr="003C1705" w:rsidRDefault="00A73F00" w:rsidP="003C1705">
            <w:pPr>
              <w:pStyle w:val="TableText"/>
              <w:spacing w:line="480" w:lineRule="auto"/>
              <w:rPr>
                <w:sz w:val="24"/>
                <w:szCs w:val="24"/>
              </w:rPr>
            </w:pPr>
            <w:r w:rsidRPr="003C1705">
              <w:rPr>
                <w:sz w:val="24"/>
                <w:szCs w:val="24"/>
              </w:rPr>
              <w:t>TRL 3 – Proof of concept</w:t>
            </w:r>
          </w:p>
        </w:tc>
        <w:tc>
          <w:tcPr>
            <w:tcW w:w="3640" w:type="dxa"/>
          </w:tcPr>
          <w:p w14:paraId="28C91DEB" w14:textId="77777777" w:rsidR="001F340B" w:rsidRPr="003C1705" w:rsidRDefault="001F340B" w:rsidP="003C1705">
            <w:pPr>
              <w:pStyle w:val="TableText"/>
              <w:spacing w:line="480" w:lineRule="auto"/>
              <w:rPr>
                <w:sz w:val="24"/>
                <w:szCs w:val="24"/>
              </w:rPr>
            </w:pPr>
          </w:p>
        </w:tc>
      </w:tr>
      <w:tr w:rsidR="001F340B" w:rsidRPr="003C1705" w14:paraId="680DD0CA" w14:textId="77777777">
        <w:trPr>
          <w:cantSplit/>
        </w:trPr>
        <w:tc>
          <w:tcPr>
            <w:tcW w:w="456" w:type="dxa"/>
          </w:tcPr>
          <w:p w14:paraId="3C82536B" w14:textId="77777777" w:rsidR="001F340B" w:rsidRPr="003C1705" w:rsidRDefault="00A73F00" w:rsidP="003C1705">
            <w:pPr>
              <w:pStyle w:val="TableText"/>
              <w:spacing w:line="480" w:lineRule="auto"/>
              <w:rPr>
                <w:sz w:val="24"/>
                <w:szCs w:val="24"/>
              </w:rPr>
            </w:pPr>
            <w:r w:rsidRPr="003C1705">
              <w:rPr>
                <w:rFonts w:ascii="Segoe UI Symbol" w:hAnsi="Segoe UI Symbol" w:cs="Segoe UI Symbol"/>
                <w:sz w:val="24"/>
                <w:szCs w:val="24"/>
              </w:rPr>
              <w:t>☐</w:t>
            </w:r>
          </w:p>
        </w:tc>
        <w:tc>
          <w:tcPr>
            <w:tcW w:w="4210" w:type="dxa"/>
          </w:tcPr>
          <w:p w14:paraId="6EC6FAB9" w14:textId="77777777" w:rsidR="001F340B" w:rsidRPr="003C1705" w:rsidRDefault="00A73F00" w:rsidP="003C1705">
            <w:pPr>
              <w:pStyle w:val="TableText"/>
              <w:spacing w:line="480" w:lineRule="auto"/>
              <w:rPr>
                <w:sz w:val="24"/>
                <w:szCs w:val="24"/>
              </w:rPr>
            </w:pPr>
            <w:r w:rsidRPr="003C1705">
              <w:rPr>
                <w:sz w:val="24"/>
                <w:szCs w:val="24"/>
              </w:rPr>
              <w:t>TRL 4 – Components validated in laboratory environment</w:t>
            </w:r>
          </w:p>
        </w:tc>
        <w:tc>
          <w:tcPr>
            <w:tcW w:w="3640" w:type="dxa"/>
          </w:tcPr>
          <w:p w14:paraId="628D76A7" w14:textId="77777777" w:rsidR="001F340B" w:rsidRPr="003C1705" w:rsidRDefault="001F340B" w:rsidP="003C1705">
            <w:pPr>
              <w:pStyle w:val="TableText"/>
              <w:spacing w:line="480" w:lineRule="auto"/>
              <w:rPr>
                <w:sz w:val="24"/>
                <w:szCs w:val="24"/>
              </w:rPr>
            </w:pPr>
          </w:p>
        </w:tc>
      </w:tr>
      <w:tr w:rsidR="001F340B" w:rsidRPr="003C1705" w14:paraId="2DC34AD0" w14:textId="77777777">
        <w:trPr>
          <w:cantSplit/>
        </w:trPr>
        <w:tc>
          <w:tcPr>
            <w:tcW w:w="456" w:type="dxa"/>
          </w:tcPr>
          <w:p w14:paraId="750FB357" w14:textId="77777777" w:rsidR="001F340B" w:rsidRPr="003C1705" w:rsidRDefault="00A73F00" w:rsidP="003C1705">
            <w:pPr>
              <w:pStyle w:val="TableText"/>
              <w:spacing w:line="480" w:lineRule="auto"/>
              <w:rPr>
                <w:sz w:val="24"/>
                <w:szCs w:val="24"/>
              </w:rPr>
            </w:pPr>
            <w:r w:rsidRPr="003C1705">
              <w:rPr>
                <w:rFonts w:ascii="Segoe UI Symbol" w:hAnsi="Segoe UI Symbol" w:cs="Segoe UI Symbol"/>
                <w:sz w:val="24"/>
                <w:szCs w:val="24"/>
              </w:rPr>
              <w:t>☐</w:t>
            </w:r>
          </w:p>
        </w:tc>
        <w:tc>
          <w:tcPr>
            <w:tcW w:w="4210" w:type="dxa"/>
          </w:tcPr>
          <w:p w14:paraId="76600843" w14:textId="77777777" w:rsidR="001F340B" w:rsidRPr="003C1705" w:rsidRDefault="00A73F00" w:rsidP="003C1705">
            <w:pPr>
              <w:pStyle w:val="TableText"/>
              <w:spacing w:line="480" w:lineRule="auto"/>
              <w:rPr>
                <w:sz w:val="24"/>
                <w:szCs w:val="24"/>
              </w:rPr>
            </w:pPr>
            <w:r w:rsidRPr="003C1705">
              <w:rPr>
                <w:sz w:val="24"/>
                <w:szCs w:val="24"/>
              </w:rPr>
              <w:t>TRL 5 – Integrated components demonstrated in a laboratory environment</w:t>
            </w:r>
          </w:p>
        </w:tc>
        <w:tc>
          <w:tcPr>
            <w:tcW w:w="3640" w:type="dxa"/>
          </w:tcPr>
          <w:p w14:paraId="5D29F5B0" w14:textId="77777777" w:rsidR="001F340B" w:rsidRPr="003C1705" w:rsidRDefault="001F340B" w:rsidP="003C1705">
            <w:pPr>
              <w:pStyle w:val="TableText"/>
              <w:spacing w:line="480" w:lineRule="auto"/>
              <w:rPr>
                <w:sz w:val="24"/>
                <w:szCs w:val="24"/>
              </w:rPr>
            </w:pPr>
          </w:p>
        </w:tc>
      </w:tr>
      <w:tr w:rsidR="001F340B" w:rsidRPr="003C1705" w14:paraId="78316520" w14:textId="77777777">
        <w:trPr>
          <w:cantSplit/>
        </w:trPr>
        <w:tc>
          <w:tcPr>
            <w:tcW w:w="456" w:type="dxa"/>
          </w:tcPr>
          <w:p w14:paraId="3819DA4A" w14:textId="77777777" w:rsidR="001F340B" w:rsidRPr="003C1705" w:rsidRDefault="00A73F00" w:rsidP="003C1705">
            <w:pPr>
              <w:pStyle w:val="TableText"/>
              <w:spacing w:line="480" w:lineRule="auto"/>
              <w:rPr>
                <w:sz w:val="24"/>
                <w:szCs w:val="24"/>
              </w:rPr>
            </w:pPr>
            <w:r w:rsidRPr="003C1705">
              <w:rPr>
                <w:rFonts w:ascii="Segoe UI Symbol" w:hAnsi="Segoe UI Symbol" w:cs="Segoe UI Symbol"/>
                <w:sz w:val="24"/>
                <w:szCs w:val="24"/>
              </w:rPr>
              <w:t>☐</w:t>
            </w:r>
          </w:p>
        </w:tc>
        <w:tc>
          <w:tcPr>
            <w:tcW w:w="4210" w:type="dxa"/>
          </w:tcPr>
          <w:p w14:paraId="52D822B9" w14:textId="77777777" w:rsidR="001F340B" w:rsidRPr="003C1705" w:rsidRDefault="00A73F00" w:rsidP="003C1705">
            <w:pPr>
              <w:pStyle w:val="TableText"/>
              <w:spacing w:line="480" w:lineRule="auto"/>
              <w:rPr>
                <w:sz w:val="24"/>
                <w:szCs w:val="24"/>
              </w:rPr>
            </w:pPr>
            <w:r w:rsidRPr="003C1705">
              <w:rPr>
                <w:sz w:val="24"/>
                <w:szCs w:val="24"/>
              </w:rPr>
              <w:t>TRL 6 – Prototype system demonstrated in a relevant environment</w:t>
            </w:r>
          </w:p>
        </w:tc>
        <w:tc>
          <w:tcPr>
            <w:tcW w:w="3640" w:type="dxa"/>
          </w:tcPr>
          <w:p w14:paraId="48B8E4E1" w14:textId="77777777" w:rsidR="001F340B" w:rsidRPr="003C1705" w:rsidRDefault="00A73F00" w:rsidP="003C1705">
            <w:pPr>
              <w:pStyle w:val="TableText"/>
              <w:spacing w:line="480" w:lineRule="auto"/>
              <w:rPr>
                <w:sz w:val="24"/>
                <w:szCs w:val="24"/>
              </w:rPr>
            </w:pPr>
            <w:r w:rsidRPr="003C1705">
              <w:rPr>
                <w:sz w:val="24"/>
                <w:szCs w:val="24"/>
              </w:rPr>
              <w:t>1</w:t>
            </w:r>
          </w:p>
        </w:tc>
      </w:tr>
      <w:tr w:rsidR="001F340B" w:rsidRPr="003C1705" w14:paraId="5541BC50" w14:textId="77777777">
        <w:trPr>
          <w:cantSplit/>
        </w:trPr>
        <w:tc>
          <w:tcPr>
            <w:tcW w:w="456" w:type="dxa"/>
          </w:tcPr>
          <w:p w14:paraId="1A017137" w14:textId="77777777" w:rsidR="001F340B" w:rsidRPr="003C1705" w:rsidRDefault="00A73F00" w:rsidP="003C1705">
            <w:pPr>
              <w:pStyle w:val="TableText"/>
              <w:spacing w:line="480" w:lineRule="auto"/>
              <w:rPr>
                <w:sz w:val="24"/>
                <w:szCs w:val="24"/>
              </w:rPr>
            </w:pPr>
            <w:r w:rsidRPr="003C1705">
              <w:rPr>
                <w:rFonts w:ascii="Segoe UI Symbol" w:hAnsi="Segoe UI Symbol" w:cs="Segoe UI Symbol"/>
                <w:sz w:val="24"/>
                <w:szCs w:val="24"/>
              </w:rPr>
              <w:lastRenderedPageBreak/>
              <w:t>☐</w:t>
            </w:r>
          </w:p>
        </w:tc>
        <w:tc>
          <w:tcPr>
            <w:tcW w:w="4210" w:type="dxa"/>
          </w:tcPr>
          <w:p w14:paraId="446116BC" w14:textId="77777777" w:rsidR="001F340B" w:rsidRPr="003C1705" w:rsidRDefault="00A73F00" w:rsidP="003C1705">
            <w:pPr>
              <w:pStyle w:val="TableText"/>
              <w:spacing w:line="480" w:lineRule="auto"/>
              <w:rPr>
                <w:sz w:val="24"/>
                <w:szCs w:val="24"/>
              </w:rPr>
            </w:pPr>
            <w:r w:rsidRPr="003C1705">
              <w:rPr>
                <w:sz w:val="24"/>
                <w:szCs w:val="24"/>
              </w:rPr>
              <w:t>TRL 7 – Prototype demonstrated in operational environment</w:t>
            </w:r>
          </w:p>
        </w:tc>
        <w:tc>
          <w:tcPr>
            <w:tcW w:w="3640" w:type="dxa"/>
          </w:tcPr>
          <w:p w14:paraId="5BB1F646" w14:textId="77777777" w:rsidR="001F340B" w:rsidRPr="003C1705" w:rsidRDefault="001F340B" w:rsidP="003C1705">
            <w:pPr>
              <w:pStyle w:val="TableText"/>
              <w:spacing w:line="480" w:lineRule="auto"/>
              <w:rPr>
                <w:sz w:val="24"/>
                <w:szCs w:val="24"/>
              </w:rPr>
            </w:pPr>
          </w:p>
        </w:tc>
      </w:tr>
      <w:tr w:rsidR="001F340B" w:rsidRPr="003C1705" w14:paraId="5D1723B7" w14:textId="77777777">
        <w:trPr>
          <w:cantSplit/>
        </w:trPr>
        <w:tc>
          <w:tcPr>
            <w:tcW w:w="456" w:type="dxa"/>
          </w:tcPr>
          <w:p w14:paraId="55E21D95" w14:textId="77777777" w:rsidR="001F340B" w:rsidRPr="003C1705" w:rsidRDefault="00A73F00" w:rsidP="003C1705">
            <w:pPr>
              <w:pStyle w:val="TableText"/>
              <w:spacing w:line="480" w:lineRule="auto"/>
              <w:rPr>
                <w:sz w:val="24"/>
                <w:szCs w:val="24"/>
              </w:rPr>
            </w:pPr>
            <w:r w:rsidRPr="003C1705">
              <w:rPr>
                <w:rFonts w:ascii="Segoe UI Symbol" w:hAnsi="Segoe UI Symbol" w:cs="Segoe UI Symbol"/>
                <w:sz w:val="24"/>
                <w:szCs w:val="24"/>
              </w:rPr>
              <w:t>☐</w:t>
            </w:r>
          </w:p>
        </w:tc>
        <w:tc>
          <w:tcPr>
            <w:tcW w:w="4210" w:type="dxa"/>
          </w:tcPr>
          <w:p w14:paraId="5E95B2C5" w14:textId="77777777" w:rsidR="001F340B" w:rsidRPr="003C1705" w:rsidRDefault="00A73F00" w:rsidP="003C1705">
            <w:pPr>
              <w:pStyle w:val="TableText"/>
              <w:spacing w:line="480" w:lineRule="auto"/>
              <w:rPr>
                <w:sz w:val="24"/>
                <w:szCs w:val="24"/>
              </w:rPr>
            </w:pPr>
            <w:r w:rsidRPr="003C1705">
              <w:rPr>
                <w:sz w:val="24"/>
                <w:szCs w:val="24"/>
              </w:rPr>
              <w:t>TRL 8 – Technology proven in operational environment</w:t>
            </w:r>
          </w:p>
        </w:tc>
        <w:tc>
          <w:tcPr>
            <w:tcW w:w="3640" w:type="dxa"/>
          </w:tcPr>
          <w:p w14:paraId="2FF82102" w14:textId="77777777" w:rsidR="001F340B" w:rsidRPr="003C1705" w:rsidRDefault="001F340B" w:rsidP="003C1705">
            <w:pPr>
              <w:pStyle w:val="TableText"/>
              <w:spacing w:line="480" w:lineRule="auto"/>
              <w:rPr>
                <w:sz w:val="24"/>
                <w:szCs w:val="24"/>
              </w:rPr>
            </w:pPr>
          </w:p>
        </w:tc>
      </w:tr>
      <w:tr w:rsidR="001F340B" w:rsidRPr="003C1705" w14:paraId="4F695DD0" w14:textId="77777777">
        <w:trPr>
          <w:cantSplit/>
        </w:trPr>
        <w:tc>
          <w:tcPr>
            <w:tcW w:w="456" w:type="dxa"/>
          </w:tcPr>
          <w:p w14:paraId="5BC20316" w14:textId="77777777" w:rsidR="001F340B" w:rsidRPr="003C1705" w:rsidRDefault="00A73F00" w:rsidP="003C1705">
            <w:pPr>
              <w:pStyle w:val="TableText"/>
              <w:spacing w:line="480" w:lineRule="auto"/>
              <w:rPr>
                <w:sz w:val="24"/>
                <w:szCs w:val="24"/>
              </w:rPr>
            </w:pPr>
            <w:r w:rsidRPr="003C1705">
              <w:rPr>
                <w:rFonts w:ascii="Segoe UI Symbol" w:hAnsi="Segoe UI Symbol" w:cs="Segoe UI Symbol"/>
                <w:sz w:val="24"/>
                <w:szCs w:val="24"/>
              </w:rPr>
              <w:t>☐</w:t>
            </w:r>
          </w:p>
        </w:tc>
        <w:tc>
          <w:tcPr>
            <w:tcW w:w="4210" w:type="dxa"/>
          </w:tcPr>
          <w:p w14:paraId="3CFD5A81" w14:textId="77777777" w:rsidR="001F340B" w:rsidRPr="003C1705" w:rsidRDefault="00A73F00" w:rsidP="003C1705">
            <w:pPr>
              <w:pStyle w:val="TableText"/>
              <w:spacing w:line="480" w:lineRule="auto"/>
              <w:rPr>
                <w:sz w:val="24"/>
                <w:szCs w:val="24"/>
              </w:rPr>
            </w:pPr>
            <w:r w:rsidRPr="003C1705">
              <w:rPr>
                <w:sz w:val="24"/>
                <w:szCs w:val="24"/>
              </w:rPr>
              <w:t>TRL 9 – Technology refined and adopted, and commercialized</w:t>
            </w:r>
          </w:p>
        </w:tc>
        <w:tc>
          <w:tcPr>
            <w:tcW w:w="3640" w:type="dxa"/>
          </w:tcPr>
          <w:p w14:paraId="5E85D5D6" w14:textId="77777777" w:rsidR="001F340B" w:rsidRPr="003C1705" w:rsidRDefault="001F340B" w:rsidP="003C1705">
            <w:pPr>
              <w:pStyle w:val="TableText"/>
              <w:spacing w:line="480" w:lineRule="auto"/>
              <w:rPr>
                <w:sz w:val="24"/>
                <w:szCs w:val="24"/>
              </w:rPr>
            </w:pPr>
          </w:p>
        </w:tc>
      </w:tr>
      <w:tr w:rsidR="001F340B" w:rsidRPr="003C1705" w14:paraId="1CBD4637" w14:textId="77777777">
        <w:trPr>
          <w:cantSplit/>
        </w:trPr>
        <w:tc>
          <w:tcPr>
            <w:tcW w:w="456" w:type="dxa"/>
          </w:tcPr>
          <w:p w14:paraId="1840E40F" w14:textId="77777777" w:rsidR="001F340B" w:rsidRPr="003C1705" w:rsidRDefault="001F340B" w:rsidP="003C1705">
            <w:pPr>
              <w:pStyle w:val="TableText"/>
              <w:spacing w:line="480" w:lineRule="auto"/>
              <w:rPr>
                <w:sz w:val="24"/>
                <w:szCs w:val="24"/>
              </w:rPr>
            </w:pPr>
          </w:p>
        </w:tc>
        <w:tc>
          <w:tcPr>
            <w:tcW w:w="4210" w:type="dxa"/>
          </w:tcPr>
          <w:p w14:paraId="0C79D1B8" w14:textId="77777777" w:rsidR="001F340B" w:rsidRPr="003C1705" w:rsidRDefault="001F340B" w:rsidP="003C1705">
            <w:pPr>
              <w:pStyle w:val="TableText"/>
              <w:spacing w:line="480" w:lineRule="auto"/>
              <w:rPr>
                <w:sz w:val="24"/>
                <w:szCs w:val="24"/>
              </w:rPr>
            </w:pPr>
          </w:p>
        </w:tc>
        <w:tc>
          <w:tcPr>
            <w:tcW w:w="3640" w:type="dxa"/>
          </w:tcPr>
          <w:p w14:paraId="386F3126" w14:textId="77777777" w:rsidR="001F340B" w:rsidRPr="003C1705" w:rsidRDefault="001F340B" w:rsidP="003C1705">
            <w:pPr>
              <w:pStyle w:val="TableText"/>
              <w:spacing w:line="480" w:lineRule="auto"/>
              <w:rPr>
                <w:sz w:val="24"/>
                <w:szCs w:val="24"/>
              </w:rPr>
            </w:pPr>
          </w:p>
        </w:tc>
      </w:tr>
      <w:tr w:rsidR="001F340B" w:rsidRPr="003C1705" w14:paraId="46251BA2" w14:textId="77777777">
        <w:trPr>
          <w:cantSplit/>
        </w:trPr>
        <w:tc>
          <w:tcPr>
            <w:tcW w:w="456" w:type="dxa"/>
          </w:tcPr>
          <w:p w14:paraId="243B636E" w14:textId="77777777" w:rsidR="001F340B" w:rsidRPr="003C1705" w:rsidRDefault="00A73F00" w:rsidP="003C1705">
            <w:pPr>
              <w:pStyle w:val="TableText"/>
              <w:spacing w:line="480" w:lineRule="auto"/>
              <w:rPr>
                <w:sz w:val="24"/>
                <w:szCs w:val="24"/>
              </w:rPr>
            </w:pPr>
            <w:r w:rsidRPr="003C1705">
              <w:rPr>
                <w:rFonts w:ascii="Segoe UI Symbol" w:hAnsi="Segoe UI Symbol" w:cs="Segoe UI Symbol"/>
                <w:sz w:val="24"/>
                <w:szCs w:val="24"/>
              </w:rPr>
              <w:t>☐</w:t>
            </w:r>
          </w:p>
        </w:tc>
        <w:tc>
          <w:tcPr>
            <w:tcW w:w="4210" w:type="dxa"/>
          </w:tcPr>
          <w:p w14:paraId="15623653" w14:textId="77777777" w:rsidR="001F340B" w:rsidRPr="003C1705" w:rsidRDefault="00A73F00" w:rsidP="003C1705">
            <w:pPr>
              <w:pStyle w:val="TableText"/>
              <w:spacing w:line="480" w:lineRule="auto"/>
              <w:rPr>
                <w:sz w:val="24"/>
                <w:szCs w:val="24"/>
              </w:rPr>
            </w:pPr>
            <w:r w:rsidRPr="003C1705">
              <w:rPr>
                <w:sz w:val="24"/>
                <w:szCs w:val="24"/>
              </w:rPr>
              <w:t>Investment and Market Readiness Level</w:t>
            </w:r>
          </w:p>
        </w:tc>
        <w:tc>
          <w:tcPr>
            <w:tcW w:w="3640" w:type="dxa"/>
          </w:tcPr>
          <w:p w14:paraId="73CACCF0" w14:textId="77777777" w:rsidR="001F340B" w:rsidRPr="003C1705" w:rsidRDefault="001F340B" w:rsidP="003C1705">
            <w:pPr>
              <w:pStyle w:val="TableText"/>
              <w:spacing w:line="480" w:lineRule="auto"/>
              <w:rPr>
                <w:sz w:val="24"/>
                <w:szCs w:val="24"/>
              </w:rPr>
            </w:pPr>
          </w:p>
        </w:tc>
      </w:tr>
      <w:tr w:rsidR="001F340B" w:rsidRPr="003C1705" w14:paraId="2A4F3A22" w14:textId="77777777">
        <w:trPr>
          <w:cantSplit/>
        </w:trPr>
        <w:tc>
          <w:tcPr>
            <w:tcW w:w="456" w:type="dxa"/>
          </w:tcPr>
          <w:p w14:paraId="18A1E6DA" w14:textId="77777777" w:rsidR="001F340B" w:rsidRPr="003C1705" w:rsidRDefault="00A73F00" w:rsidP="003C1705">
            <w:pPr>
              <w:pStyle w:val="TableText"/>
              <w:spacing w:line="480" w:lineRule="auto"/>
              <w:rPr>
                <w:sz w:val="24"/>
                <w:szCs w:val="24"/>
              </w:rPr>
            </w:pPr>
            <w:r w:rsidRPr="003C1705">
              <w:rPr>
                <w:rFonts w:ascii="Segoe UI Symbol" w:hAnsi="Segoe UI Symbol" w:cs="Segoe UI Symbol"/>
                <w:sz w:val="24"/>
                <w:szCs w:val="24"/>
              </w:rPr>
              <w:t>☐</w:t>
            </w:r>
          </w:p>
        </w:tc>
        <w:tc>
          <w:tcPr>
            <w:tcW w:w="4210" w:type="dxa"/>
          </w:tcPr>
          <w:p w14:paraId="1621FA3C" w14:textId="77777777" w:rsidR="001F340B" w:rsidRPr="003C1705" w:rsidRDefault="00A73F00" w:rsidP="003C1705">
            <w:pPr>
              <w:pStyle w:val="TableText"/>
              <w:spacing w:line="480" w:lineRule="auto"/>
              <w:rPr>
                <w:sz w:val="24"/>
                <w:szCs w:val="24"/>
              </w:rPr>
            </w:pPr>
            <w:r w:rsidRPr="003C1705">
              <w:rPr>
                <w:sz w:val="24"/>
                <w:szCs w:val="24"/>
              </w:rPr>
              <w:t>R&amp;D leading to any of the following Tech Transfer to Commercialization Modalities</w:t>
            </w:r>
          </w:p>
        </w:tc>
        <w:tc>
          <w:tcPr>
            <w:tcW w:w="3640" w:type="dxa"/>
          </w:tcPr>
          <w:p w14:paraId="30899CC0" w14:textId="77777777" w:rsidR="001F340B" w:rsidRPr="003C1705" w:rsidRDefault="001F340B" w:rsidP="003C1705">
            <w:pPr>
              <w:pStyle w:val="TableText"/>
              <w:spacing w:line="480" w:lineRule="auto"/>
              <w:rPr>
                <w:sz w:val="24"/>
                <w:szCs w:val="24"/>
              </w:rPr>
            </w:pPr>
          </w:p>
        </w:tc>
      </w:tr>
      <w:tr w:rsidR="001F340B" w:rsidRPr="003C1705" w14:paraId="7076C0FF" w14:textId="77777777">
        <w:trPr>
          <w:cantSplit/>
        </w:trPr>
        <w:tc>
          <w:tcPr>
            <w:tcW w:w="456" w:type="dxa"/>
          </w:tcPr>
          <w:p w14:paraId="3C75EFA9" w14:textId="77777777" w:rsidR="001F340B" w:rsidRPr="003C1705" w:rsidRDefault="00A73F00" w:rsidP="003C1705">
            <w:pPr>
              <w:pStyle w:val="TableText"/>
              <w:spacing w:line="480" w:lineRule="auto"/>
              <w:rPr>
                <w:sz w:val="24"/>
                <w:szCs w:val="24"/>
              </w:rPr>
            </w:pPr>
            <w:r w:rsidRPr="003C1705">
              <w:rPr>
                <w:rFonts w:ascii="Segoe UI Symbol" w:hAnsi="Segoe UI Symbol" w:cs="Segoe UI Symbol"/>
                <w:sz w:val="24"/>
                <w:szCs w:val="24"/>
              </w:rPr>
              <w:t>☐</w:t>
            </w:r>
          </w:p>
        </w:tc>
        <w:tc>
          <w:tcPr>
            <w:tcW w:w="4210" w:type="dxa"/>
          </w:tcPr>
          <w:p w14:paraId="137800E9" w14:textId="77777777" w:rsidR="001F340B" w:rsidRPr="003C1705" w:rsidRDefault="00A73F00" w:rsidP="003C1705">
            <w:pPr>
              <w:pStyle w:val="TableText"/>
              <w:spacing w:line="480" w:lineRule="auto"/>
              <w:rPr>
                <w:sz w:val="24"/>
                <w:szCs w:val="24"/>
              </w:rPr>
            </w:pPr>
            <w:r w:rsidRPr="003C1705">
              <w:rPr>
                <w:sz w:val="24"/>
                <w:szCs w:val="24"/>
              </w:rPr>
              <w:t>R&amp;D leading to Extension (i.e., knowledge diffusion and skills transfer)</w:t>
            </w:r>
          </w:p>
        </w:tc>
        <w:tc>
          <w:tcPr>
            <w:tcW w:w="3640" w:type="dxa"/>
          </w:tcPr>
          <w:p w14:paraId="7DC7AE4D" w14:textId="77777777" w:rsidR="001F340B" w:rsidRPr="003C1705" w:rsidRDefault="001F340B" w:rsidP="003C1705">
            <w:pPr>
              <w:pStyle w:val="TableText"/>
              <w:spacing w:line="480" w:lineRule="auto"/>
              <w:rPr>
                <w:sz w:val="24"/>
                <w:szCs w:val="24"/>
              </w:rPr>
            </w:pPr>
          </w:p>
        </w:tc>
      </w:tr>
      <w:tr w:rsidR="001F340B" w:rsidRPr="003C1705" w14:paraId="4A8199CA" w14:textId="77777777">
        <w:trPr>
          <w:cantSplit/>
        </w:trPr>
        <w:tc>
          <w:tcPr>
            <w:tcW w:w="456" w:type="dxa"/>
          </w:tcPr>
          <w:p w14:paraId="16D6EEC0" w14:textId="77777777" w:rsidR="001F340B" w:rsidRPr="003C1705" w:rsidRDefault="00A73F00" w:rsidP="003C1705">
            <w:pPr>
              <w:pStyle w:val="TableText"/>
              <w:spacing w:line="480" w:lineRule="auto"/>
              <w:rPr>
                <w:sz w:val="24"/>
                <w:szCs w:val="24"/>
              </w:rPr>
            </w:pPr>
            <w:r w:rsidRPr="003C1705">
              <w:rPr>
                <w:rFonts w:ascii="Segoe UI Symbol" w:hAnsi="Segoe UI Symbol" w:cs="Segoe UI Symbol"/>
                <w:sz w:val="24"/>
                <w:szCs w:val="24"/>
              </w:rPr>
              <w:t>☐</w:t>
            </w:r>
          </w:p>
        </w:tc>
        <w:tc>
          <w:tcPr>
            <w:tcW w:w="4210" w:type="dxa"/>
          </w:tcPr>
          <w:p w14:paraId="4E91F5D2" w14:textId="77777777" w:rsidR="001F340B" w:rsidRPr="003C1705" w:rsidRDefault="00A73F00" w:rsidP="003C1705">
            <w:pPr>
              <w:pStyle w:val="TableText"/>
              <w:spacing w:line="480" w:lineRule="auto"/>
              <w:rPr>
                <w:sz w:val="24"/>
                <w:szCs w:val="24"/>
              </w:rPr>
            </w:pPr>
            <w:r w:rsidRPr="003C1705">
              <w:rPr>
                <w:sz w:val="24"/>
                <w:szCs w:val="24"/>
              </w:rPr>
              <w:t>Integrated and used market, customer/user, trade, system requirement info in the R&amp;D</w:t>
            </w:r>
          </w:p>
        </w:tc>
        <w:tc>
          <w:tcPr>
            <w:tcW w:w="3640" w:type="dxa"/>
          </w:tcPr>
          <w:p w14:paraId="50904A5C" w14:textId="77777777" w:rsidR="001F340B" w:rsidRPr="003C1705" w:rsidRDefault="001F340B" w:rsidP="003C1705">
            <w:pPr>
              <w:pStyle w:val="TableText"/>
              <w:spacing w:line="480" w:lineRule="auto"/>
              <w:rPr>
                <w:sz w:val="24"/>
                <w:szCs w:val="24"/>
              </w:rPr>
            </w:pPr>
          </w:p>
        </w:tc>
      </w:tr>
      <w:tr w:rsidR="001F340B" w:rsidRPr="003C1705" w14:paraId="3AB69281" w14:textId="77777777">
        <w:trPr>
          <w:cantSplit/>
        </w:trPr>
        <w:tc>
          <w:tcPr>
            <w:tcW w:w="456" w:type="dxa"/>
          </w:tcPr>
          <w:p w14:paraId="68F5C993" w14:textId="77777777" w:rsidR="001F340B" w:rsidRPr="003C1705" w:rsidRDefault="00A73F00" w:rsidP="003C1705">
            <w:pPr>
              <w:pStyle w:val="TableText"/>
              <w:spacing w:line="480" w:lineRule="auto"/>
              <w:rPr>
                <w:sz w:val="24"/>
                <w:szCs w:val="24"/>
              </w:rPr>
            </w:pPr>
            <w:r w:rsidRPr="003C1705">
              <w:rPr>
                <w:rFonts w:ascii="Segoe UI Symbol" w:hAnsi="Segoe UI Symbol" w:cs="Segoe UI Symbol"/>
                <w:sz w:val="24"/>
                <w:szCs w:val="24"/>
              </w:rPr>
              <w:t>☐</w:t>
            </w:r>
          </w:p>
        </w:tc>
        <w:tc>
          <w:tcPr>
            <w:tcW w:w="4210" w:type="dxa"/>
          </w:tcPr>
          <w:p w14:paraId="3842FB86" w14:textId="77777777" w:rsidR="001F340B" w:rsidRPr="003C1705" w:rsidRDefault="00A73F00" w:rsidP="003C1705">
            <w:pPr>
              <w:pStyle w:val="TableText"/>
              <w:spacing w:line="480" w:lineRule="auto"/>
              <w:rPr>
                <w:sz w:val="24"/>
                <w:szCs w:val="24"/>
              </w:rPr>
            </w:pPr>
            <w:r w:rsidRPr="003C1705">
              <w:rPr>
                <w:sz w:val="24"/>
                <w:szCs w:val="24"/>
              </w:rPr>
              <w:t>Business canvas developed</w:t>
            </w:r>
          </w:p>
        </w:tc>
        <w:tc>
          <w:tcPr>
            <w:tcW w:w="3640" w:type="dxa"/>
          </w:tcPr>
          <w:p w14:paraId="7CB80577" w14:textId="77777777" w:rsidR="001F340B" w:rsidRPr="003C1705" w:rsidRDefault="001F340B" w:rsidP="003C1705">
            <w:pPr>
              <w:pStyle w:val="TableText"/>
              <w:spacing w:line="480" w:lineRule="auto"/>
              <w:rPr>
                <w:sz w:val="24"/>
                <w:szCs w:val="24"/>
              </w:rPr>
            </w:pPr>
          </w:p>
        </w:tc>
      </w:tr>
      <w:tr w:rsidR="001F340B" w:rsidRPr="003C1705" w14:paraId="19F5605F" w14:textId="77777777">
        <w:trPr>
          <w:cantSplit/>
        </w:trPr>
        <w:tc>
          <w:tcPr>
            <w:tcW w:w="456" w:type="dxa"/>
          </w:tcPr>
          <w:p w14:paraId="091F247A" w14:textId="77777777" w:rsidR="001F340B" w:rsidRPr="003C1705" w:rsidRDefault="00A73F00" w:rsidP="003C1705">
            <w:pPr>
              <w:pStyle w:val="TableText"/>
              <w:spacing w:line="480" w:lineRule="auto"/>
              <w:rPr>
                <w:sz w:val="24"/>
                <w:szCs w:val="24"/>
              </w:rPr>
            </w:pPr>
            <w:r w:rsidRPr="003C1705">
              <w:rPr>
                <w:rFonts w:ascii="Segoe UI Symbol" w:hAnsi="Segoe UI Symbol" w:cs="Segoe UI Symbol"/>
                <w:sz w:val="24"/>
                <w:szCs w:val="24"/>
              </w:rPr>
              <w:t>☐</w:t>
            </w:r>
          </w:p>
        </w:tc>
        <w:tc>
          <w:tcPr>
            <w:tcW w:w="4210" w:type="dxa"/>
          </w:tcPr>
          <w:p w14:paraId="0AC705FC" w14:textId="77777777" w:rsidR="001F340B" w:rsidRPr="003C1705" w:rsidRDefault="00A73F00" w:rsidP="003C1705">
            <w:pPr>
              <w:pStyle w:val="TableText"/>
              <w:spacing w:line="480" w:lineRule="auto"/>
              <w:rPr>
                <w:sz w:val="24"/>
                <w:szCs w:val="24"/>
              </w:rPr>
            </w:pPr>
            <w:r w:rsidRPr="003C1705">
              <w:rPr>
                <w:sz w:val="24"/>
                <w:szCs w:val="24"/>
              </w:rPr>
              <w:t>R&amp;D product is commercialized</w:t>
            </w:r>
          </w:p>
        </w:tc>
        <w:tc>
          <w:tcPr>
            <w:tcW w:w="3640" w:type="dxa"/>
          </w:tcPr>
          <w:p w14:paraId="103D47BA" w14:textId="77777777" w:rsidR="001F340B" w:rsidRPr="003C1705" w:rsidRDefault="001F340B" w:rsidP="003C1705">
            <w:pPr>
              <w:pStyle w:val="TableText"/>
              <w:spacing w:line="480" w:lineRule="auto"/>
              <w:rPr>
                <w:sz w:val="24"/>
                <w:szCs w:val="24"/>
              </w:rPr>
            </w:pPr>
          </w:p>
        </w:tc>
      </w:tr>
      <w:tr w:rsidR="001F340B" w:rsidRPr="003C1705" w14:paraId="1F6512E9" w14:textId="77777777">
        <w:trPr>
          <w:cantSplit/>
        </w:trPr>
        <w:tc>
          <w:tcPr>
            <w:tcW w:w="8306" w:type="dxa"/>
            <w:gridSpan w:val="3"/>
            <w:shd w:val="clear" w:color="auto" w:fill="F2F2F2"/>
          </w:tcPr>
          <w:p w14:paraId="757EE005" w14:textId="77777777" w:rsidR="001F340B" w:rsidRPr="003C1705" w:rsidRDefault="00A73F00" w:rsidP="003C1705">
            <w:pPr>
              <w:pStyle w:val="TableText"/>
              <w:spacing w:line="480" w:lineRule="auto"/>
              <w:rPr>
                <w:sz w:val="24"/>
                <w:szCs w:val="24"/>
              </w:rPr>
            </w:pPr>
            <w:r w:rsidRPr="003C1705">
              <w:rPr>
                <w:b/>
                <w:sz w:val="24"/>
                <w:szCs w:val="24"/>
              </w:rPr>
              <w:t>People Services</w:t>
            </w:r>
          </w:p>
        </w:tc>
      </w:tr>
      <w:tr w:rsidR="001F340B" w:rsidRPr="003C1705" w14:paraId="64F23C34" w14:textId="77777777">
        <w:trPr>
          <w:cantSplit/>
        </w:trPr>
        <w:tc>
          <w:tcPr>
            <w:tcW w:w="456" w:type="dxa"/>
          </w:tcPr>
          <w:p w14:paraId="03932820" w14:textId="77777777" w:rsidR="001F340B" w:rsidRPr="003C1705" w:rsidRDefault="00A73F00" w:rsidP="003C1705">
            <w:pPr>
              <w:pStyle w:val="TableText"/>
              <w:spacing w:line="480" w:lineRule="auto"/>
              <w:rPr>
                <w:sz w:val="24"/>
                <w:szCs w:val="24"/>
              </w:rPr>
            </w:pPr>
            <w:r w:rsidRPr="003C1705">
              <w:rPr>
                <w:rFonts w:ascii="Segoe UI Symbol" w:hAnsi="Segoe UI Symbol" w:cs="Segoe UI Symbol"/>
                <w:sz w:val="24"/>
                <w:szCs w:val="24"/>
              </w:rPr>
              <w:t>☐</w:t>
            </w:r>
          </w:p>
        </w:tc>
        <w:tc>
          <w:tcPr>
            <w:tcW w:w="4210" w:type="dxa"/>
          </w:tcPr>
          <w:p w14:paraId="3F76FEEF" w14:textId="77777777" w:rsidR="001F340B" w:rsidRPr="003C1705" w:rsidRDefault="00A73F00" w:rsidP="003C1705">
            <w:pPr>
              <w:pStyle w:val="TableText"/>
              <w:spacing w:line="480" w:lineRule="auto"/>
              <w:rPr>
                <w:sz w:val="24"/>
                <w:szCs w:val="24"/>
              </w:rPr>
            </w:pPr>
            <w:r w:rsidRPr="003C1705">
              <w:rPr>
                <w:sz w:val="24"/>
                <w:szCs w:val="24"/>
              </w:rPr>
              <w:t>Number of faculty provided support for graduate studies (MS/PhD)</w:t>
            </w:r>
          </w:p>
        </w:tc>
        <w:tc>
          <w:tcPr>
            <w:tcW w:w="3640" w:type="dxa"/>
          </w:tcPr>
          <w:p w14:paraId="531EF036" w14:textId="77777777" w:rsidR="001F340B" w:rsidRPr="003C1705" w:rsidRDefault="00A73F00" w:rsidP="003C1705">
            <w:pPr>
              <w:pStyle w:val="TableText"/>
              <w:spacing w:line="480" w:lineRule="auto"/>
              <w:rPr>
                <w:sz w:val="24"/>
                <w:szCs w:val="24"/>
              </w:rPr>
            </w:pPr>
            <w:r w:rsidRPr="003C1705">
              <w:rPr>
                <w:sz w:val="24"/>
                <w:szCs w:val="24"/>
              </w:rPr>
              <w:t>5</w:t>
            </w:r>
          </w:p>
        </w:tc>
      </w:tr>
      <w:tr w:rsidR="001F340B" w:rsidRPr="003C1705" w14:paraId="14E408F4" w14:textId="77777777">
        <w:trPr>
          <w:cantSplit/>
        </w:trPr>
        <w:tc>
          <w:tcPr>
            <w:tcW w:w="456" w:type="dxa"/>
          </w:tcPr>
          <w:p w14:paraId="3BFC8902" w14:textId="77777777" w:rsidR="001F340B" w:rsidRPr="003C1705" w:rsidRDefault="00A73F00" w:rsidP="003C1705">
            <w:pPr>
              <w:pStyle w:val="TableText"/>
              <w:spacing w:line="480" w:lineRule="auto"/>
              <w:rPr>
                <w:sz w:val="24"/>
                <w:szCs w:val="24"/>
              </w:rPr>
            </w:pPr>
            <w:r w:rsidRPr="003C1705">
              <w:rPr>
                <w:rFonts w:ascii="Segoe UI Symbol" w:hAnsi="Segoe UI Symbol" w:cs="Segoe UI Symbol"/>
                <w:sz w:val="24"/>
                <w:szCs w:val="24"/>
              </w:rPr>
              <w:lastRenderedPageBreak/>
              <w:t>☐</w:t>
            </w:r>
          </w:p>
        </w:tc>
        <w:tc>
          <w:tcPr>
            <w:tcW w:w="4210" w:type="dxa"/>
          </w:tcPr>
          <w:p w14:paraId="6220DDB4" w14:textId="77777777" w:rsidR="001F340B" w:rsidRPr="003C1705" w:rsidRDefault="00A73F00" w:rsidP="003C1705">
            <w:pPr>
              <w:pStyle w:val="TableText"/>
              <w:spacing w:line="480" w:lineRule="auto"/>
              <w:rPr>
                <w:sz w:val="24"/>
                <w:szCs w:val="24"/>
              </w:rPr>
            </w:pPr>
            <w:r w:rsidRPr="003C1705">
              <w:rPr>
                <w:sz w:val="24"/>
                <w:szCs w:val="24"/>
              </w:rPr>
              <w:t>Number of faculty/ research staff provided support for continuing professional development</w:t>
            </w:r>
          </w:p>
        </w:tc>
        <w:tc>
          <w:tcPr>
            <w:tcW w:w="3640" w:type="dxa"/>
          </w:tcPr>
          <w:p w14:paraId="21E62346" w14:textId="77777777" w:rsidR="001F340B" w:rsidRPr="003C1705" w:rsidRDefault="00A73F00" w:rsidP="003C1705">
            <w:pPr>
              <w:pStyle w:val="TableText"/>
              <w:spacing w:line="480" w:lineRule="auto"/>
              <w:rPr>
                <w:sz w:val="24"/>
                <w:szCs w:val="24"/>
              </w:rPr>
            </w:pPr>
            <w:r w:rsidRPr="003C1705">
              <w:rPr>
                <w:sz w:val="24"/>
                <w:szCs w:val="24"/>
              </w:rPr>
              <w:t>5</w:t>
            </w:r>
          </w:p>
        </w:tc>
      </w:tr>
      <w:tr w:rsidR="001F340B" w:rsidRPr="003C1705" w14:paraId="7CC5FCD4" w14:textId="77777777">
        <w:trPr>
          <w:cantSplit/>
        </w:trPr>
        <w:tc>
          <w:tcPr>
            <w:tcW w:w="456" w:type="dxa"/>
          </w:tcPr>
          <w:p w14:paraId="0B3827ED" w14:textId="77777777" w:rsidR="001F340B" w:rsidRPr="003C1705" w:rsidRDefault="00A73F00" w:rsidP="003C1705">
            <w:pPr>
              <w:pStyle w:val="TableText"/>
              <w:spacing w:line="480" w:lineRule="auto"/>
              <w:rPr>
                <w:sz w:val="24"/>
                <w:szCs w:val="24"/>
              </w:rPr>
            </w:pPr>
            <w:r w:rsidRPr="003C1705">
              <w:rPr>
                <w:rFonts w:ascii="Segoe UI Symbol" w:hAnsi="Segoe UI Symbol" w:cs="Segoe UI Symbol"/>
                <w:sz w:val="24"/>
                <w:szCs w:val="24"/>
              </w:rPr>
              <w:t>☐</w:t>
            </w:r>
          </w:p>
        </w:tc>
        <w:tc>
          <w:tcPr>
            <w:tcW w:w="4210" w:type="dxa"/>
          </w:tcPr>
          <w:p w14:paraId="046053D1" w14:textId="77777777" w:rsidR="001F340B" w:rsidRPr="003C1705" w:rsidRDefault="00A73F00" w:rsidP="003C1705">
            <w:pPr>
              <w:pStyle w:val="TableText"/>
              <w:spacing w:line="480" w:lineRule="auto"/>
              <w:rPr>
                <w:sz w:val="24"/>
                <w:szCs w:val="24"/>
              </w:rPr>
            </w:pPr>
            <w:r w:rsidRPr="003C1705">
              <w:rPr>
                <w:sz w:val="24"/>
                <w:szCs w:val="24"/>
              </w:rPr>
              <w:t>Number of policies, policy recommendations, local and national legislative bills developed, filed, and passed</w:t>
            </w:r>
          </w:p>
        </w:tc>
        <w:tc>
          <w:tcPr>
            <w:tcW w:w="3640" w:type="dxa"/>
          </w:tcPr>
          <w:p w14:paraId="7E7C2C8C" w14:textId="77777777" w:rsidR="001F340B" w:rsidRPr="003C1705" w:rsidRDefault="001F340B" w:rsidP="003C1705">
            <w:pPr>
              <w:pStyle w:val="TableText"/>
              <w:spacing w:line="480" w:lineRule="auto"/>
              <w:rPr>
                <w:sz w:val="24"/>
                <w:szCs w:val="24"/>
              </w:rPr>
            </w:pPr>
          </w:p>
        </w:tc>
      </w:tr>
      <w:tr w:rsidR="001F340B" w:rsidRPr="003C1705" w14:paraId="7B01A40F" w14:textId="77777777">
        <w:trPr>
          <w:cantSplit/>
        </w:trPr>
        <w:tc>
          <w:tcPr>
            <w:tcW w:w="456" w:type="dxa"/>
          </w:tcPr>
          <w:p w14:paraId="52814887" w14:textId="77777777" w:rsidR="001F340B" w:rsidRPr="003C1705" w:rsidRDefault="00A73F00" w:rsidP="003C1705">
            <w:pPr>
              <w:pStyle w:val="TableText"/>
              <w:spacing w:line="480" w:lineRule="auto"/>
              <w:rPr>
                <w:sz w:val="24"/>
                <w:szCs w:val="24"/>
              </w:rPr>
            </w:pPr>
            <w:r w:rsidRPr="003C1705">
              <w:rPr>
                <w:rFonts w:ascii="Segoe UI Symbol" w:hAnsi="Segoe UI Symbol" w:cs="Segoe UI Symbol"/>
                <w:sz w:val="24"/>
                <w:szCs w:val="24"/>
              </w:rPr>
              <w:t>☐</w:t>
            </w:r>
          </w:p>
        </w:tc>
        <w:tc>
          <w:tcPr>
            <w:tcW w:w="4210" w:type="dxa"/>
          </w:tcPr>
          <w:p w14:paraId="44C83218" w14:textId="77777777" w:rsidR="001F340B" w:rsidRPr="003C1705" w:rsidRDefault="00A73F00" w:rsidP="003C1705">
            <w:pPr>
              <w:pStyle w:val="TableText"/>
              <w:spacing w:line="480" w:lineRule="auto"/>
              <w:rPr>
                <w:sz w:val="24"/>
                <w:szCs w:val="24"/>
              </w:rPr>
            </w:pPr>
            <w:r w:rsidRPr="003C1705">
              <w:rPr>
                <w:sz w:val="24"/>
                <w:szCs w:val="24"/>
              </w:rPr>
              <w:t>Number of S&amp;T MSMEs assisted through skills transfer + Peso Value of S&amp;T SMEs</w:t>
            </w:r>
          </w:p>
        </w:tc>
        <w:tc>
          <w:tcPr>
            <w:tcW w:w="3640" w:type="dxa"/>
          </w:tcPr>
          <w:p w14:paraId="4F368E65" w14:textId="77777777" w:rsidR="001F340B" w:rsidRPr="003C1705" w:rsidRDefault="001F340B" w:rsidP="003C1705">
            <w:pPr>
              <w:pStyle w:val="TableText"/>
              <w:spacing w:line="480" w:lineRule="auto"/>
              <w:rPr>
                <w:sz w:val="24"/>
                <w:szCs w:val="24"/>
              </w:rPr>
            </w:pPr>
          </w:p>
        </w:tc>
      </w:tr>
      <w:tr w:rsidR="001F340B" w:rsidRPr="003C1705" w14:paraId="12968414" w14:textId="77777777">
        <w:trPr>
          <w:cantSplit/>
        </w:trPr>
        <w:tc>
          <w:tcPr>
            <w:tcW w:w="456" w:type="dxa"/>
          </w:tcPr>
          <w:p w14:paraId="08FFDED2" w14:textId="77777777" w:rsidR="001F340B" w:rsidRPr="003C1705" w:rsidRDefault="00A73F00" w:rsidP="003C1705">
            <w:pPr>
              <w:pStyle w:val="TableText"/>
              <w:spacing w:line="480" w:lineRule="auto"/>
              <w:rPr>
                <w:sz w:val="24"/>
                <w:szCs w:val="24"/>
              </w:rPr>
            </w:pPr>
            <w:r w:rsidRPr="003C1705">
              <w:rPr>
                <w:rFonts w:ascii="Segoe UI Symbol" w:hAnsi="Segoe UI Symbol" w:cs="Segoe UI Symbol"/>
                <w:sz w:val="24"/>
                <w:szCs w:val="24"/>
              </w:rPr>
              <w:t>☐</w:t>
            </w:r>
          </w:p>
        </w:tc>
        <w:tc>
          <w:tcPr>
            <w:tcW w:w="4210" w:type="dxa"/>
          </w:tcPr>
          <w:p w14:paraId="5B13CC12" w14:textId="77777777" w:rsidR="001F340B" w:rsidRPr="003C1705" w:rsidRDefault="00A73F00" w:rsidP="003C1705">
            <w:pPr>
              <w:pStyle w:val="TableText"/>
              <w:spacing w:line="480" w:lineRule="auto"/>
              <w:rPr>
                <w:sz w:val="24"/>
                <w:szCs w:val="24"/>
              </w:rPr>
            </w:pPr>
            <w:r w:rsidRPr="003C1705">
              <w:rPr>
                <w:sz w:val="24"/>
                <w:szCs w:val="24"/>
              </w:rPr>
              <w:t>Number of STI jobs created</w:t>
            </w:r>
          </w:p>
        </w:tc>
        <w:tc>
          <w:tcPr>
            <w:tcW w:w="3640" w:type="dxa"/>
          </w:tcPr>
          <w:p w14:paraId="2188A7B5" w14:textId="77777777" w:rsidR="001F340B" w:rsidRPr="003C1705" w:rsidRDefault="001F340B" w:rsidP="003C1705">
            <w:pPr>
              <w:pStyle w:val="TableText"/>
              <w:spacing w:line="480" w:lineRule="auto"/>
              <w:rPr>
                <w:sz w:val="24"/>
                <w:szCs w:val="24"/>
              </w:rPr>
            </w:pPr>
          </w:p>
        </w:tc>
      </w:tr>
      <w:tr w:rsidR="001F340B" w:rsidRPr="003C1705" w14:paraId="4BDCB8CC" w14:textId="77777777">
        <w:trPr>
          <w:cantSplit/>
        </w:trPr>
        <w:tc>
          <w:tcPr>
            <w:tcW w:w="456" w:type="dxa"/>
          </w:tcPr>
          <w:p w14:paraId="3355A505" w14:textId="77777777" w:rsidR="001F340B" w:rsidRPr="003C1705" w:rsidRDefault="00A73F00" w:rsidP="003C1705">
            <w:pPr>
              <w:pStyle w:val="TableText"/>
              <w:spacing w:line="480" w:lineRule="auto"/>
              <w:rPr>
                <w:sz w:val="24"/>
                <w:szCs w:val="24"/>
              </w:rPr>
            </w:pPr>
            <w:r w:rsidRPr="003C1705">
              <w:rPr>
                <w:rFonts w:ascii="Segoe UI Symbol" w:hAnsi="Segoe UI Symbol" w:cs="Segoe UI Symbol"/>
                <w:sz w:val="24"/>
                <w:szCs w:val="24"/>
              </w:rPr>
              <w:t>☐</w:t>
            </w:r>
          </w:p>
        </w:tc>
        <w:tc>
          <w:tcPr>
            <w:tcW w:w="4210" w:type="dxa"/>
          </w:tcPr>
          <w:p w14:paraId="77A87BAB" w14:textId="77777777" w:rsidR="001F340B" w:rsidRPr="003C1705" w:rsidRDefault="00A73F00" w:rsidP="003C1705">
            <w:pPr>
              <w:pStyle w:val="TableText"/>
              <w:spacing w:line="480" w:lineRule="auto"/>
              <w:rPr>
                <w:sz w:val="24"/>
                <w:szCs w:val="24"/>
              </w:rPr>
            </w:pPr>
            <w:r w:rsidRPr="003C1705">
              <w:rPr>
                <w:sz w:val="24"/>
                <w:szCs w:val="24"/>
              </w:rPr>
              <w:t>Number of S&amp;T startups or enterprises created</w:t>
            </w:r>
          </w:p>
        </w:tc>
        <w:tc>
          <w:tcPr>
            <w:tcW w:w="3640" w:type="dxa"/>
          </w:tcPr>
          <w:p w14:paraId="159D3A92" w14:textId="77777777" w:rsidR="001F340B" w:rsidRPr="003C1705" w:rsidRDefault="001F340B" w:rsidP="003C1705">
            <w:pPr>
              <w:pStyle w:val="TableText"/>
              <w:spacing w:line="480" w:lineRule="auto"/>
              <w:rPr>
                <w:sz w:val="24"/>
                <w:szCs w:val="24"/>
              </w:rPr>
            </w:pPr>
          </w:p>
        </w:tc>
      </w:tr>
      <w:tr w:rsidR="001F340B" w:rsidRPr="003C1705" w14:paraId="1A47825F" w14:textId="77777777">
        <w:trPr>
          <w:cantSplit/>
        </w:trPr>
        <w:tc>
          <w:tcPr>
            <w:tcW w:w="456" w:type="dxa"/>
          </w:tcPr>
          <w:p w14:paraId="6DAA4811" w14:textId="77777777" w:rsidR="001F340B" w:rsidRPr="003C1705" w:rsidRDefault="00A73F00" w:rsidP="003C1705">
            <w:pPr>
              <w:pStyle w:val="TableText"/>
              <w:spacing w:line="480" w:lineRule="auto"/>
              <w:rPr>
                <w:sz w:val="24"/>
                <w:szCs w:val="24"/>
              </w:rPr>
            </w:pPr>
            <w:r w:rsidRPr="003C1705">
              <w:rPr>
                <w:rFonts w:ascii="Segoe UI Symbol" w:hAnsi="Segoe UI Symbol" w:cs="Segoe UI Symbol"/>
                <w:sz w:val="24"/>
                <w:szCs w:val="24"/>
              </w:rPr>
              <w:t>☐</w:t>
            </w:r>
          </w:p>
        </w:tc>
        <w:tc>
          <w:tcPr>
            <w:tcW w:w="4210" w:type="dxa"/>
          </w:tcPr>
          <w:p w14:paraId="389BABD6" w14:textId="77777777" w:rsidR="001F340B" w:rsidRPr="003C1705" w:rsidRDefault="00A73F00" w:rsidP="003C1705">
            <w:pPr>
              <w:pStyle w:val="TableText"/>
              <w:spacing w:line="480" w:lineRule="auto"/>
              <w:rPr>
                <w:sz w:val="24"/>
                <w:szCs w:val="24"/>
              </w:rPr>
            </w:pPr>
            <w:r w:rsidRPr="003C1705">
              <w:rPr>
                <w:sz w:val="24"/>
                <w:szCs w:val="24"/>
              </w:rPr>
              <w:t>Number of extension beneficiaries trained, and extension materials produced</w:t>
            </w:r>
          </w:p>
        </w:tc>
        <w:tc>
          <w:tcPr>
            <w:tcW w:w="3640" w:type="dxa"/>
          </w:tcPr>
          <w:p w14:paraId="471C0DBA" w14:textId="77777777" w:rsidR="001F340B" w:rsidRPr="003C1705" w:rsidRDefault="00A73F00" w:rsidP="003C1705">
            <w:pPr>
              <w:pStyle w:val="TableText"/>
              <w:spacing w:line="480" w:lineRule="auto"/>
              <w:rPr>
                <w:sz w:val="24"/>
                <w:szCs w:val="24"/>
              </w:rPr>
            </w:pPr>
            <w:r w:rsidRPr="003C1705">
              <w:rPr>
                <w:sz w:val="24"/>
                <w:szCs w:val="24"/>
              </w:rPr>
              <w:t>30</w:t>
            </w:r>
          </w:p>
        </w:tc>
      </w:tr>
      <w:tr w:rsidR="001F340B" w:rsidRPr="003C1705" w14:paraId="61520106" w14:textId="77777777">
        <w:trPr>
          <w:cantSplit/>
        </w:trPr>
        <w:tc>
          <w:tcPr>
            <w:tcW w:w="8306" w:type="dxa"/>
            <w:gridSpan w:val="3"/>
            <w:shd w:val="clear" w:color="auto" w:fill="F2F2F2"/>
          </w:tcPr>
          <w:p w14:paraId="44613C45" w14:textId="77777777" w:rsidR="001F340B" w:rsidRPr="003C1705" w:rsidRDefault="00A73F00" w:rsidP="003C1705">
            <w:pPr>
              <w:pStyle w:val="TableText"/>
              <w:spacing w:line="480" w:lineRule="auto"/>
              <w:rPr>
                <w:sz w:val="24"/>
                <w:szCs w:val="24"/>
              </w:rPr>
            </w:pPr>
            <w:r w:rsidRPr="003C1705">
              <w:rPr>
                <w:b/>
                <w:sz w:val="24"/>
                <w:szCs w:val="24"/>
              </w:rPr>
              <w:t>Places/ Partnerships</w:t>
            </w:r>
          </w:p>
        </w:tc>
      </w:tr>
      <w:tr w:rsidR="001F340B" w:rsidRPr="003C1705" w14:paraId="4E936566" w14:textId="77777777">
        <w:trPr>
          <w:cantSplit/>
        </w:trPr>
        <w:tc>
          <w:tcPr>
            <w:tcW w:w="456" w:type="dxa"/>
          </w:tcPr>
          <w:p w14:paraId="21FE3AD8" w14:textId="77777777" w:rsidR="001F340B" w:rsidRPr="003C1705" w:rsidRDefault="00A73F00" w:rsidP="003C1705">
            <w:pPr>
              <w:pStyle w:val="TableText"/>
              <w:spacing w:line="480" w:lineRule="auto"/>
              <w:rPr>
                <w:sz w:val="24"/>
                <w:szCs w:val="24"/>
              </w:rPr>
            </w:pPr>
            <w:r w:rsidRPr="003C1705">
              <w:rPr>
                <w:rFonts w:ascii="Segoe UI Symbol" w:hAnsi="Segoe UI Symbol" w:cs="Segoe UI Symbol"/>
                <w:sz w:val="24"/>
                <w:szCs w:val="24"/>
              </w:rPr>
              <w:t>☐</w:t>
            </w:r>
          </w:p>
        </w:tc>
        <w:tc>
          <w:tcPr>
            <w:tcW w:w="4210" w:type="dxa"/>
          </w:tcPr>
          <w:p w14:paraId="31242705" w14:textId="77777777" w:rsidR="001F340B" w:rsidRPr="003C1705" w:rsidRDefault="00A73F00" w:rsidP="003C1705">
            <w:pPr>
              <w:pStyle w:val="TableText"/>
              <w:spacing w:line="480" w:lineRule="auto"/>
              <w:rPr>
                <w:sz w:val="24"/>
                <w:szCs w:val="24"/>
              </w:rPr>
            </w:pPr>
            <w:r w:rsidRPr="003C1705">
              <w:rPr>
                <w:sz w:val="24"/>
                <w:szCs w:val="24"/>
              </w:rPr>
              <w:t>Number of projects conducted jointly with industry</w:t>
            </w:r>
          </w:p>
        </w:tc>
        <w:tc>
          <w:tcPr>
            <w:tcW w:w="3640" w:type="dxa"/>
          </w:tcPr>
          <w:p w14:paraId="52F9A748" w14:textId="77777777" w:rsidR="001F340B" w:rsidRPr="003C1705" w:rsidRDefault="00A73F00" w:rsidP="003C1705">
            <w:pPr>
              <w:pStyle w:val="TableText"/>
              <w:spacing w:line="480" w:lineRule="auto"/>
              <w:rPr>
                <w:sz w:val="24"/>
                <w:szCs w:val="24"/>
              </w:rPr>
            </w:pPr>
            <w:r w:rsidRPr="003C1705">
              <w:rPr>
                <w:sz w:val="24"/>
                <w:szCs w:val="24"/>
              </w:rPr>
              <w:t>5</w:t>
            </w:r>
          </w:p>
        </w:tc>
      </w:tr>
      <w:tr w:rsidR="001F340B" w:rsidRPr="003C1705" w14:paraId="109BF137" w14:textId="77777777">
        <w:trPr>
          <w:cantSplit/>
        </w:trPr>
        <w:tc>
          <w:tcPr>
            <w:tcW w:w="456" w:type="dxa"/>
          </w:tcPr>
          <w:p w14:paraId="07A5D7A5" w14:textId="77777777" w:rsidR="001F340B" w:rsidRPr="003C1705" w:rsidRDefault="00A73F00" w:rsidP="003C1705">
            <w:pPr>
              <w:pStyle w:val="TableText"/>
              <w:spacing w:line="480" w:lineRule="auto"/>
              <w:rPr>
                <w:sz w:val="24"/>
                <w:szCs w:val="24"/>
              </w:rPr>
            </w:pPr>
            <w:r w:rsidRPr="003C1705">
              <w:rPr>
                <w:rFonts w:ascii="Segoe UI Symbol" w:hAnsi="Segoe UI Symbol" w:cs="Segoe UI Symbol"/>
                <w:sz w:val="24"/>
                <w:szCs w:val="24"/>
              </w:rPr>
              <w:t>☐</w:t>
            </w:r>
          </w:p>
        </w:tc>
        <w:tc>
          <w:tcPr>
            <w:tcW w:w="4210" w:type="dxa"/>
          </w:tcPr>
          <w:p w14:paraId="004E8367" w14:textId="77777777" w:rsidR="001F340B" w:rsidRPr="003C1705" w:rsidRDefault="00A73F00" w:rsidP="003C1705">
            <w:pPr>
              <w:pStyle w:val="TableText"/>
              <w:spacing w:line="480" w:lineRule="auto"/>
              <w:rPr>
                <w:sz w:val="24"/>
                <w:szCs w:val="24"/>
              </w:rPr>
            </w:pPr>
            <w:r w:rsidRPr="003C1705">
              <w:rPr>
                <w:sz w:val="24"/>
                <w:szCs w:val="24"/>
              </w:rPr>
              <w:t xml:space="preserve">Number of </w:t>
            </w:r>
            <w:proofErr w:type="spellStart"/>
            <w:r w:rsidRPr="003C1705">
              <w:rPr>
                <w:sz w:val="24"/>
                <w:szCs w:val="24"/>
              </w:rPr>
              <w:t>incubatees</w:t>
            </w:r>
            <w:proofErr w:type="spellEnd"/>
            <w:r w:rsidRPr="003C1705">
              <w:rPr>
                <w:sz w:val="24"/>
                <w:szCs w:val="24"/>
              </w:rPr>
              <w:t xml:space="preserve"> assisted by Technology Business Incubators</w:t>
            </w:r>
          </w:p>
        </w:tc>
        <w:tc>
          <w:tcPr>
            <w:tcW w:w="3640" w:type="dxa"/>
          </w:tcPr>
          <w:p w14:paraId="5F13AB35" w14:textId="77777777" w:rsidR="001F340B" w:rsidRPr="003C1705" w:rsidRDefault="001F340B" w:rsidP="003C1705">
            <w:pPr>
              <w:pStyle w:val="TableText"/>
              <w:spacing w:line="480" w:lineRule="auto"/>
              <w:rPr>
                <w:sz w:val="24"/>
                <w:szCs w:val="24"/>
              </w:rPr>
            </w:pPr>
          </w:p>
        </w:tc>
      </w:tr>
      <w:tr w:rsidR="001F340B" w:rsidRPr="003C1705" w14:paraId="68BA2746" w14:textId="77777777">
        <w:trPr>
          <w:cantSplit/>
        </w:trPr>
        <w:tc>
          <w:tcPr>
            <w:tcW w:w="456" w:type="dxa"/>
          </w:tcPr>
          <w:p w14:paraId="49818E7E" w14:textId="77777777" w:rsidR="001F340B" w:rsidRPr="003C1705" w:rsidRDefault="00A73F00" w:rsidP="003C1705">
            <w:pPr>
              <w:pStyle w:val="TableText"/>
              <w:spacing w:line="480" w:lineRule="auto"/>
              <w:rPr>
                <w:sz w:val="24"/>
                <w:szCs w:val="24"/>
              </w:rPr>
            </w:pPr>
            <w:r w:rsidRPr="003C1705">
              <w:rPr>
                <w:rFonts w:ascii="Segoe UI Symbol" w:hAnsi="Segoe UI Symbol" w:cs="Segoe UI Symbol"/>
                <w:sz w:val="24"/>
                <w:szCs w:val="24"/>
              </w:rPr>
              <w:t>☐</w:t>
            </w:r>
          </w:p>
        </w:tc>
        <w:tc>
          <w:tcPr>
            <w:tcW w:w="4210" w:type="dxa"/>
          </w:tcPr>
          <w:p w14:paraId="0A444481" w14:textId="77777777" w:rsidR="001F340B" w:rsidRPr="003C1705" w:rsidRDefault="00A73F00" w:rsidP="003C1705">
            <w:pPr>
              <w:pStyle w:val="TableText"/>
              <w:spacing w:line="480" w:lineRule="auto"/>
              <w:rPr>
                <w:sz w:val="24"/>
                <w:szCs w:val="24"/>
              </w:rPr>
            </w:pPr>
            <w:r w:rsidRPr="003C1705">
              <w:rPr>
                <w:sz w:val="24"/>
                <w:szCs w:val="24"/>
              </w:rPr>
              <w:t>Total investments or grants received by the startups under the Technology Business incubators</w:t>
            </w:r>
          </w:p>
        </w:tc>
        <w:tc>
          <w:tcPr>
            <w:tcW w:w="3640" w:type="dxa"/>
          </w:tcPr>
          <w:p w14:paraId="7804BC56" w14:textId="77777777" w:rsidR="001F340B" w:rsidRPr="003C1705" w:rsidRDefault="001F340B" w:rsidP="003C1705">
            <w:pPr>
              <w:pStyle w:val="TableText"/>
              <w:spacing w:line="480" w:lineRule="auto"/>
              <w:rPr>
                <w:sz w:val="24"/>
                <w:szCs w:val="24"/>
              </w:rPr>
            </w:pPr>
          </w:p>
        </w:tc>
      </w:tr>
      <w:tr w:rsidR="001F340B" w:rsidRPr="003C1705" w14:paraId="14C8D5F5" w14:textId="77777777">
        <w:trPr>
          <w:cantSplit/>
        </w:trPr>
        <w:tc>
          <w:tcPr>
            <w:tcW w:w="456" w:type="dxa"/>
          </w:tcPr>
          <w:p w14:paraId="4881A855" w14:textId="77777777" w:rsidR="001F340B" w:rsidRPr="003C1705" w:rsidRDefault="00A73F00" w:rsidP="003C1705">
            <w:pPr>
              <w:pStyle w:val="TableText"/>
              <w:spacing w:line="480" w:lineRule="auto"/>
              <w:rPr>
                <w:sz w:val="24"/>
                <w:szCs w:val="24"/>
              </w:rPr>
            </w:pPr>
            <w:r w:rsidRPr="003C1705">
              <w:rPr>
                <w:rFonts w:ascii="Segoe UI Symbol" w:hAnsi="Segoe UI Symbol" w:cs="Segoe UI Symbol"/>
                <w:sz w:val="24"/>
                <w:szCs w:val="24"/>
              </w:rPr>
              <w:lastRenderedPageBreak/>
              <w:t>☐</w:t>
            </w:r>
          </w:p>
        </w:tc>
        <w:tc>
          <w:tcPr>
            <w:tcW w:w="4210" w:type="dxa"/>
          </w:tcPr>
          <w:p w14:paraId="3123A10B" w14:textId="77777777" w:rsidR="001F340B" w:rsidRPr="003C1705" w:rsidRDefault="00A73F00" w:rsidP="003C1705">
            <w:pPr>
              <w:pStyle w:val="TableText"/>
              <w:spacing w:line="480" w:lineRule="auto"/>
              <w:rPr>
                <w:sz w:val="24"/>
                <w:szCs w:val="24"/>
              </w:rPr>
            </w:pPr>
            <w:r w:rsidRPr="003C1705">
              <w:rPr>
                <w:sz w:val="24"/>
                <w:szCs w:val="24"/>
              </w:rPr>
              <w:t>Total Peso Value of industry-sponsored research expenditures</w:t>
            </w:r>
          </w:p>
        </w:tc>
        <w:tc>
          <w:tcPr>
            <w:tcW w:w="3640" w:type="dxa"/>
          </w:tcPr>
          <w:p w14:paraId="3EE5E682" w14:textId="77777777" w:rsidR="001F340B" w:rsidRPr="003C1705" w:rsidRDefault="001F340B" w:rsidP="003C1705">
            <w:pPr>
              <w:pStyle w:val="TableText"/>
              <w:spacing w:line="480" w:lineRule="auto"/>
              <w:rPr>
                <w:sz w:val="24"/>
                <w:szCs w:val="24"/>
              </w:rPr>
            </w:pPr>
          </w:p>
        </w:tc>
      </w:tr>
      <w:tr w:rsidR="001F340B" w:rsidRPr="003C1705" w14:paraId="66640CBE" w14:textId="77777777">
        <w:trPr>
          <w:cantSplit/>
        </w:trPr>
        <w:tc>
          <w:tcPr>
            <w:tcW w:w="456" w:type="dxa"/>
          </w:tcPr>
          <w:p w14:paraId="77C4CB7A" w14:textId="77777777" w:rsidR="001F340B" w:rsidRPr="003C1705" w:rsidRDefault="00A73F00" w:rsidP="003C1705">
            <w:pPr>
              <w:pStyle w:val="TableText"/>
              <w:spacing w:line="480" w:lineRule="auto"/>
              <w:rPr>
                <w:sz w:val="24"/>
                <w:szCs w:val="24"/>
              </w:rPr>
            </w:pPr>
            <w:r w:rsidRPr="003C1705">
              <w:rPr>
                <w:rFonts w:ascii="Segoe UI Symbol" w:hAnsi="Segoe UI Symbol" w:cs="Segoe UI Symbol"/>
                <w:sz w:val="24"/>
                <w:szCs w:val="24"/>
              </w:rPr>
              <w:t>☐</w:t>
            </w:r>
          </w:p>
        </w:tc>
        <w:tc>
          <w:tcPr>
            <w:tcW w:w="4210" w:type="dxa"/>
          </w:tcPr>
          <w:p w14:paraId="53BEFF5B" w14:textId="77777777" w:rsidR="001F340B" w:rsidRPr="003C1705" w:rsidRDefault="00A73F00" w:rsidP="003C1705">
            <w:pPr>
              <w:pStyle w:val="TableText"/>
              <w:spacing w:line="480" w:lineRule="auto"/>
              <w:rPr>
                <w:sz w:val="24"/>
                <w:szCs w:val="24"/>
              </w:rPr>
            </w:pPr>
            <w:r w:rsidRPr="003C1705">
              <w:rPr>
                <w:sz w:val="24"/>
                <w:szCs w:val="24"/>
              </w:rPr>
              <w:t>Number of individual private sector entities funding research grants and contracts</w:t>
            </w:r>
          </w:p>
        </w:tc>
        <w:tc>
          <w:tcPr>
            <w:tcW w:w="3640" w:type="dxa"/>
          </w:tcPr>
          <w:p w14:paraId="61571F99" w14:textId="77777777" w:rsidR="001F340B" w:rsidRPr="003C1705" w:rsidRDefault="001F340B" w:rsidP="003C1705">
            <w:pPr>
              <w:pStyle w:val="TableText"/>
              <w:spacing w:line="480" w:lineRule="auto"/>
              <w:rPr>
                <w:sz w:val="24"/>
                <w:szCs w:val="24"/>
              </w:rPr>
            </w:pPr>
          </w:p>
        </w:tc>
      </w:tr>
      <w:tr w:rsidR="001F340B" w:rsidRPr="003C1705" w14:paraId="692C594E" w14:textId="77777777">
        <w:trPr>
          <w:cantSplit/>
        </w:trPr>
        <w:tc>
          <w:tcPr>
            <w:tcW w:w="456" w:type="dxa"/>
          </w:tcPr>
          <w:p w14:paraId="2749BEE6" w14:textId="77777777" w:rsidR="001F340B" w:rsidRPr="003C1705" w:rsidRDefault="00A73F00" w:rsidP="003C1705">
            <w:pPr>
              <w:pStyle w:val="TableText"/>
              <w:spacing w:line="480" w:lineRule="auto"/>
              <w:rPr>
                <w:sz w:val="24"/>
                <w:szCs w:val="24"/>
              </w:rPr>
            </w:pPr>
            <w:r w:rsidRPr="003C1705">
              <w:rPr>
                <w:rFonts w:ascii="Segoe UI Symbol" w:hAnsi="Segoe UI Symbol" w:cs="Segoe UI Symbol"/>
                <w:sz w:val="24"/>
                <w:szCs w:val="24"/>
              </w:rPr>
              <w:t>☐</w:t>
            </w:r>
          </w:p>
        </w:tc>
        <w:tc>
          <w:tcPr>
            <w:tcW w:w="4210" w:type="dxa"/>
          </w:tcPr>
          <w:p w14:paraId="532D4A48" w14:textId="77777777" w:rsidR="001F340B" w:rsidRPr="003C1705" w:rsidRDefault="00A73F00" w:rsidP="003C1705">
            <w:pPr>
              <w:pStyle w:val="TableText"/>
              <w:spacing w:line="480" w:lineRule="auto"/>
              <w:rPr>
                <w:sz w:val="24"/>
                <w:szCs w:val="24"/>
              </w:rPr>
            </w:pPr>
            <w:r w:rsidRPr="003C1705">
              <w:rPr>
                <w:sz w:val="24"/>
                <w:szCs w:val="24"/>
              </w:rPr>
              <w:t>Number of industry collaborators</w:t>
            </w:r>
          </w:p>
        </w:tc>
        <w:tc>
          <w:tcPr>
            <w:tcW w:w="3640" w:type="dxa"/>
          </w:tcPr>
          <w:p w14:paraId="0B878600" w14:textId="77777777" w:rsidR="001F340B" w:rsidRPr="003C1705" w:rsidRDefault="001F340B" w:rsidP="003C1705">
            <w:pPr>
              <w:pStyle w:val="TableText"/>
              <w:spacing w:line="480" w:lineRule="auto"/>
              <w:rPr>
                <w:sz w:val="24"/>
                <w:szCs w:val="24"/>
              </w:rPr>
            </w:pPr>
          </w:p>
        </w:tc>
      </w:tr>
      <w:tr w:rsidR="001F340B" w:rsidRPr="003C1705" w14:paraId="628C4614" w14:textId="77777777">
        <w:trPr>
          <w:cantSplit/>
        </w:trPr>
        <w:tc>
          <w:tcPr>
            <w:tcW w:w="456" w:type="dxa"/>
          </w:tcPr>
          <w:p w14:paraId="656B0516" w14:textId="77777777" w:rsidR="001F340B" w:rsidRPr="003C1705" w:rsidRDefault="00A73F00" w:rsidP="003C1705">
            <w:pPr>
              <w:pStyle w:val="TableText"/>
              <w:spacing w:line="480" w:lineRule="auto"/>
              <w:rPr>
                <w:sz w:val="24"/>
                <w:szCs w:val="24"/>
              </w:rPr>
            </w:pPr>
            <w:r w:rsidRPr="003C1705">
              <w:rPr>
                <w:rFonts w:ascii="Segoe UI Symbol" w:hAnsi="Segoe UI Symbol" w:cs="Segoe UI Symbol"/>
                <w:sz w:val="24"/>
                <w:szCs w:val="24"/>
              </w:rPr>
              <w:t>☐</w:t>
            </w:r>
          </w:p>
        </w:tc>
        <w:tc>
          <w:tcPr>
            <w:tcW w:w="4210" w:type="dxa"/>
          </w:tcPr>
          <w:p w14:paraId="55AF1194" w14:textId="77777777" w:rsidR="001F340B" w:rsidRPr="003C1705" w:rsidRDefault="00A73F00" w:rsidP="003C1705">
            <w:pPr>
              <w:pStyle w:val="TableText"/>
              <w:spacing w:line="480" w:lineRule="auto"/>
              <w:rPr>
                <w:sz w:val="24"/>
                <w:szCs w:val="24"/>
              </w:rPr>
            </w:pPr>
            <w:r w:rsidRPr="003C1705">
              <w:rPr>
                <w:sz w:val="24"/>
                <w:szCs w:val="24"/>
              </w:rPr>
              <w:t>Number of community-based collaborators</w:t>
            </w:r>
          </w:p>
        </w:tc>
        <w:tc>
          <w:tcPr>
            <w:tcW w:w="3640" w:type="dxa"/>
          </w:tcPr>
          <w:p w14:paraId="38424CE2" w14:textId="77777777" w:rsidR="001F340B" w:rsidRPr="003C1705" w:rsidRDefault="001F340B" w:rsidP="003C1705">
            <w:pPr>
              <w:pStyle w:val="TableText"/>
              <w:spacing w:line="480" w:lineRule="auto"/>
              <w:rPr>
                <w:sz w:val="24"/>
                <w:szCs w:val="24"/>
              </w:rPr>
            </w:pPr>
          </w:p>
        </w:tc>
      </w:tr>
      <w:tr w:rsidR="001F340B" w:rsidRPr="003C1705" w14:paraId="4F0F2A43" w14:textId="77777777">
        <w:trPr>
          <w:cantSplit/>
        </w:trPr>
        <w:tc>
          <w:tcPr>
            <w:tcW w:w="456" w:type="dxa"/>
          </w:tcPr>
          <w:p w14:paraId="3A694E26" w14:textId="77777777" w:rsidR="001F340B" w:rsidRPr="003C1705" w:rsidRDefault="00A73F00" w:rsidP="003C1705">
            <w:pPr>
              <w:pStyle w:val="TableText"/>
              <w:spacing w:line="480" w:lineRule="auto"/>
              <w:rPr>
                <w:sz w:val="24"/>
                <w:szCs w:val="24"/>
              </w:rPr>
            </w:pPr>
            <w:r w:rsidRPr="003C1705">
              <w:rPr>
                <w:rFonts w:ascii="Segoe UI Symbol" w:hAnsi="Segoe UI Symbol" w:cs="Segoe UI Symbol"/>
                <w:sz w:val="24"/>
                <w:szCs w:val="24"/>
              </w:rPr>
              <w:t>☐</w:t>
            </w:r>
          </w:p>
        </w:tc>
        <w:tc>
          <w:tcPr>
            <w:tcW w:w="4210" w:type="dxa"/>
          </w:tcPr>
          <w:p w14:paraId="74E7DC52" w14:textId="77777777" w:rsidR="001F340B" w:rsidRPr="003C1705" w:rsidRDefault="00A73F00" w:rsidP="003C1705">
            <w:pPr>
              <w:pStyle w:val="TableText"/>
              <w:spacing w:line="480" w:lineRule="auto"/>
              <w:rPr>
                <w:sz w:val="24"/>
                <w:szCs w:val="24"/>
              </w:rPr>
            </w:pPr>
            <w:r w:rsidRPr="003C1705">
              <w:rPr>
                <w:sz w:val="24"/>
                <w:szCs w:val="24"/>
              </w:rPr>
              <w:t>Number of grants, contracts and sub-agreements from private sector entities</w:t>
            </w:r>
          </w:p>
        </w:tc>
        <w:tc>
          <w:tcPr>
            <w:tcW w:w="3640" w:type="dxa"/>
          </w:tcPr>
          <w:p w14:paraId="7DFC31CB" w14:textId="77777777" w:rsidR="001F340B" w:rsidRPr="003C1705" w:rsidRDefault="001F340B" w:rsidP="003C1705">
            <w:pPr>
              <w:pStyle w:val="TableText"/>
              <w:spacing w:line="480" w:lineRule="auto"/>
              <w:rPr>
                <w:sz w:val="24"/>
                <w:szCs w:val="24"/>
              </w:rPr>
            </w:pPr>
          </w:p>
        </w:tc>
      </w:tr>
      <w:tr w:rsidR="001F340B" w:rsidRPr="003C1705" w14:paraId="1BB2FE0B" w14:textId="77777777">
        <w:trPr>
          <w:cantSplit/>
        </w:trPr>
        <w:tc>
          <w:tcPr>
            <w:tcW w:w="456" w:type="dxa"/>
          </w:tcPr>
          <w:p w14:paraId="13D52D60" w14:textId="77777777" w:rsidR="001F340B" w:rsidRPr="003C1705" w:rsidRDefault="00A73F00" w:rsidP="003C1705">
            <w:pPr>
              <w:pStyle w:val="TableText"/>
              <w:spacing w:line="480" w:lineRule="auto"/>
              <w:rPr>
                <w:sz w:val="24"/>
                <w:szCs w:val="24"/>
              </w:rPr>
            </w:pPr>
            <w:r w:rsidRPr="003C1705">
              <w:rPr>
                <w:rFonts w:ascii="Segoe UI Symbol" w:hAnsi="Segoe UI Symbol" w:cs="Segoe UI Symbol"/>
                <w:sz w:val="24"/>
                <w:szCs w:val="24"/>
              </w:rPr>
              <w:t>☐</w:t>
            </w:r>
          </w:p>
        </w:tc>
        <w:tc>
          <w:tcPr>
            <w:tcW w:w="4210" w:type="dxa"/>
          </w:tcPr>
          <w:p w14:paraId="743A77F7" w14:textId="77777777" w:rsidR="001F340B" w:rsidRPr="003C1705" w:rsidRDefault="00A73F00" w:rsidP="003C1705">
            <w:pPr>
              <w:pStyle w:val="TableText"/>
              <w:spacing w:line="480" w:lineRule="auto"/>
              <w:rPr>
                <w:sz w:val="24"/>
                <w:szCs w:val="24"/>
              </w:rPr>
            </w:pPr>
            <w:r w:rsidRPr="003C1705">
              <w:rPr>
                <w:sz w:val="24"/>
                <w:szCs w:val="24"/>
              </w:rPr>
              <w:t>Number of utility models commercialized/adopted by communities, LGUs, independent enterprises</w:t>
            </w:r>
          </w:p>
        </w:tc>
        <w:tc>
          <w:tcPr>
            <w:tcW w:w="3640" w:type="dxa"/>
          </w:tcPr>
          <w:p w14:paraId="02193280" w14:textId="77777777" w:rsidR="001F340B" w:rsidRPr="003C1705" w:rsidRDefault="001F340B" w:rsidP="003C1705">
            <w:pPr>
              <w:pStyle w:val="TableText"/>
              <w:spacing w:line="480" w:lineRule="auto"/>
              <w:rPr>
                <w:sz w:val="24"/>
                <w:szCs w:val="24"/>
              </w:rPr>
            </w:pPr>
          </w:p>
        </w:tc>
      </w:tr>
      <w:tr w:rsidR="001F340B" w:rsidRPr="003C1705" w14:paraId="779DAD80" w14:textId="77777777">
        <w:trPr>
          <w:cantSplit/>
        </w:trPr>
        <w:tc>
          <w:tcPr>
            <w:tcW w:w="8306" w:type="dxa"/>
            <w:gridSpan w:val="3"/>
            <w:shd w:val="clear" w:color="auto" w:fill="F2F2F2"/>
          </w:tcPr>
          <w:p w14:paraId="3CC89F8D" w14:textId="77777777" w:rsidR="001F340B" w:rsidRPr="003C1705" w:rsidRDefault="00A73F00" w:rsidP="003C1705">
            <w:pPr>
              <w:pStyle w:val="TableText"/>
              <w:spacing w:line="480" w:lineRule="auto"/>
              <w:rPr>
                <w:sz w:val="24"/>
                <w:szCs w:val="24"/>
              </w:rPr>
            </w:pPr>
            <w:r w:rsidRPr="003C1705">
              <w:rPr>
                <w:b/>
                <w:sz w:val="24"/>
                <w:szCs w:val="24"/>
              </w:rPr>
              <w:t>Policies</w:t>
            </w:r>
          </w:p>
        </w:tc>
      </w:tr>
      <w:tr w:rsidR="001F340B" w:rsidRPr="003C1705" w14:paraId="3F0446F9" w14:textId="77777777">
        <w:trPr>
          <w:cantSplit/>
        </w:trPr>
        <w:tc>
          <w:tcPr>
            <w:tcW w:w="456" w:type="dxa"/>
          </w:tcPr>
          <w:p w14:paraId="7715FA10" w14:textId="77777777" w:rsidR="001F340B" w:rsidRPr="003C1705" w:rsidRDefault="00A73F00" w:rsidP="003C1705">
            <w:pPr>
              <w:pStyle w:val="TableText"/>
              <w:spacing w:line="480" w:lineRule="auto"/>
              <w:rPr>
                <w:sz w:val="24"/>
                <w:szCs w:val="24"/>
              </w:rPr>
            </w:pPr>
            <w:r w:rsidRPr="003C1705">
              <w:rPr>
                <w:rFonts w:ascii="Segoe UI Symbol" w:hAnsi="Segoe UI Symbol" w:cs="Segoe UI Symbol"/>
                <w:sz w:val="24"/>
                <w:szCs w:val="24"/>
              </w:rPr>
              <w:t>☐</w:t>
            </w:r>
          </w:p>
        </w:tc>
        <w:tc>
          <w:tcPr>
            <w:tcW w:w="4210" w:type="dxa"/>
          </w:tcPr>
          <w:p w14:paraId="21272DAD" w14:textId="77777777" w:rsidR="001F340B" w:rsidRPr="003C1705" w:rsidRDefault="00A73F00" w:rsidP="003C1705">
            <w:pPr>
              <w:pStyle w:val="TableText"/>
              <w:spacing w:line="480" w:lineRule="auto"/>
              <w:rPr>
                <w:sz w:val="24"/>
                <w:szCs w:val="24"/>
              </w:rPr>
            </w:pPr>
            <w:r w:rsidRPr="003C1705">
              <w:rPr>
                <w:sz w:val="24"/>
                <w:szCs w:val="24"/>
              </w:rPr>
              <w:t>Number of policies, policy recommendations, local and national legislative bills developed, filed, and passed</w:t>
            </w:r>
          </w:p>
        </w:tc>
        <w:tc>
          <w:tcPr>
            <w:tcW w:w="3640" w:type="dxa"/>
          </w:tcPr>
          <w:p w14:paraId="7710150B" w14:textId="77777777" w:rsidR="001F340B" w:rsidRPr="003C1705" w:rsidRDefault="00A73F00" w:rsidP="003C1705">
            <w:pPr>
              <w:pStyle w:val="TableText"/>
              <w:spacing w:line="480" w:lineRule="auto"/>
              <w:rPr>
                <w:sz w:val="24"/>
                <w:szCs w:val="24"/>
              </w:rPr>
            </w:pPr>
            <w:r w:rsidRPr="003C1705">
              <w:rPr>
                <w:sz w:val="24"/>
                <w:szCs w:val="24"/>
              </w:rPr>
              <w:t xml:space="preserve">1 </w:t>
            </w:r>
          </w:p>
        </w:tc>
      </w:tr>
    </w:tbl>
    <w:p w14:paraId="2223A197" w14:textId="77777777" w:rsidR="005F499C" w:rsidRPr="003C1705" w:rsidRDefault="005F499C" w:rsidP="003C1705">
      <w:pPr>
        <w:spacing w:line="480" w:lineRule="auto"/>
      </w:pPr>
    </w:p>
    <w:p w14:paraId="4BFADD3F" w14:textId="77777777" w:rsidR="001F340B" w:rsidRPr="003C1705" w:rsidRDefault="00A73F00" w:rsidP="003C1705">
      <w:pPr>
        <w:pStyle w:val="Heading1"/>
        <w:spacing w:line="480" w:lineRule="auto"/>
      </w:pPr>
      <w:r w:rsidRPr="003C1705">
        <w:t>VIII. TARGET BENEFICIARIES</w:t>
      </w:r>
    </w:p>
    <w:p w14:paraId="720686FC" w14:textId="77777777" w:rsidR="001F340B" w:rsidRPr="003C1705" w:rsidRDefault="00A73F00" w:rsidP="003C1705">
      <w:pPr>
        <w:pStyle w:val="ThesisBody"/>
      </w:pPr>
      <w:r w:rsidRPr="003C1705">
        <w:t xml:space="preserve">The primary beneficiaries of the project will be public health institutions and personnel involved in disease surveillance, outbreak monitoring, health data reporting, </w:t>
      </w:r>
      <w:r w:rsidRPr="003C1705">
        <w:lastRenderedPageBreak/>
        <w:t>and public health decision-making in Region I. These include the Department of Health–Center for Health Development Region I, provincial health offices, municipal health offices, rural health units, selected public hospitals, local epidemiology and surveillance units, and health program coordinators.</w:t>
      </w:r>
    </w:p>
    <w:p w14:paraId="7F756E39" w14:textId="77777777" w:rsidR="001F340B" w:rsidRPr="003C1705" w:rsidRDefault="00A73F00" w:rsidP="003C1705">
      <w:pPr>
        <w:pStyle w:val="ThesisBody"/>
      </w:pPr>
      <w:r w:rsidRPr="003C1705">
        <w:t>Disease surveillance officers, epidemiology staff, municipal health officers, public health nurses, hospital reporting personnel, and public health decision-makers may benefit from the platform through improved access to disease dashboards, trend visualizations, risk maps, forecast outputs, alerts, and reports. These tools may help them interpret surveillance data more efficiently and identify areas that require closer monitoring.</w:t>
      </w:r>
    </w:p>
    <w:p w14:paraId="57128A80" w14:textId="1E33DAE1" w:rsidR="001F340B" w:rsidRPr="003C1705" w:rsidRDefault="00A73F00" w:rsidP="003C1705">
      <w:pPr>
        <w:pStyle w:val="ThesisBody"/>
      </w:pPr>
      <w:r w:rsidRPr="003C1705">
        <w:t xml:space="preserve">Healthcare institutions may also benefit from the project because </w:t>
      </w:r>
      <w:proofErr w:type="spellStart"/>
      <w:r w:rsidR="003C1705">
        <w:t>HealthAlert</w:t>
      </w:r>
      <w:proofErr w:type="spellEnd"/>
      <w:r w:rsidRPr="003C1705">
        <w:t xml:space="preserve"> can support more timely interpretation of disease trends and possible outbreak signals. Although the platform will not replace official surveillance protocols or professional judgment, it may provide additional decision-support information for planning, monitoring, reporting, and coordination.</w:t>
      </w:r>
    </w:p>
    <w:p w14:paraId="7D582BD6" w14:textId="77777777" w:rsidR="001F340B" w:rsidRPr="003C1705" w:rsidRDefault="00A73F00" w:rsidP="003C1705">
      <w:pPr>
        <w:pStyle w:val="ThesisBody"/>
      </w:pPr>
      <w:r w:rsidRPr="003C1705">
        <w:t>Communities in Region I may indirectly benefit through improved outbreak preparedness, more timely disease monitoring, and better-informed public health actions. The project may also benefit researchers, students, and technical personnel by strengthening local capacity in artificial intelligence, health informatics, software development, and predictive analytics for public health.</w:t>
      </w:r>
    </w:p>
    <w:p w14:paraId="3A969AB1" w14:textId="77777777" w:rsidR="001F340B" w:rsidRPr="003C1705" w:rsidRDefault="00A73F00" w:rsidP="003C1705">
      <w:pPr>
        <w:pStyle w:val="Heading1"/>
        <w:spacing w:line="480" w:lineRule="auto"/>
      </w:pPr>
      <w:r w:rsidRPr="003C1705">
        <w:t>IX. SUSTAINABILITY PLAN</w:t>
      </w:r>
    </w:p>
    <w:p w14:paraId="3EB94C25" w14:textId="065917AE" w:rsidR="001F340B" w:rsidRPr="003C1705" w:rsidRDefault="00A73F00" w:rsidP="003C1705">
      <w:pPr>
        <w:pStyle w:val="ThesisBody"/>
      </w:pPr>
      <w:r w:rsidRPr="003C1705">
        <w:t xml:space="preserve">The sustainability of </w:t>
      </w:r>
      <w:proofErr w:type="spellStart"/>
      <w:r w:rsidR="003C1705">
        <w:t>HealthAlert</w:t>
      </w:r>
      <w:proofErr w:type="spellEnd"/>
      <w:r w:rsidRPr="003C1705">
        <w:t xml:space="preserve"> will depend on institutional interest, technical maintainability, data availability, user capacity, and continued collaboration with public health partners. To support sustainability, the project will produce technical documentation, user guides, model documentation, and implementation guidelines that </w:t>
      </w:r>
      <w:r w:rsidRPr="003C1705">
        <w:lastRenderedPageBreak/>
        <w:t>can help partner institutions understand, maintain, and use the system after the project period.</w:t>
      </w:r>
    </w:p>
    <w:p w14:paraId="65AB0B18" w14:textId="77777777" w:rsidR="001F340B" w:rsidRPr="003C1705" w:rsidRDefault="00A73F00" w:rsidP="003C1705">
      <w:pPr>
        <w:pStyle w:val="ThesisBody"/>
      </w:pPr>
      <w:r w:rsidRPr="003C1705">
        <w:t xml:space="preserve">The platform will be designed using a modular and disease-extensible architecture. This will allow future disease models, additional approved data sources, and new dashboard functions to be added without redesigning the entire system. The use of commonly available tools such as Python, </w:t>
      </w:r>
      <w:proofErr w:type="spellStart"/>
      <w:r w:rsidRPr="003C1705">
        <w:t>FastAPI</w:t>
      </w:r>
      <w:proofErr w:type="spellEnd"/>
      <w:r w:rsidRPr="003C1705">
        <w:t xml:space="preserve">, PostgreSQL, </w:t>
      </w:r>
      <w:proofErr w:type="spellStart"/>
      <w:r w:rsidRPr="003C1705">
        <w:t>PostGIS</w:t>
      </w:r>
      <w:proofErr w:type="spellEnd"/>
      <w:r w:rsidRPr="003C1705">
        <w:t>, and web-based frontend technologies will also support maintainability because these tools have broad documentation and developer support.</w:t>
      </w:r>
    </w:p>
    <w:p w14:paraId="6DD587E2" w14:textId="77777777" w:rsidR="001F340B" w:rsidRPr="003C1705" w:rsidRDefault="00A73F00" w:rsidP="003C1705">
      <w:pPr>
        <w:pStyle w:val="ThesisBody"/>
      </w:pPr>
      <w:r w:rsidRPr="003C1705">
        <w:t>Capacity-building activities will be conducted during pilot implementation. Public health users and system administrators will be trained on data upload, dashboard interpretation, forecast review, alert interpretation, report generation, data privacy, and responsible use of AI-generated outputs. These activities will help improve user readiness and reduce dependence on the research team.</w:t>
      </w:r>
    </w:p>
    <w:p w14:paraId="33CAE615" w14:textId="77777777" w:rsidR="001F340B" w:rsidRPr="003C1705" w:rsidRDefault="00A73F00" w:rsidP="003C1705">
      <w:pPr>
        <w:pStyle w:val="ThesisBody"/>
      </w:pPr>
      <w:r w:rsidRPr="003C1705">
        <w:t>The system will initially support CSV or Excel-based data upload to ensure feasibility. If institutional approvals, technical resources, and data-sharing arrangements become available, future versions may support scheduled data import or API-based integration with approved health information systems. This staged approach will allow the platform to function under realistic technical conditions while keeping future interoperability possible.</w:t>
      </w:r>
    </w:p>
    <w:p w14:paraId="09E98C93" w14:textId="77777777" w:rsidR="001F340B" w:rsidRPr="003C1705" w:rsidRDefault="00A73F00" w:rsidP="003C1705">
      <w:pPr>
        <w:pStyle w:val="ThesisBody"/>
      </w:pPr>
      <w:r w:rsidRPr="003C1705">
        <w:t>The project will also produce policy recommendations and implementation guidelines to support possible future scaling. These recommendations may address data-sharing arrangements, privacy safeguards, model validation, user training, alert interpretation, system maintenance, and possible expansion to other diseases or local government units.</w:t>
      </w:r>
    </w:p>
    <w:p w14:paraId="5FC287D1" w14:textId="77777777" w:rsidR="001F340B" w:rsidRPr="003C1705" w:rsidRDefault="00A73F00" w:rsidP="003C1705">
      <w:pPr>
        <w:pStyle w:val="Heading1"/>
        <w:spacing w:line="480" w:lineRule="auto"/>
      </w:pPr>
      <w:r w:rsidRPr="003C1705">
        <w:lastRenderedPageBreak/>
        <w:t>X. GENDER AND DEVELOPMENT (GAD) SCORE</w:t>
      </w:r>
    </w:p>
    <w:p w14:paraId="44E14168" w14:textId="77777777" w:rsidR="001F340B" w:rsidRPr="003C1705" w:rsidRDefault="00A73F00" w:rsidP="003C1705">
      <w:pPr>
        <w:pStyle w:val="ThesisBody"/>
        <w:ind w:firstLine="0"/>
        <w:jc w:val="left"/>
      </w:pPr>
      <w:r w:rsidRPr="003C1705">
        <w:t xml:space="preserve">13.65 </w:t>
      </w:r>
    </w:p>
    <w:p w14:paraId="1096FC84" w14:textId="77777777" w:rsidR="001F340B" w:rsidRPr="003C1705" w:rsidRDefault="00A73F00" w:rsidP="003C1705">
      <w:pPr>
        <w:pStyle w:val="Heading1"/>
        <w:spacing w:line="480" w:lineRule="auto"/>
      </w:pPr>
      <w:r w:rsidRPr="003C1705">
        <w:t>XI. LIMITATIONS OF THE PROJECT</w:t>
      </w:r>
    </w:p>
    <w:p w14:paraId="0B61FD3E" w14:textId="223C2962" w:rsidR="001F340B" w:rsidRPr="003C1705" w:rsidRDefault="00A73F00" w:rsidP="003C1705">
      <w:pPr>
        <w:pStyle w:val="ThesisBody"/>
      </w:pPr>
      <w:r w:rsidRPr="003C1705">
        <w:t xml:space="preserve">The project will be limited to the development, pilot implementation, and validation of </w:t>
      </w:r>
      <w:proofErr w:type="spellStart"/>
      <w:r w:rsidR="003C1705">
        <w:t>HealthAlert</w:t>
      </w:r>
      <w:proofErr w:type="spellEnd"/>
      <w:r w:rsidRPr="003C1705">
        <w:t xml:space="preserve"> in selected public health and healthcare settings in Region I. The initial disease scope will focus on dengue fever, </w:t>
      </w:r>
      <w:r w:rsidR="000D5C78" w:rsidRPr="003C1705">
        <w:t>measles</w:t>
      </w:r>
      <w:r w:rsidRPr="003C1705">
        <w:t>, and influenza-like illnesses. While the platform may be designed to accommodate additional diseases in the future, the development and validation activities of this project will focus primarily on these three priority diseases.</w:t>
      </w:r>
    </w:p>
    <w:p w14:paraId="493CEA39" w14:textId="77777777" w:rsidR="001F340B" w:rsidRPr="003C1705" w:rsidRDefault="00A73F00" w:rsidP="003C1705">
      <w:pPr>
        <w:pStyle w:val="ThesisBody"/>
      </w:pPr>
      <w:r w:rsidRPr="003C1705">
        <w:t>The performance of the predictive models will depend on the availability, completeness, timeliness, and quality of the datasets provided by participating institutions. Missing values, delayed reporting, inconsistent formats, changes in reporting practices, sparse case counts, and incomplete geographic information may affect model performance. The study will address these issues through data cleaning, preprocessing, validation, and error analysis, but some limitations may remain due to the nature of real-world surveillance data.</w:t>
      </w:r>
    </w:p>
    <w:p w14:paraId="40F2571C" w14:textId="77777777" w:rsidR="001F340B" w:rsidRPr="003C1705" w:rsidRDefault="00A73F00" w:rsidP="003C1705">
      <w:pPr>
        <w:pStyle w:val="ThesisBody"/>
      </w:pPr>
      <w:r w:rsidRPr="003C1705">
        <w:t>Supplementary data sources such as social media signals, crowdsourced reports, workplace health indicators, and other digital health-related records may be explored only when ethically approved, available, and technically compatible. These sources will not replace official surveillance data and will be treated only as supporting information for situational awareness and exploratory analysis.</w:t>
      </w:r>
    </w:p>
    <w:p w14:paraId="2C04B52D" w14:textId="77777777" w:rsidR="001F340B" w:rsidRPr="003C1705" w:rsidRDefault="00A73F00" w:rsidP="003C1705">
      <w:pPr>
        <w:pStyle w:val="ThesisBody"/>
      </w:pPr>
      <w:r w:rsidRPr="003C1705">
        <w:t xml:space="preserve">The platform will serve as a decision-support tool and will not make final public health decisions. Forecasts, risk classifications, and early warning alerts will require interpretation by authorized public health officials and healthcare professionals. The </w:t>
      </w:r>
      <w:r w:rsidRPr="003C1705">
        <w:lastRenderedPageBreak/>
        <w:t>system may generate false alarms or miss some outbreak signals, especially during unusual events, reporting delays, incomplete data, or sudden changes in disease patterns.</w:t>
      </w:r>
    </w:p>
    <w:p w14:paraId="4BA73752" w14:textId="77777777" w:rsidR="001F340B" w:rsidRPr="003C1705" w:rsidRDefault="00A73F00" w:rsidP="003C1705">
      <w:pPr>
        <w:pStyle w:val="ThesisBody"/>
      </w:pPr>
      <w:r w:rsidRPr="003C1705">
        <w:t>The pilot implementation may be affected by institutional readiness, internet connectivity, user availability, technical support, and data-sharing arrangements. Because the pilot will be conducted only in selected sites, the findings may not fully represent all public health settings in Region I or other regions of the Philippines.</w:t>
      </w:r>
    </w:p>
    <w:p w14:paraId="69021290" w14:textId="77777777" w:rsidR="001F340B" w:rsidRPr="003C1705" w:rsidRDefault="00A73F00" w:rsidP="003C1705">
      <w:pPr>
        <w:pStyle w:val="Heading1"/>
        <w:pageBreakBefore/>
        <w:spacing w:line="480" w:lineRule="auto"/>
      </w:pPr>
      <w:r w:rsidRPr="003C1705">
        <w:lastRenderedPageBreak/>
        <w:t>XII. LIST OF RISKS AND ASSUMPTIONS RISK MANAGEMENT PLAN</w:t>
      </w:r>
    </w:p>
    <w:tbl>
      <w:tblPr>
        <w:tblW w:w="83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1" w:lastColumn="0" w:noHBand="0" w:noVBand="1"/>
      </w:tblPr>
      <w:tblGrid>
        <w:gridCol w:w="2795"/>
        <w:gridCol w:w="2715"/>
        <w:gridCol w:w="2796"/>
      </w:tblGrid>
      <w:tr w:rsidR="000B5251" w:rsidRPr="003C1705" w14:paraId="46DAA4CE" w14:textId="77777777" w:rsidTr="000B5251">
        <w:trPr>
          <w:cantSplit/>
          <w:tblHeader/>
        </w:trPr>
        <w:tc>
          <w:tcPr>
            <w:tcW w:w="2795" w:type="dxa"/>
            <w:shd w:val="clear" w:color="auto" w:fill="F2F2F2"/>
            <w:vAlign w:val="center"/>
          </w:tcPr>
          <w:p w14:paraId="0F8F0CFC" w14:textId="77777777" w:rsidR="000B5251" w:rsidRPr="003C1705" w:rsidRDefault="000B5251" w:rsidP="003C1705">
            <w:pPr>
              <w:pStyle w:val="TableText"/>
              <w:spacing w:line="480" w:lineRule="auto"/>
              <w:rPr>
                <w:sz w:val="24"/>
                <w:szCs w:val="24"/>
              </w:rPr>
            </w:pPr>
            <w:r w:rsidRPr="003C1705">
              <w:rPr>
                <w:b/>
                <w:bCs/>
                <w:sz w:val="24"/>
                <w:szCs w:val="24"/>
              </w:rPr>
              <w:t>OBJECTIVES</w:t>
            </w:r>
          </w:p>
        </w:tc>
        <w:tc>
          <w:tcPr>
            <w:tcW w:w="2715" w:type="dxa"/>
            <w:shd w:val="clear" w:color="auto" w:fill="F2F2F2"/>
            <w:vAlign w:val="center"/>
          </w:tcPr>
          <w:p w14:paraId="7DF1DDE2" w14:textId="77777777" w:rsidR="000B5251" w:rsidRPr="003C1705" w:rsidRDefault="000B5251" w:rsidP="003C1705">
            <w:pPr>
              <w:pStyle w:val="TableText"/>
              <w:spacing w:line="480" w:lineRule="auto"/>
              <w:rPr>
                <w:sz w:val="24"/>
                <w:szCs w:val="24"/>
              </w:rPr>
            </w:pPr>
            <w:r w:rsidRPr="003C1705">
              <w:rPr>
                <w:b/>
                <w:bCs/>
                <w:sz w:val="24"/>
                <w:szCs w:val="24"/>
              </w:rPr>
              <w:t>RISKS AND ASSUMPTIONS</w:t>
            </w:r>
          </w:p>
        </w:tc>
        <w:tc>
          <w:tcPr>
            <w:tcW w:w="2796" w:type="dxa"/>
            <w:shd w:val="clear" w:color="auto" w:fill="F2F2F2"/>
            <w:vAlign w:val="center"/>
          </w:tcPr>
          <w:p w14:paraId="42DA2C19" w14:textId="77777777" w:rsidR="000B5251" w:rsidRPr="003C1705" w:rsidRDefault="000B5251" w:rsidP="003C1705">
            <w:pPr>
              <w:pStyle w:val="TableText"/>
              <w:spacing w:line="480" w:lineRule="auto"/>
              <w:rPr>
                <w:sz w:val="24"/>
                <w:szCs w:val="24"/>
              </w:rPr>
            </w:pPr>
            <w:r w:rsidRPr="003C1705">
              <w:rPr>
                <w:b/>
                <w:bCs/>
                <w:sz w:val="24"/>
                <w:szCs w:val="24"/>
              </w:rPr>
              <w:t>RISK MANAGEMENT PLAN (use separate sheet if necessary)</w:t>
            </w:r>
          </w:p>
        </w:tc>
      </w:tr>
      <w:tr w:rsidR="000B5251" w:rsidRPr="003C1705" w14:paraId="1B653199" w14:textId="77777777" w:rsidTr="00C81CE2">
        <w:trPr>
          <w:cantSplit/>
        </w:trPr>
        <w:tc>
          <w:tcPr>
            <w:tcW w:w="2795" w:type="dxa"/>
          </w:tcPr>
          <w:p w14:paraId="4CF157FD" w14:textId="77777777" w:rsidR="000B5251" w:rsidRPr="003C1705" w:rsidRDefault="000B5251" w:rsidP="003C1705">
            <w:pPr>
              <w:pStyle w:val="TableText"/>
              <w:spacing w:line="480" w:lineRule="auto"/>
              <w:rPr>
                <w:sz w:val="24"/>
                <w:szCs w:val="24"/>
              </w:rPr>
            </w:pPr>
            <w:r w:rsidRPr="003C1705">
              <w:rPr>
                <w:sz w:val="24"/>
                <w:szCs w:val="24"/>
              </w:rPr>
              <w:t>Study 1: Data collection, preprocessing, integration, exploratory analysis, and development of disease-specific forecasting and outbreak risk classification models.</w:t>
            </w:r>
          </w:p>
        </w:tc>
        <w:tc>
          <w:tcPr>
            <w:tcW w:w="2715" w:type="dxa"/>
          </w:tcPr>
          <w:p w14:paraId="61C966FD" w14:textId="77777777" w:rsidR="000B5251" w:rsidRPr="003C1705" w:rsidRDefault="000B5251" w:rsidP="003C1705">
            <w:pPr>
              <w:pStyle w:val="TableText"/>
              <w:spacing w:line="480" w:lineRule="auto"/>
              <w:rPr>
                <w:sz w:val="24"/>
                <w:szCs w:val="24"/>
              </w:rPr>
            </w:pPr>
            <w:r w:rsidRPr="003C1705">
              <w:rPr>
                <w:sz w:val="24"/>
                <w:szCs w:val="24"/>
              </w:rPr>
              <w:t>Access to complete and timely surveillance data may be delayed or limited. Records may also contain missing values, inconsistent formats, reporting delays, or incomplete geographic fields. Supplementary data sources may not be available, approved, or technically compatible during the project period.</w:t>
            </w:r>
          </w:p>
        </w:tc>
        <w:tc>
          <w:tcPr>
            <w:tcW w:w="2796" w:type="dxa"/>
          </w:tcPr>
          <w:p w14:paraId="0680EF33" w14:textId="77777777" w:rsidR="000B5251" w:rsidRPr="003C1705" w:rsidRDefault="000B5251" w:rsidP="003C1705">
            <w:pPr>
              <w:pStyle w:val="TableText"/>
              <w:spacing w:line="480" w:lineRule="auto"/>
              <w:rPr>
                <w:sz w:val="24"/>
                <w:szCs w:val="24"/>
              </w:rPr>
            </w:pPr>
            <w:r w:rsidRPr="003C1705">
              <w:rPr>
                <w:sz w:val="24"/>
                <w:szCs w:val="24"/>
              </w:rPr>
              <w:t>The researchers will secure data-sharing agreements and institutional approvals early, use phased data acquisition, and prioritize official surveillance, environmental, geographic, and population data as core sources. Standardized CSV/Excel templates, data validation rules, cleaning procedures, and error analysis will be applied. Supplementary data will be treated as optional and used only when ethically approved and technically feasible.</w:t>
            </w:r>
          </w:p>
        </w:tc>
      </w:tr>
      <w:tr w:rsidR="000B5251" w:rsidRPr="003C1705" w14:paraId="7223D9FC" w14:textId="77777777" w:rsidTr="00C81CE2">
        <w:trPr>
          <w:cantSplit/>
        </w:trPr>
        <w:tc>
          <w:tcPr>
            <w:tcW w:w="2795" w:type="dxa"/>
          </w:tcPr>
          <w:p w14:paraId="142C8BA8" w14:textId="77777777" w:rsidR="000B5251" w:rsidRPr="003C1705" w:rsidRDefault="000B5251" w:rsidP="003C1705">
            <w:pPr>
              <w:pStyle w:val="TableText"/>
              <w:spacing w:line="480" w:lineRule="auto"/>
              <w:rPr>
                <w:sz w:val="24"/>
                <w:szCs w:val="24"/>
              </w:rPr>
            </w:pPr>
            <w:r w:rsidRPr="003C1705">
              <w:rPr>
                <w:sz w:val="24"/>
                <w:szCs w:val="24"/>
              </w:rPr>
              <w:lastRenderedPageBreak/>
              <w:t>Study 1: Model training, validation, and selection of models for platform integration.</w:t>
            </w:r>
          </w:p>
        </w:tc>
        <w:tc>
          <w:tcPr>
            <w:tcW w:w="2715" w:type="dxa"/>
          </w:tcPr>
          <w:p w14:paraId="0BF6740A" w14:textId="77777777" w:rsidR="000B5251" w:rsidRPr="003C1705" w:rsidRDefault="000B5251" w:rsidP="003C1705">
            <w:pPr>
              <w:pStyle w:val="TableText"/>
              <w:spacing w:line="480" w:lineRule="auto"/>
              <w:rPr>
                <w:sz w:val="24"/>
                <w:szCs w:val="24"/>
              </w:rPr>
            </w:pPr>
            <w:r w:rsidRPr="003C1705">
              <w:rPr>
                <w:sz w:val="24"/>
                <w:szCs w:val="24"/>
              </w:rPr>
              <w:t>Model performance may be affected by sparse case counts, seasonal variation, delayed reporting, changing disease patterns, or limited historical coverage. Forecasts and outbreak risk classifications may produce false alerts or miss some signals.</w:t>
            </w:r>
          </w:p>
        </w:tc>
        <w:tc>
          <w:tcPr>
            <w:tcW w:w="2796" w:type="dxa"/>
          </w:tcPr>
          <w:p w14:paraId="08CE6C78" w14:textId="77777777" w:rsidR="000B5251" w:rsidRPr="003C1705" w:rsidRDefault="000B5251" w:rsidP="003C1705">
            <w:pPr>
              <w:pStyle w:val="TableText"/>
              <w:spacing w:line="480" w:lineRule="auto"/>
              <w:rPr>
                <w:sz w:val="24"/>
                <w:szCs w:val="24"/>
              </w:rPr>
            </w:pPr>
            <w:r w:rsidRPr="003C1705">
              <w:rPr>
                <w:sz w:val="24"/>
                <w:szCs w:val="24"/>
              </w:rPr>
              <w:t>The study will use feasible and interpretable baseline and machine learning models, time-aware validation, walk-forward validation when data allow, and disease-specific error analysis. Thresholds will be reviewed using available epidemiological or statistical criteria. Model outputs will be presented as decision-support information and not as final public health decisions.</w:t>
            </w:r>
          </w:p>
        </w:tc>
      </w:tr>
      <w:tr w:rsidR="000B5251" w:rsidRPr="003C1705" w14:paraId="53C87A31" w14:textId="77777777" w:rsidTr="00C81CE2">
        <w:trPr>
          <w:cantSplit/>
        </w:trPr>
        <w:tc>
          <w:tcPr>
            <w:tcW w:w="2795" w:type="dxa"/>
          </w:tcPr>
          <w:p w14:paraId="646E80B2" w14:textId="77777777" w:rsidR="000B5251" w:rsidRPr="003C1705" w:rsidRDefault="000B5251" w:rsidP="003C1705">
            <w:pPr>
              <w:pStyle w:val="TableText"/>
              <w:spacing w:line="480" w:lineRule="auto"/>
              <w:rPr>
                <w:sz w:val="24"/>
                <w:szCs w:val="24"/>
              </w:rPr>
            </w:pPr>
            <w:r w:rsidRPr="003C1705">
              <w:rPr>
                <w:sz w:val="24"/>
                <w:szCs w:val="24"/>
              </w:rPr>
              <w:lastRenderedPageBreak/>
              <w:t>Study 2: Requirements analysis, system design, platform development, and staged data integration.</w:t>
            </w:r>
          </w:p>
        </w:tc>
        <w:tc>
          <w:tcPr>
            <w:tcW w:w="2715" w:type="dxa"/>
          </w:tcPr>
          <w:p w14:paraId="7E4C1915" w14:textId="77777777" w:rsidR="000B5251" w:rsidRPr="003C1705" w:rsidRDefault="000B5251" w:rsidP="003C1705">
            <w:pPr>
              <w:pStyle w:val="TableText"/>
              <w:spacing w:line="480" w:lineRule="auto"/>
              <w:rPr>
                <w:sz w:val="24"/>
                <w:szCs w:val="24"/>
              </w:rPr>
            </w:pPr>
            <w:r w:rsidRPr="003C1705">
              <w:rPr>
                <w:sz w:val="24"/>
                <w:szCs w:val="24"/>
              </w:rPr>
              <w:t>User requirements may change during development, and direct integration with existing health information systems may not be immediately allowed due to technical, institutional, or cybersecurity requirements.</w:t>
            </w:r>
          </w:p>
        </w:tc>
        <w:tc>
          <w:tcPr>
            <w:tcW w:w="2796" w:type="dxa"/>
          </w:tcPr>
          <w:p w14:paraId="486B3476" w14:textId="77777777" w:rsidR="000B5251" w:rsidRPr="003C1705" w:rsidRDefault="000B5251" w:rsidP="003C1705">
            <w:pPr>
              <w:pStyle w:val="TableText"/>
              <w:spacing w:line="480" w:lineRule="auto"/>
              <w:rPr>
                <w:sz w:val="24"/>
                <w:szCs w:val="24"/>
              </w:rPr>
            </w:pPr>
            <w:r w:rsidRPr="003C1705">
              <w:rPr>
                <w:sz w:val="24"/>
                <w:szCs w:val="24"/>
              </w:rPr>
              <w:t>The platform will be developed through iterative prototyping with stakeholder review. The initial prototype will support structured CSV or Excel upload from approved records. API-based or scheduled import will be considered only when data-sharing, technical access, and cybersecurity requirements are met. The system will use a modular architecture to allow future extension.</w:t>
            </w:r>
          </w:p>
        </w:tc>
      </w:tr>
      <w:tr w:rsidR="000B5251" w:rsidRPr="003C1705" w14:paraId="3CE94FE3" w14:textId="77777777" w:rsidTr="00C81CE2">
        <w:trPr>
          <w:cantSplit/>
        </w:trPr>
        <w:tc>
          <w:tcPr>
            <w:tcW w:w="2795" w:type="dxa"/>
          </w:tcPr>
          <w:p w14:paraId="4D049626" w14:textId="77777777" w:rsidR="000B5251" w:rsidRPr="003C1705" w:rsidRDefault="000B5251" w:rsidP="003C1705">
            <w:pPr>
              <w:pStyle w:val="TableText"/>
              <w:spacing w:line="480" w:lineRule="auto"/>
              <w:rPr>
                <w:sz w:val="24"/>
                <w:szCs w:val="24"/>
              </w:rPr>
            </w:pPr>
            <w:r w:rsidRPr="003C1705">
              <w:rPr>
                <w:sz w:val="24"/>
                <w:szCs w:val="24"/>
              </w:rPr>
              <w:lastRenderedPageBreak/>
              <w:t>Study 2: Integration of predictive models, alert generation, model monitoring, and controlled continuous learning.</w:t>
            </w:r>
          </w:p>
        </w:tc>
        <w:tc>
          <w:tcPr>
            <w:tcW w:w="2715" w:type="dxa"/>
          </w:tcPr>
          <w:p w14:paraId="4400FC4E" w14:textId="77777777" w:rsidR="000B5251" w:rsidRPr="003C1705" w:rsidRDefault="000B5251" w:rsidP="003C1705">
            <w:pPr>
              <w:pStyle w:val="TableText"/>
              <w:spacing w:line="480" w:lineRule="auto"/>
              <w:rPr>
                <w:sz w:val="24"/>
                <w:szCs w:val="24"/>
              </w:rPr>
            </w:pPr>
            <w:r w:rsidRPr="003C1705">
              <w:rPr>
                <w:sz w:val="24"/>
                <w:szCs w:val="24"/>
              </w:rPr>
              <w:t>Model integration errors, unavailable model services, unstable model updates, or model performance decline over time may affect reliability and user trust.</w:t>
            </w:r>
          </w:p>
        </w:tc>
        <w:tc>
          <w:tcPr>
            <w:tcW w:w="2796" w:type="dxa"/>
          </w:tcPr>
          <w:p w14:paraId="74DC27A1" w14:textId="77777777" w:rsidR="000B5251" w:rsidRPr="003C1705" w:rsidRDefault="000B5251" w:rsidP="003C1705">
            <w:pPr>
              <w:pStyle w:val="TableText"/>
              <w:spacing w:line="480" w:lineRule="auto"/>
              <w:rPr>
                <w:sz w:val="24"/>
                <w:szCs w:val="24"/>
              </w:rPr>
            </w:pPr>
            <w:r w:rsidRPr="003C1705">
              <w:rPr>
                <w:sz w:val="24"/>
                <w:szCs w:val="24"/>
              </w:rPr>
              <w:t>The researchers will implement input validation, versioned model documentation, integration testing, error logging, and model monitoring. The model monitoring and retraining readiness function will only recommend retraining when sufficient validated data or performance decline is detected. Updated models will not automatically replace deployed models; they will be validated, compared, documented, and reviewed before deployment.</w:t>
            </w:r>
          </w:p>
        </w:tc>
      </w:tr>
      <w:tr w:rsidR="000B5251" w:rsidRPr="003C1705" w14:paraId="155ABE25" w14:textId="77777777" w:rsidTr="00C81CE2">
        <w:trPr>
          <w:cantSplit/>
        </w:trPr>
        <w:tc>
          <w:tcPr>
            <w:tcW w:w="2795" w:type="dxa"/>
          </w:tcPr>
          <w:p w14:paraId="5DAA8FCE" w14:textId="77777777" w:rsidR="000B5251" w:rsidRPr="003C1705" w:rsidRDefault="000B5251" w:rsidP="003C1705">
            <w:pPr>
              <w:pStyle w:val="TableText"/>
              <w:spacing w:line="480" w:lineRule="auto"/>
              <w:rPr>
                <w:sz w:val="24"/>
                <w:szCs w:val="24"/>
              </w:rPr>
            </w:pPr>
            <w:r w:rsidRPr="003C1705">
              <w:rPr>
                <w:sz w:val="24"/>
                <w:szCs w:val="24"/>
              </w:rPr>
              <w:lastRenderedPageBreak/>
              <w:t>Study 2 and Study 3: Security, privacy protection, and responsible handling of health-related surveillance data.</w:t>
            </w:r>
          </w:p>
        </w:tc>
        <w:tc>
          <w:tcPr>
            <w:tcW w:w="2715" w:type="dxa"/>
          </w:tcPr>
          <w:p w14:paraId="735BB197" w14:textId="77777777" w:rsidR="000B5251" w:rsidRPr="003C1705" w:rsidRDefault="000B5251" w:rsidP="003C1705">
            <w:pPr>
              <w:pStyle w:val="TableText"/>
              <w:spacing w:line="480" w:lineRule="auto"/>
              <w:rPr>
                <w:sz w:val="24"/>
                <w:szCs w:val="24"/>
              </w:rPr>
            </w:pPr>
            <w:r w:rsidRPr="003C1705">
              <w:rPr>
                <w:sz w:val="24"/>
                <w:szCs w:val="24"/>
              </w:rPr>
              <w:t>Unauthorized access, weak account control, data leakage, or improper handling of health-related information may affect confidentiality and institutional trust.</w:t>
            </w:r>
          </w:p>
        </w:tc>
        <w:tc>
          <w:tcPr>
            <w:tcW w:w="2796" w:type="dxa"/>
          </w:tcPr>
          <w:p w14:paraId="1FB8F34E" w14:textId="77777777" w:rsidR="000B5251" w:rsidRPr="003C1705" w:rsidRDefault="000B5251" w:rsidP="003C1705">
            <w:pPr>
              <w:pStyle w:val="TableText"/>
              <w:spacing w:line="480" w:lineRule="auto"/>
              <w:rPr>
                <w:sz w:val="24"/>
                <w:szCs w:val="24"/>
              </w:rPr>
            </w:pPr>
            <w:r w:rsidRPr="003C1705">
              <w:rPr>
                <w:sz w:val="24"/>
                <w:szCs w:val="24"/>
              </w:rPr>
              <w:t>The platform will apply role-based access control, secure login, data minimization, de-identification where appropriate, audit logs, database protection, backup procedures, and restricted access to datasets, model files, source code, and credentials. All data use will follow ethics clearance, institutional approvals, data-sharing agreements, and the Data Privacy Act of 2012.</w:t>
            </w:r>
          </w:p>
        </w:tc>
      </w:tr>
      <w:tr w:rsidR="000B5251" w:rsidRPr="003C1705" w14:paraId="7A2C7FB5" w14:textId="77777777" w:rsidTr="00C81CE2">
        <w:trPr>
          <w:cantSplit/>
        </w:trPr>
        <w:tc>
          <w:tcPr>
            <w:tcW w:w="2795" w:type="dxa"/>
          </w:tcPr>
          <w:p w14:paraId="553D5DDE" w14:textId="77777777" w:rsidR="000B5251" w:rsidRPr="003C1705" w:rsidRDefault="000B5251" w:rsidP="003C1705">
            <w:pPr>
              <w:pStyle w:val="TableText"/>
              <w:spacing w:line="480" w:lineRule="auto"/>
              <w:rPr>
                <w:sz w:val="24"/>
                <w:szCs w:val="24"/>
              </w:rPr>
            </w:pPr>
            <w:r w:rsidRPr="003C1705">
              <w:rPr>
                <w:sz w:val="24"/>
                <w:szCs w:val="24"/>
              </w:rPr>
              <w:lastRenderedPageBreak/>
              <w:t>Study 3: Pilot deployment, user training, platform use, and operational evaluation in selected public health and healthcare settings.</w:t>
            </w:r>
          </w:p>
        </w:tc>
        <w:tc>
          <w:tcPr>
            <w:tcW w:w="2715" w:type="dxa"/>
          </w:tcPr>
          <w:p w14:paraId="2E46F1FB" w14:textId="77777777" w:rsidR="000B5251" w:rsidRPr="003C1705" w:rsidRDefault="000B5251" w:rsidP="003C1705">
            <w:pPr>
              <w:pStyle w:val="TableText"/>
              <w:spacing w:line="480" w:lineRule="auto"/>
              <w:rPr>
                <w:sz w:val="24"/>
                <w:szCs w:val="24"/>
              </w:rPr>
            </w:pPr>
            <w:r w:rsidRPr="003C1705">
              <w:rPr>
                <w:sz w:val="24"/>
                <w:szCs w:val="24"/>
              </w:rPr>
              <w:t>Pilot sites may have varying internet connectivity, device availability, user schedules, technical readiness, or institutional support. Users may also be unfamiliar with AI-assisted surveillance tools and may misinterpret forecasts or alerts.</w:t>
            </w:r>
          </w:p>
        </w:tc>
        <w:tc>
          <w:tcPr>
            <w:tcW w:w="2796" w:type="dxa"/>
          </w:tcPr>
          <w:p w14:paraId="72BDE5F9" w14:textId="77777777" w:rsidR="000B5251" w:rsidRPr="003C1705" w:rsidRDefault="000B5251" w:rsidP="003C1705">
            <w:pPr>
              <w:pStyle w:val="TableText"/>
              <w:spacing w:line="480" w:lineRule="auto"/>
              <w:rPr>
                <w:sz w:val="24"/>
                <w:szCs w:val="24"/>
              </w:rPr>
            </w:pPr>
            <w:r w:rsidRPr="003C1705">
              <w:rPr>
                <w:sz w:val="24"/>
                <w:szCs w:val="24"/>
              </w:rPr>
              <w:t>Before deployment, the researchers will conduct technical readiness checking and coordinate with focal persons and institutional IT personnel. User orientation, hands-on demonstrations, user guides, and quick-reference materials will be provided. Alert interpretation will emphasize that forecasts and risk classifications are decision-support outputs requiring professional review.</w:t>
            </w:r>
          </w:p>
        </w:tc>
      </w:tr>
      <w:tr w:rsidR="000B5251" w:rsidRPr="003C1705" w14:paraId="6DB2032B" w14:textId="77777777" w:rsidTr="00C81CE2">
        <w:trPr>
          <w:cantSplit/>
        </w:trPr>
        <w:tc>
          <w:tcPr>
            <w:tcW w:w="2795" w:type="dxa"/>
          </w:tcPr>
          <w:p w14:paraId="182C4582" w14:textId="77777777" w:rsidR="000B5251" w:rsidRPr="003C1705" w:rsidRDefault="000B5251" w:rsidP="003C1705">
            <w:pPr>
              <w:pStyle w:val="TableText"/>
              <w:spacing w:line="480" w:lineRule="auto"/>
              <w:rPr>
                <w:sz w:val="24"/>
                <w:szCs w:val="24"/>
              </w:rPr>
            </w:pPr>
            <w:r w:rsidRPr="003C1705">
              <w:rPr>
                <w:sz w:val="24"/>
                <w:szCs w:val="24"/>
              </w:rPr>
              <w:lastRenderedPageBreak/>
              <w:t>Study 3: Validation, usability and acceptability assessment, documentation of implementation concerns, and development of policy recommendations.</w:t>
            </w:r>
          </w:p>
        </w:tc>
        <w:tc>
          <w:tcPr>
            <w:tcW w:w="2715" w:type="dxa"/>
          </w:tcPr>
          <w:p w14:paraId="75733E5A" w14:textId="77777777" w:rsidR="000B5251" w:rsidRPr="003C1705" w:rsidRDefault="000B5251" w:rsidP="003C1705">
            <w:pPr>
              <w:pStyle w:val="TableText"/>
              <w:spacing w:line="480" w:lineRule="auto"/>
              <w:rPr>
                <w:sz w:val="24"/>
                <w:szCs w:val="24"/>
              </w:rPr>
            </w:pPr>
            <w:r w:rsidRPr="003C1705">
              <w:rPr>
                <w:sz w:val="24"/>
                <w:szCs w:val="24"/>
              </w:rPr>
              <w:t>The number of pilot sites and respondents may be limited, which may affect the generalizability of usability, acceptability, and operational findings. Some implementation issues may also emerge only after longer system use.</w:t>
            </w:r>
          </w:p>
        </w:tc>
        <w:tc>
          <w:tcPr>
            <w:tcW w:w="2796" w:type="dxa"/>
          </w:tcPr>
          <w:p w14:paraId="612BF063" w14:textId="77777777" w:rsidR="000B5251" w:rsidRPr="003C1705" w:rsidRDefault="000B5251" w:rsidP="003C1705">
            <w:pPr>
              <w:pStyle w:val="TableText"/>
              <w:spacing w:line="480" w:lineRule="auto"/>
              <w:rPr>
                <w:sz w:val="24"/>
                <w:szCs w:val="24"/>
              </w:rPr>
            </w:pPr>
            <w:r w:rsidRPr="003C1705">
              <w:rPr>
                <w:sz w:val="24"/>
                <w:szCs w:val="24"/>
              </w:rPr>
              <w:t>The pilot evaluation will use multiple evidence sources, including user surveys, interviews, observation, system logs, implementation logs, and technical testing results. Findings will be reported as pilot-level evidence. Limitations will be documented, and policy recommendations will focus on practical adoption, responsible scaling, data governance, user training, model validation, and sustainability.</w:t>
            </w:r>
          </w:p>
        </w:tc>
      </w:tr>
    </w:tbl>
    <w:p w14:paraId="61307677" w14:textId="77777777" w:rsidR="005F499C" w:rsidRPr="003C1705" w:rsidRDefault="005F499C" w:rsidP="003C1705">
      <w:pPr>
        <w:spacing w:line="480" w:lineRule="auto"/>
      </w:pPr>
    </w:p>
    <w:p w14:paraId="1B3D9829" w14:textId="77777777" w:rsidR="001F340B" w:rsidRPr="003C1705" w:rsidRDefault="00A73F00" w:rsidP="003C1705">
      <w:pPr>
        <w:pStyle w:val="Heading1"/>
        <w:pageBreakBefore/>
        <w:spacing w:line="480" w:lineRule="auto"/>
      </w:pPr>
      <w:r w:rsidRPr="003C1705">
        <w:lastRenderedPageBreak/>
        <w:t>XIII. LITERATURE CITED</w:t>
      </w:r>
    </w:p>
    <w:p w14:paraId="25032A13" w14:textId="77777777" w:rsidR="001F340B" w:rsidRPr="003C1705" w:rsidRDefault="00A73F00" w:rsidP="003C1705">
      <w:pPr>
        <w:pStyle w:val="ThesisReference"/>
        <w:spacing w:line="480" w:lineRule="auto"/>
      </w:pPr>
      <w:r w:rsidRPr="003C1705">
        <w:t xml:space="preserve">AlQudah, A. A., Al-Emran, M., &amp; Shaalan, K. (2021). Technology acceptance in healthcare: A systematic review. </w:t>
      </w:r>
      <w:r w:rsidRPr="003C1705">
        <w:rPr>
          <w:i/>
          <w:iCs/>
        </w:rPr>
        <w:t>Applied Sciences, 11</w:t>
      </w:r>
      <w:r w:rsidRPr="003C1705">
        <w:t>(22), 10537.</w:t>
      </w:r>
    </w:p>
    <w:p w14:paraId="0571D1D4" w14:textId="77777777" w:rsidR="003A62A2" w:rsidRPr="003C1705" w:rsidRDefault="003A62A2" w:rsidP="003C1705">
      <w:pPr>
        <w:pStyle w:val="ThesisReference"/>
        <w:spacing w:line="480" w:lineRule="auto"/>
      </w:pPr>
      <w:r w:rsidRPr="003C1705">
        <w:t xml:space="preserve">Braun, V., &amp; Clarke, V. (2021). One size </w:t>
      </w:r>
      <w:proofErr w:type="gramStart"/>
      <w:r w:rsidRPr="003C1705">
        <w:t>fits</w:t>
      </w:r>
      <w:proofErr w:type="gramEnd"/>
      <w:r w:rsidRPr="003C1705">
        <w:t xml:space="preserve"> all? What counts as quality practice in reflexive thematic analysis? </w:t>
      </w:r>
      <w:r w:rsidRPr="003C1705">
        <w:rPr>
          <w:i/>
          <w:iCs/>
        </w:rPr>
        <w:t>Qualitative Research in Psychology, 18</w:t>
      </w:r>
      <w:r w:rsidRPr="003C1705">
        <w:t>(3), 328–352.</w:t>
      </w:r>
      <w:hyperlink r:id="rId17">
        <w:r w:rsidRPr="003C1705">
          <w:t xml:space="preserve"> </w:t>
        </w:r>
      </w:hyperlink>
      <w:hyperlink r:id="rId18">
        <w:r w:rsidRPr="003C1705">
          <w:rPr>
            <w:u w:val="single"/>
          </w:rPr>
          <w:t>https://doi.org/10.1080/14780887.2020.1769238</w:t>
        </w:r>
      </w:hyperlink>
    </w:p>
    <w:p w14:paraId="7A8B6AF5" w14:textId="77777777" w:rsidR="006D2739" w:rsidRPr="003C1705" w:rsidRDefault="006D2739" w:rsidP="003C1705">
      <w:pPr>
        <w:pStyle w:val="ThesisReference"/>
        <w:spacing w:line="480" w:lineRule="auto"/>
      </w:pPr>
      <w:r w:rsidRPr="003C1705">
        <w:t xml:space="preserve">Braun, V., &amp; Clarke, V. (2022). </w:t>
      </w:r>
      <w:r w:rsidRPr="003C1705">
        <w:rPr>
          <w:i/>
          <w:iCs/>
        </w:rPr>
        <w:t>Thematic analysis: A practical guide</w:t>
      </w:r>
      <w:r w:rsidRPr="003C1705">
        <w:t>. SAGE.</w:t>
      </w:r>
    </w:p>
    <w:p w14:paraId="51933B01" w14:textId="77777777" w:rsidR="000B0704" w:rsidRPr="003C1705" w:rsidRDefault="000B0704" w:rsidP="003C1705">
      <w:pPr>
        <w:pStyle w:val="ThesisReference"/>
        <w:spacing w:line="480" w:lineRule="auto"/>
      </w:pPr>
      <w:r w:rsidRPr="003C1705">
        <w:t>Cheng, H.-Y., Wu, Y.-C., Lin, M.-H., Liu, Y.-L., Tsai, Y.-Y., Wu, J.-H., ... Chuang, J.-H. (2020). Applying machine learning models with an ensemble approach for accurate real‑time influenza forecasting in Taiwan: Development and validation study. Journal of Medical Internet Research, 22(8), e15394. https://doi.org/10.2196/15394</w:t>
      </w:r>
    </w:p>
    <w:p w14:paraId="184B74E6" w14:textId="77777777" w:rsidR="001F340B" w:rsidRPr="003C1705" w:rsidRDefault="00A73F00" w:rsidP="003C1705">
      <w:pPr>
        <w:pStyle w:val="ThesisReference"/>
        <w:spacing w:line="480" w:lineRule="auto"/>
      </w:pPr>
      <w:r w:rsidRPr="003C1705">
        <w:t xml:space="preserve">Cordero, D. A., Jr. (2024). Initiatives and challenges of dengue incidence in the Philippines. </w:t>
      </w:r>
      <w:r w:rsidRPr="003C1705">
        <w:rPr>
          <w:i/>
          <w:iCs/>
        </w:rPr>
        <w:t xml:space="preserve">The Journal of </w:t>
      </w:r>
      <w:r w:rsidRPr="003C1705">
        <w:t>Infectious</w:t>
      </w:r>
      <w:r w:rsidRPr="003C1705">
        <w:rPr>
          <w:i/>
          <w:iCs/>
        </w:rPr>
        <w:t xml:space="preserve"> Diseases, 229</w:t>
      </w:r>
      <w:r w:rsidRPr="003C1705">
        <w:t>(5), 1597–1598. https://doi.org/10.1093/infdis/jiae082</w:t>
      </w:r>
    </w:p>
    <w:p w14:paraId="21D065BC" w14:textId="77777777" w:rsidR="001F340B" w:rsidRPr="003C1705" w:rsidRDefault="00A73F00" w:rsidP="003C1705">
      <w:pPr>
        <w:pStyle w:val="ThesisReference"/>
        <w:spacing w:line="480" w:lineRule="auto"/>
      </w:pPr>
      <w:r w:rsidRPr="003C1705">
        <w:t xml:space="preserve">Department of Health. (2024, July 16). </w:t>
      </w:r>
      <w:r w:rsidRPr="003C1705">
        <w:rPr>
          <w:i/>
          <w:iCs/>
        </w:rPr>
        <w:t>Dengue rising with rain; mosquitoes to blame</w:t>
      </w:r>
      <w:r w:rsidRPr="003C1705">
        <w:t>. Government of the Philippines. https://caro.doh.gov.ph/</w:t>
      </w:r>
    </w:p>
    <w:p w14:paraId="52DBB064" w14:textId="77777777" w:rsidR="001F340B" w:rsidRPr="003C1705" w:rsidRDefault="00A73F00" w:rsidP="003C1705">
      <w:pPr>
        <w:pStyle w:val="ThesisReference"/>
        <w:spacing w:line="480" w:lineRule="auto"/>
      </w:pPr>
      <w:r w:rsidRPr="003C1705">
        <w:t xml:space="preserve">Department of Health (DOH). (2024). </w:t>
      </w:r>
      <w:r w:rsidRPr="003C1705">
        <w:rPr>
          <w:i/>
          <w:iCs/>
        </w:rPr>
        <w:t>Weekly Disease Surveillance Report</w:t>
      </w:r>
      <w:r w:rsidRPr="003C1705">
        <w:t>. Epidemiology Bureau, Manila, Philippines.</w:t>
      </w:r>
    </w:p>
    <w:p w14:paraId="510AD706" w14:textId="77777777" w:rsidR="001F340B" w:rsidRPr="003C1705" w:rsidRDefault="00A73F00" w:rsidP="003C1705">
      <w:pPr>
        <w:pStyle w:val="ThesisReference"/>
        <w:spacing w:line="480" w:lineRule="auto"/>
      </w:pPr>
      <w:r w:rsidRPr="003C1705">
        <w:t xml:space="preserve">Department of Health–Center for Health Development Region I. (2024). </w:t>
      </w:r>
      <w:r w:rsidRPr="003C1705">
        <w:rPr>
          <w:i/>
          <w:iCs/>
        </w:rPr>
        <w:t>Regional Epidemiology and Surveillance Reports</w:t>
      </w:r>
      <w:r w:rsidRPr="003C1705">
        <w:t>. San Fernando City, La Union.</w:t>
      </w:r>
    </w:p>
    <w:p w14:paraId="27E7F432" w14:textId="77777777" w:rsidR="001F340B" w:rsidRPr="003C1705" w:rsidRDefault="00A73F00" w:rsidP="003C1705">
      <w:pPr>
        <w:pStyle w:val="ThesisReference"/>
        <w:spacing w:line="480" w:lineRule="auto"/>
      </w:pPr>
      <w:r w:rsidRPr="003C1705">
        <w:lastRenderedPageBreak/>
        <w:t xml:space="preserve">Department of Science and Technology–Philippine Council for Health Research and Development. (2025a). </w:t>
      </w:r>
      <w:proofErr w:type="spellStart"/>
      <w:r w:rsidRPr="003C1705">
        <w:rPr>
          <w:i/>
          <w:iCs/>
        </w:rPr>
        <w:t>HealthPH</w:t>
      </w:r>
      <w:proofErr w:type="spellEnd"/>
      <w:r w:rsidRPr="003C1705">
        <w:rPr>
          <w:i/>
          <w:iCs/>
        </w:rPr>
        <w:t>: Intelligent disease surveillance for public health using social media</w:t>
      </w:r>
      <w:r w:rsidRPr="003C1705">
        <w:t>. Retrieved May 11, 2026, from https://www.pchrd.dost.gov.ph/heartnovation/healthph-intelligent-disease-surveillance-for-public-health-using-social-media/</w:t>
      </w:r>
    </w:p>
    <w:p w14:paraId="088FF50A" w14:textId="77777777" w:rsidR="001F340B" w:rsidRPr="003C1705" w:rsidRDefault="00A73F00" w:rsidP="003C1705">
      <w:pPr>
        <w:pStyle w:val="ThesisReference"/>
        <w:spacing w:line="480" w:lineRule="auto"/>
      </w:pPr>
      <w:r w:rsidRPr="003C1705">
        <w:t>Department of Science and Technology–Philippine Council for Health Research and Development. (2025b). ICT for health. Retrieved May 11, 2026, from https://www.pchrd.dost.gov.ph/ict-for-health/</w:t>
      </w:r>
    </w:p>
    <w:p w14:paraId="15B83011" w14:textId="77777777" w:rsidR="001F340B" w:rsidRPr="003C1705" w:rsidRDefault="00A73F00" w:rsidP="003C1705">
      <w:pPr>
        <w:pStyle w:val="ThesisReference"/>
        <w:spacing w:line="480" w:lineRule="auto"/>
      </w:pPr>
      <w:r w:rsidRPr="003C1705">
        <w:t xml:space="preserve">Du, H., Zhao, Y., Zhao, J., Xu, S., Lin, X., Chen, Y., Gardner, L. M., &amp; Yang, H. F. (2025). Advancing real-time infectious disease forecasting using large language models. Nature Computational Science, 5(6), 467–480. </w:t>
      </w:r>
      <w:hyperlink r:id="rId19">
        <w:r w:rsidRPr="003C1705">
          <w:t>https://doi.org/10.1038/s43588-025-00798-6</w:t>
        </w:r>
      </w:hyperlink>
    </w:p>
    <w:p w14:paraId="5618AED4" w14:textId="77777777" w:rsidR="001F340B" w:rsidRPr="003C1705" w:rsidRDefault="00A73F00" w:rsidP="003C1705">
      <w:pPr>
        <w:pStyle w:val="ThesisReference"/>
        <w:spacing w:line="480" w:lineRule="auto"/>
      </w:pPr>
      <w:r w:rsidRPr="003C1705">
        <w:t xml:space="preserve">Esteva, A., Robicquet, A., Ramsundar, B., Kuleshov, V., DePristo, M., Chou, K., &amp; Dean, J. (2021). A guide to deep learning in healthcare. </w:t>
      </w:r>
      <w:r w:rsidRPr="003C1705">
        <w:rPr>
          <w:i/>
          <w:iCs/>
        </w:rPr>
        <w:t>Nature Medicine, 27</w:t>
      </w:r>
      <w:r w:rsidRPr="003C1705">
        <w:t>(1), 24–29.</w:t>
      </w:r>
    </w:p>
    <w:p w14:paraId="0BF7CCC4" w14:textId="77777777" w:rsidR="001F340B" w:rsidRPr="003C1705" w:rsidRDefault="00A73F00" w:rsidP="003C1705">
      <w:pPr>
        <w:pStyle w:val="ThesisReference"/>
        <w:spacing w:line="480" w:lineRule="auto"/>
      </w:pPr>
      <w:proofErr w:type="spellStart"/>
      <w:r w:rsidRPr="003C1705">
        <w:t>Getsova</w:t>
      </w:r>
      <w:proofErr w:type="spellEnd"/>
      <w:r w:rsidRPr="003C1705">
        <w:t xml:space="preserve">, Z., &amp; </w:t>
      </w:r>
      <w:proofErr w:type="spellStart"/>
      <w:r w:rsidRPr="003C1705">
        <w:t>Rangelova</w:t>
      </w:r>
      <w:proofErr w:type="spellEnd"/>
      <w:r w:rsidRPr="003C1705">
        <w:t>, V. (2026). Syndromic Surveillance—Review on Different Practices’ Performance and Added Value for Public Health. </w:t>
      </w:r>
      <w:proofErr w:type="spellStart"/>
      <w:r w:rsidRPr="003C1705">
        <w:t>Epidemiologia</w:t>
      </w:r>
      <w:proofErr w:type="spellEnd"/>
      <w:r w:rsidRPr="003C1705">
        <w:t>, 7(1), 23.</w:t>
      </w:r>
    </w:p>
    <w:p w14:paraId="3C773533" w14:textId="77777777" w:rsidR="001F340B" w:rsidRPr="003C1705" w:rsidRDefault="00A73F00" w:rsidP="003C1705">
      <w:pPr>
        <w:pStyle w:val="ThesisReference"/>
        <w:spacing w:line="480" w:lineRule="auto"/>
      </w:pPr>
      <w:r w:rsidRPr="003C1705">
        <w:t>Guo, C., Zhou, Z., Wen, Z., Liu, Y., Zeng, C., Xiao, D., &amp; Yang, G. (2023). Global epidemiology of dengue outbreaks in the 21st century: A systematic review and meta-analysis. Frontiers in Public Health, 11, 1173456.</w:t>
      </w:r>
    </w:p>
    <w:p w14:paraId="4440AFA2" w14:textId="77777777" w:rsidR="00D8289F" w:rsidRPr="003C1705" w:rsidRDefault="00D8289F" w:rsidP="003C1705">
      <w:pPr>
        <w:pStyle w:val="ThesisReference"/>
        <w:spacing w:line="480" w:lineRule="auto"/>
      </w:pPr>
      <w:r w:rsidRPr="003C1705">
        <w:t xml:space="preserve">Hicks, S. A., </w:t>
      </w:r>
      <w:proofErr w:type="spellStart"/>
      <w:r w:rsidRPr="003C1705">
        <w:t>Strümke</w:t>
      </w:r>
      <w:proofErr w:type="spellEnd"/>
      <w:r w:rsidRPr="003C1705">
        <w:t xml:space="preserve">, I., </w:t>
      </w:r>
      <w:proofErr w:type="spellStart"/>
      <w:r w:rsidRPr="003C1705">
        <w:t>Thambawita</w:t>
      </w:r>
      <w:proofErr w:type="spellEnd"/>
      <w:r w:rsidRPr="003C1705">
        <w:t xml:space="preserve">, V., Hammou, M., Riegler, M. A., Halvorsen, P., &amp; Parasa, S. (2022). On evaluation metrics for medical applications of </w:t>
      </w:r>
      <w:r w:rsidRPr="003C1705">
        <w:lastRenderedPageBreak/>
        <w:t xml:space="preserve">artificial intelligence. </w:t>
      </w:r>
      <w:r w:rsidRPr="003C1705">
        <w:rPr>
          <w:i/>
          <w:iCs/>
        </w:rPr>
        <w:t>Scientific Reports, 12</w:t>
      </w:r>
      <w:r w:rsidRPr="003C1705">
        <w:t>, Article 5979.</w:t>
      </w:r>
      <w:hyperlink r:id="rId20">
        <w:r w:rsidRPr="003C1705">
          <w:t xml:space="preserve"> </w:t>
        </w:r>
      </w:hyperlink>
      <w:hyperlink r:id="rId21">
        <w:r w:rsidRPr="003C1705">
          <w:rPr>
            <w:u w:val="single"/>
          </w:rPr>
          <w:t>https://doi.org/10.1038/s41598-022-09954-8</w:t>
        </w:r>
      </w:hyperlink>
    </w:p>
    <w:p w14:paraId="009EA5FC" w14:textId="77777777" w:rsidR="001F340B" w:rsidRPr="003C1705" w:rsidRDefault="00A73F00" w:rsidP="003C1705">
      <w:pPr>
        <w:pStyle w:val="ThesisReference"/>
        <w:spacing w:line="480" w:lineRule="auto"/>
      </w:pPr>
      <w:r w:rsidRPr="003C1705">
        <w:t xml:space="preserve">Honeyman, D., </w:t>
      </w:r>
      <w:proofErr w:type="spellStart"/>
      <w:r w:rsidRPr="003C1705">
        <w:t>Gurdasani</w:t>
      </w:r>
      <w:proofErr w:type="spellEnd"/>
      <w:r w:rsidRPr="003C1705">
        <w:t xml:space="preserve">, D., </w:t>
      </w:r>
      <w:proofErr w:type="spellStart"/>
      <w:r w:rsidRPr="003C1705">
        <w:t>Notaras</w:t>
      </w:r>
      <w:proofErr w:type="spellEnd"/>
      <w:r w:rsidRPr="003C1705">
        <w:t>, A., Akhtar, Z., Edgeworth, J., Moa, A., ... &amp; MacIntyre, C. R. (2025). Global epidemiology of outbreaks of unknown cause identified by open-source intelligence, 2020–2022. Emerging Infectious Diseases, 31(2), 298.</w:t>
      </w:r>
    </w:p>
    <w:p w14:paraId="615256A3" w14:textId="77777777" w:rsidR="007D3FCF" w:rsidRPr="003C1705" w:rsidRDefault="007D3FCF" w:rsidP="003C1705">
      <w:pPr>
        <w:pStyle w:val="ThesisReference"/>
        <w:spacing w:line="480" w:lineRule="auto"/>
      </w:pPr>
      <w:r w:rsidRPr="003C1705">
        <w:t xml:space="preserve">Hosmer, D. W., </w:t>
      </w:r>
      <w:proofErr w:type="spellStart"/>
      <w:r w:rsidRPr="003C1705">
        <w:t>Lemeshow</w:t>
      </w:r>
      <w:proofErr w:type="spellEnd"/>
      <w:r w:rsidRPr="003C1705">
        <w:t>, S., &amp; Sturdivant, R. X. (2020). Applied logistic regression (3rd ed.). Wiley. (Recent reprints / editions and use in epidemiology).</w:t>
      </w:r>
    </w:p>
    <w:p w14:paraId="2ED29DDC" w14:textId="77777777" w:rsidR="003A62A2" w:rsidRPr="003C1705" w:rsidRDefault="003A62A2" w:rsidP="003C1705">
      <w:pPr>
        <w:pStyle w:val="ThesisReference"/>
        <w:spacing w:line="480" w:lineRule="auto"/>
      </w:pPr>
      <w:r w:rsidRPr="003C1705">
        <w:t xml:space="preserve">Hyndman, R. J., &amp; Athanasopoulos, G. (2021). Forecasting: principles and practice (3rd ed. online). </w:t>
      </w:r>
      <w:proofErr w:type="spellStart"/>
      <w:r w:rsidRPr="003C1705">
        <w:t>OTexts</w:t>
      </w:r>
      <w:proofErr w:type="spellEnd"/>
      <w:r w:rsidRPr="003C1705">
        <w:t>. https://otexts.com/fpp3/</w:t>
      </w:r>
    </w:p>
    <w:p w14:paraId="60FEBC6A" w14:textId="77777777" w:rsidR="00330372" w:rsidRPr="003C1705" w:rsidRDefault="00330372" w:rsidP="003C1705">
      <w:pPr>
        <w:pStyle w:val="ThesisReference"/>
        <w:spacing w:line="480" w:lineRule="auto"/>
      </w:pPr>
      <w:r w:rsidRPr="003C1705">
        <w:t xml:space="preserve">Hyzy, M., Bond, R., Mulvenna, M., Bai, L., Dix, A., Leigh, S., Hunt, S., &amp; Burns, W. (2022). System Usability Scale benchmarking for digital health apps: Meta-analysis. JMIR mHealth and </w:t>
      </w:r>
      <w:proofErr w:type="spellStart"/>
      <w:r w:rsidRPr="003C1705">
        <w:t>uHealth</w:t>
      </w:r>
      <w:proofErr w:type="spellEnd"/>
      <w:r w:rsidRPr="003C1705">
        <w:t>, 10(8), Article e37290.</w:t>
      </w:r>
      <w:hyperlink r:id="rId22">
        <w:r w:rsidRPr="003C1705">
          <w:t xml:space="preserve"> </w:t>
        </w:r>
      </w:hyperlink>
      <w:hyperlink r:id="rId23">
        <w:r w:rsidRPr="003C1705">
          <w:t>https://doi.org/10.2196/37290</w:t>
        </w:r>
      </w:hyperlink>
    </w:p>
    <w:p w14:paraId="278F10E4" w14:textId="77777777" w:rsidR="00330372" w:rsidRPr="003C1705" w:rsidRDefault="00330372" w:rsidP="003C1705">
      <w:pPr>
        <w:pStyle w:val="ThesisReference"/>
        <w:spacing w:line="480" w:lineRule="auto"/>
      </w:pPr>
      <w:r w:rsidRPr="003C1705">
        <w:t>International Organization for Standardization. (2023). ISO/IEC 25010:2023 Systems and software engineering—Systems and software Quality Requirements and Evaluation (</w:t>
      </w:r>
      <w:proofErr w:type="spellStart"/>
      <w:r w:rsidRPr="003C1705">
        <w:t>SQuaRE</w:t>
      </w:r>
      <w:proofErr w:type="spellEnd"/>
      <w:r w:rsidRPr="003C1705">
        <w:t>)—Product quality model. ISO.</w:t>
      </w:r>
    </w:p>
    <w:p w14:paraId="3687C143" w14:textId="77777777" w:rsidR="001F340B" w:rsidRPr="003C1705" w:rsidRDefault="00A73F00" w:rsidP="003C1705">
      <w:pPr>
        <w:pStyle w:val="ThesisReference"/>
        <w:spacing w:line="480" w:lineRule="auto"/>
      </w:pPr>
      <w:r w:rsidRPr="003C1705">
        <w:t xml:space="preserve">Jeyaraj, A. (2020). </w:t>
      </w:r>
      <w:proofErr w:type="spellStart"/>
      <w:r w:rsidRPr="003C1705">
        <w:t>DeLone</w:t>
      </w:r>
      <w:proofErr w:type="spellEnd"/>
      <w:r w:rsidRPr="003C1705">
        <w:t xml:space="preserve"> &amp; McLean models of information system success: Critical meta-review and research directions. International Journal of Information Management, 54, 102139. https://doi.org/10.1016/j.ijinfomgt.2020.102139</w:t>
      </w:r>
      <w:r w:rsidR="000D5C78" w:rsidRPr="003C1705">
        <w:t xml:space="preserve"> </w:t>
      </w:r>
    </w:p>
    <w:p w14:paraId="110DF74B" w14:textId="77777777" w:rsidR="001F340B" w:rsidRPr="003C1705" w:rsidRDefault="00A73F00" w:rsidP="003C1705">
      <w:pPr>
        <w:pStyle w:val="ThesisReference"/>
        <w:spacing w:line="480" w:lineRule="auto"/>
      </w:pPr>
      <w:r w:rsidRPr="003C1705">
        <w:lastRenderedPageBreak/>
        <w:t xml:space="preserve">Lowe, R., Lee, S. A., O’Reilly, K. M., Brady, O. J., Bastos, L., Carrasco-Escobar, G., &amp; Barcellos, C. (2021). Combined effects of hydrometeorological hazards and </w:t>
      </w:r>
      <w:proofErr w:type="spellStart"/>
      <w:r w:rsidRPr="003C1705">
        <w:t>urbanisation</w:t>
      </w:r>
      <w:proofErr w:type="spellEnd"/>
      <w:r w:rsidRPr="003C1705">
        <w:t xml:space="preserve"> on dengue risk in Brazil: A spatiotemporal modelling study. The Lancet Planetary Health, 5(4), e209–e219.</w:t>
      </w:r>
    </w:p>
    <w:p w14:paraId="5FD4A474" w14:textId="77777777" w:rsidR="001F340B" w:rsidRPr="003C1705" w:rsidRDefault="00A73F00" w:rsidP="003C1705">
      <w:pPr>
        <w:pStyle w:val="ThesisReference"/>
        <w:spacing w:line="480" w:lineRule="auto"/>
      </w:pPr>
      <w:r w:rsidRPr="003C1705">
        <w:t xml:space="preserve">Mahmood, S., Hasan, K., Colder Carras, M., &amp; </w:t>
      </w:r>
      <w:proofErr w:type="spellStart"/>
      <w:r w:rsidRPr="003C1705">
        <w:t>Labrique</w:t>
      </w:r>
      <w:proofErr w:type="spellEnd"/>
      <w:r w:rsidRPr="003C1705">
        <w:t>, A. (2024). Artificial intelligence and public health surveillance: Opportunities, challenges, and future directions. Frontiers in Digital Health, 6, 1342210.</w:t>
      </w:r>
    </w:p>
    <w:p w14:paraId="7BB5D66C" w14:textId="77777777" w:rsidR="001F340B" w:rsidRPr="003C1705" w:rsidRDefault="00A73F00" w:rsidP="003C1705">
      <w:pPr>
        <w:pStyle w:val="ThesisReference"/>
        <w:spacing w:line="480" w:lineRule="auto"/>
      </w:pPr>
      <w:r w:rsidRPr="003C1705">
        <w:t xml:space="preserve">Ng, V., Rees, E. E., Niu, J., </w:t>
      </w:r>
      <w:proofErr w:type="spellStart"/>
      <w:r w:rsidRPr="003C1705">
        <w:t>Zaghlool</w:t>
      </w:r>
      <w:proofErr w:type="spellEnd"/>
      <w:r w:rsidRPr="003C1705">
        <w:t xml:space="preserve">, A., Ghiasbeglou, H., &amp; Verster, A. (2020). Application of natural language processing algorithms for extracting information from news articles in event-based surveillance. Online Journal of Public Health Informatics, 12(1), Article e9. </w:t>
      </w:r>
      <w:hyperlink r:id="rId24">
        <w:r w:rsidRPr="003C1705">
          <w:t>https://doi.org/10.5210/ojphi.v12i1.10601</w:t>
        </w:r>
      </w:hyperlink>
    </w:p>
    <w:p w14:paraId="09EFD6BD" w14:textId="77777777" w:rsidR="00444453" w:rsidRPr="003C1705" w:rsidRDefault="00444453" w:rsidP="003C1705">
      <w:pPr>
        <w:pStyle w:val="ThesisReference"/>
        <w:spacing w:line="480" w:lineRule="auto"/>
      </w:pPr>
      <w:r w:rsidRPr="003C1705">
        <w:t xml:space="preserve">Nguyen, V. H., Tran, T. H., Nguyen, H. H., &amp; Pham, Q. T. (2022). Deep learning models for forecasting dengue fever based on meteorological factors and surveillance data. </w:t>
      </w:r>
      <w:r w:rsidRPr="003C1705">
        <w:rPr>
          <w:i/>
          <w:iCs/>
        </w:rPr>
        <w:t>Scientific Reports</w:t>
      </w:r>
      <w:r w:rsidRPr="003C1705">
        <w:t>, 12, 9234. https://doi.org/10.1038/s41598-022-12012-3</w:t>
      </w:r>
    </w:p>
    <w:p w14:paraId="510DBA8B" w14:textId="77777777" w:rsidR="00444453" w:rsidRPr="003C1705" w:rsidRDefault="00444453" w:rsidP="003C1705">
      <w:pPr>
        <w:pStyle w:val="ThesisReference"/>
        <w:spacing w:line="480" w:lineRule="auto"/>
      </w:pPr>
      <w:r w:rsidRPr="003C1705">
        <w:t>Olson, R. S., La Cava, W., Orzechowski, P., Urbanowicz, R. J., &amp; Moore, J. H. (2021). Data‑driven advice for applying machine learning to bioinformatics problems. Briefings in Bioinformatics, 22(2), 1487–1502. https://doi.org/10.1093/bib/bbaa175</w:t>
      </w:r>
    </w:p>
    <w:p w14:paraId="16BA54F1" w14:textId="77777777" w:rsidR="001F340B" w:rsidRPr="003C1705" w:rsidRDefault="00A73F00" w:rsidP="003C1705">
      <w:pPr>
        <w:pStyle w:val="ThesisReference"/>
        <w:spacing w:line="480" w:lineRule="auto"/>
      </w:pPr>
      <w:proofErr w:type="spellStart"/>
      <w:r w:rsidRPr="003C1705">
        <w:t>Otomaru</w:t>
      </w:r>
      <w:proofErr w:type="spellEnd"/>
      <w:r w:rsidRPr="003C1705">
        <w:t xml:space="preserve">, H., </w:t>
      </w:r>
      <w:proofErr w:type="spellStart"/>
      <w:r w:rsidRPr="003C1705">
        <w:t>Kamigaki</w:t>
      </w:r>
      <w:proofErr w:type="spellEnd"/>
      <w:r w:rsidRPr="003C1705">
        <w:t xml:space="preserve">, T., Tamaki, R., Opinion, J., Santo, A., Daya, E., Okamoto, M., Tallo, V. L., </w:t>
      </w:r>
      <w:proofErr w:type="spellStart"/>
      <w:r w:rsidRPr="003C1705">
        <w:t>Lupisan</w:t>
      </w:r>
      <w:proofErr w:type="spellEnd"/>
      <w:r w:rsidRPr="003C1705">
        <w:t xml:space="preserve">, S. P., </w:t>
      </w:r>
      <w:proofErr w:type="spellStart"/>
      <w:r w:rsidRPr="003C1705">
        <w:t>Oshitani</w:t>
      </w:r>
      <w:proofErr w:type="spellEnd"/>
      <w:r w:rsidRPr="003C1705">
        <w:t xml:space="preserve">, H., &amp; Suzuki, A. (2015). Influenza and other respiratory viruses detected by influenza-like illness surveillance in </w:t>
      </w:r>
      <w:r w:rsidRPr="003C1705">
        <w:lastRenderedPageBreak/>
        <w:t xml:space="preserve">Leyte Island, the Philippines, 2010–2013. PLOS ONE, 10(4), Article e0123755. </w:t>
      </w:r>
      <w:hyperlink r:id="rId25">
        <w:r w:rsidRPr="003C1705">
          <w:t>https://doi.org/10.1371/journal.pone.0123755</w:t>
        </w:r>
      </w:hyperlink>
    </w:p>
    <w:p w14:paraId="0559715A" w14:textId="77777777" w:rsidR="001F340B" w:rsidRPr="003C1705" w:rsidRDefault="00A73F00" w:rsidP="003C1705">
      <w:pPr>
        <w:pStyle w:val="ThesisReference"/>
        <w:spacing w:line="480" w:lineRule="auto"/>
      </w:pPr>
      <w:r w:rsidRPr="003C1705">
        <w:t xml:space="preserve">Paireau, J., Andronico, A., </w:t>
      </w:r>
      <w:proofErr w:type="spellStart"/>
      <w:r w:rsidRPr="003C1705">
        <w:t>Hozé</w:t>
      </w:r>
      <w:proofErr w:type="spellEnd"/>
      <w:r w:rsidRPr="003C1705">
        <w:t xml:space="preserve">, N., Layan, M., &amp; </w:t>
      </w:r>
      <w:proofErr w:type="spellStart"/>
      <w:r w:rsidRPr="003C1705">
        <w:t>Cauchemez</w:t>
      </w:r>
      <w:proofErr w:type="spellEnd"/>
      <w:r w:rsidRPr="003C1705">
        <w:t>, S. (2022). Digital epidemiology and surveillance systems for influenza and emerging respiratory infections. Eurosurveillance, 27(45), 2200043.</w:t>
      </w:r>
    </w:p>
    <w:p w14:paraId="535E4E54" w14:textId="77777777" w:rsidR="001F340B" w:rsidRPr="003C1705" w:rsidRDefault="00A73F00" w:rsidP="003C1705">
      <w:pPr>
        <w:pStyle w:val="ThesisReference"/>
        <w:spacing w:line="480" w:lineRule="auto"/>
      </w:pPr>
      <w:r w:rsidRPr="003C1705">
        <w:t xml:space="preserve">Polonsky, J. A., Baidjoe, A., Kamvar, Z. N., Cori, A., Durski, K., Edmunds, W. J., Eggo, R. M., Funk, S., Kaiser, L., Keating, P., Le </w:t>
      </w:r>
      <w:proofErr w:type="spellStart"/>
      <w:r w:rsidRPr="003C1705">
        <w:t>Polain</w:t>
      </w:r>
      <w:proofErr w:type="spellEnd"/>
      <w:r w:rsidRPr="003C1705">
        <w:t xml:space="preserve"> de </w:t>
      </w:r>
      <w:proofErr w:type="spellStart"/>
      <w:r w:rsidRPr="003C1705">
        <w:t>Waroux</w:t>
      </w:r>
      <w:proofErr w:type="spellEnd"/>
      <w:r w:rsidRPr="003C1705">
        <w:t xml:space="preserve">, O., Marks, M., Moraga, P., Morgan, O., </w:t>
      </w:r>
      <w:proofErr w:type="spellStart"/>
      <w:r w:rsidRPr="003C1705">
        <w:t>Nouvellet</w:t>
      </w:r>
      <w:proofErr w:type="spellEnd"/>
      <w:r w:rsidRPr="003C1705">
        <w:t xml:space="preserve">, P., Ratnayake, R., Riley, S., Scarpino, S. V., ... </w:t>
      </w:r>
      <w:proofErr w:type="spellStart"/>
      <w:r w:rsidRPr="003C1705">
        <w:t>Jombart</w:t>
      </w:r>
      <w:proofErr w:type="spellEnd"/>
      <w:r w:rsidRPr="003C1705">
        <w:t xml:space="preserve">, T. (2019). Outbreak analytics: A developing data science for informing the response to emerging pathogens. </w:t>
      </w:r>
      <w:r w:rsidRPr="003C1705">
        <w:rPr>
          <w:i/>
          <w:iCs/>
        </w:rPr>
        <w:t>Philosophical Transactions of the Royal Society B: Biological Sciences, 374</w:t>
      </w:r>
      <w:r w:rsidRPr="003C1705">
        <w:t xml:space="preserve">(1776), Article 20180276. </w:t>
      </w:r>
      <w:hyperlink r:id="rId26">
        <w:r w:rsidRPr="003C1705">
          <w:rPr>
            <w:u w:val="single"/>
          </w:rPr>
          <w:t>https://doi.org/10.1098/rstb.2018.0276</w:t>
        </w:r>
      </w:hyperlink>
    </w:p>
    <w:p w14:paraId="63EFD50A" w14:textId="77777777" w:rsidR="002F167E" w:rsidRPr="003C1705" w:rsidRDefault="002F167E" w:rsidP="003C1705">
      <w:pPr>
        <w:pStyle w:val="ThesisReference"/>
        <w:spacing w:line="480" w:lineRule="auto"/>
      </w:pPr>
      <w:proofErr w:type="spellStart"/>
      <w:r w:rsidRPr="003C1705">
        <w:t>Rainio</w:t>
      </w:r>
      <w:proofErr w:type="spellEnd"/>
      <w:r w:rsidRPr="003C1705">
        <w:t xml:space="preserve">, O., Teuho, J., &amp; </w:t>
      </w:r>
      <w:proofErr w:type="spellStart"/>
      <w:r w:rsidRPr="003C1705">
        <w:t>Klén</w:t>
      </w:r>
      <w:proofErr w:type="spellEnd"/>
      <w:r w:rsidRPr="003C1705">
        <w:t>, R. (2024). Evaluation metrics and statistical tests for machine learning. Scientific Reports, 14, Article 6086.</w:t>
      </w:r>
      <w:hyperlink r:id="rId27">
        <w:r w:rsidRPr="003C1705">
          <w:t xml:space="preserve"> </w:t>
        </w:r>
      </w:hyperlink>
      <w:hyperlink r:id="rId28">
        <w:r w:rsidRPr="003C1705">
          <w:t>https://doi.org/10.1038/s41598-024-56706-x</w:t>
        </w:r>
      </w:hyperlink>
    </w:p>
    <w:p w14:paraId="02CCC963" w14:textId="77777777" w:rsidR="001F340B" w:rsidRPr="003C1705" w:rsidRDefault="00A73F00" w:rsidP="003C1705">
      <w:pPr>
        <w:pStyle w:val="ThesisReference"/>
        <w:spacing w:line="480" w:lineRule="auto"/>
      </w:pPr>
      <w:r w:rsidRPr="003C1705">
        <w:t xml:space="preserve">Roppelt, J. S., </w:t>
      </w:r>
      <w:proofErr w:type="spellStart"/>
      <w:r w:rsidRPr="003C1705">
        <w:t>Kanbach</w:t>
      </w:r>
      <w:proofErr w:type="spellEnd"/>
      <w:r w:rsidRPr="003C1705">
        <w:t xml:space="preserve">, D. K., &amp; Kraus, S. (2024). Artificial intelligence in healthcare institutions: A systematic literature review on influencing factors. Technology in Society, 76, Article 102443. </w:t>
      </w:r>
      <w:hyperlink r:id="rId29">
        <w:r w:rsidRPr="003C1705">
          <w:t>https://doi.org/10.1016/j.techsoc.2023.102443</w:t>
        </w:r>
      </w:hyperlink>
    </w:p>
    <w:p w14:paraId="05568BE6" w14:textId="77777777" w:rsidR="001F340B" w:rsidRPr="003C1705" w:rsidRDefault="00A73F00" w:rsidP="003C1705">
      <w:pPr>
        <w:pStyle w:val="ThesisReference"/>
        <w:spacing w:line="480" w:lineRule="auto"/>
      </w:pPr>
      <w:proofErr w:type="spellStart"/>
      <w:r w:rsidRPr="003C1705">
        <w:t>Rouidi</w:t>
      </w:r>
      <w:proofErr w:type="spellEnd"/>
      <w:r w:rsidRPr="003C1705">
        <w:t xml:space="preserve">, M., </w:t>
      </w:r>
      <w:proofErr w:type="spellStart"/>
      <w:r w:rsidRPr="003C1705">
        <w:t>Elouadi</w:t>
      </w:r>
      <w:proofErr w:type="spellEnd"/>
      <w:r w:rsidRPr="003C1705">
        <w:t xml:space="preserve">, A. E., </w:t>
      </w:r>
      <w:proofErr w:type="spellStart"/>
      <w:r w:rsidRPr="003C1705">
        <w:t>Hamdoune</w:t>
      </w:r>
      <w:proofErr w:type="spellEnd"/>
      <w:r w:rsidRPr="003C1705">
        <w:t xml:space="preserve">, A., </w:t>
      </w:r>
      <w:proofErr w:type="spellStart"/>
      <w:r w:rsidRPr="003C1705">
        <w:t>Choujtani</w:t>
      </w:r>
      <w:proofErr w:type="spellEnd"/>
      <w:r w:rsidRPr="003C1705">
        <w:t xml:space="preserve">, K., &amp; Chati, A. (2022). TAM-UTAUT and the acceptance of remote healthcare technologies by healthcare professionals: A systematic review. Informatics in Medicine Unlocked, 32, Article 101008. </w:t>
      </w:r>
      <w:hyperlink r:id="rId30">
        <w:r w:rsidRPr="003C1705">
          <w:t>https://doi.org/10.1016/j.imu.2022.101008</w:t>
        </w:r>
      </w:hyperlink>
    </w:p>
    <w:p w14:paraId="64419B1F" w14:textId="77777777" w:rsidR="00D033EA" w:rsidRPr="003C1705" w:rsidRDefault="00D033EA" w:rsidP="003C1705">
      <w:pPr>
        <w:pStyle w:val="ThesisReference"/>
        <w:spacing w:line="480" w:lineRule="auto"/>
      </w:pPr>
      <w:r w:rsidRPr="003C1705">
        <w:lastRenderedPageBreak/>
        <w:t xml:space="preserve">Sadeghi, Z., </w:t>
      </w:r>
      <w:proofErr w:type="spellStart"/>
      <w:r w:rsidRPr="003C1705">
        <w:t>Bastan</w:t>
      </w:r>
      <w:proofErr w:type="spellEnd"/>
      <w:r w:rsidRPr="003C1705">
        <w:t>, M., &amp; Rashidi, H. H. (2024). A review of explainable artificial intelligence in healthcare. Computers in Biology and Medicine, 182, Article 109174. https://doi.org/10.1016/j.compbiomed.2024.109174</w:t>
      </w:r>
    </w:p>
    <w:p w14:paraId="43E8D74F" w14:textId="77777777" w:rsidR="001F340B" w:rsidRPr="003C1705" w:rsidRDefault="00A73F00" w:rsidP="003C1705">
      <w:pPr>
        <w:pStyle w:val="ThesisReference"/>
        <w:spacing w:line="480" w:lineRule="auto"/>
      </w:pPr>
      <w:r w:rsidRPr="003C1705">
        <w:t>Sanchez-</w:t>
      </w:r>
      <w:proofErr w:type="spellStart"/>
      <w:r w:rsidRPr="003C1705">
        <w:t>Gendriz</w:t>
      </w:r>
      <w:proofErr w:type="spellEnd"/>
      <w:r w:rsidRPr="003C1705">
        <w:t xml:space="preserve">, I., de Souza, G. F., de Andrade, I. G. M., Doria Neto, A. D., Tavares, A. de M., Barros, D. M. S., de Morais, A. H. F., Galvão-Lima, L. J., &amp; Valentim, R. A. de M. (2022). Data-driven computational intelligence applied to dengue outbreak forecasting: A case study at the scale of the city of Natal, RN-Brazil. </w:t>
      </w:r>
      <w:r w:rsidRPr="003C1705">
        <w:rPr>
          <w:i/>
          <w:iCs/>
        </w:rPr>
        <w:t>Scientific Reports, 12</w:t>
      </w:r>
      <w:r w:rsidRPr="003C1705">
        <w:t xml:space="preserve">, Article 6550. </w:t>
      </w:r>
      <w:hyperlink r:id="rId31">
        <w:r w:rsidRPr="003C1705">
          <w:rPr>
            <w:u w:val="single"/>
          </w:rPr>
          <w:t>https://doi.org/10.1038/s41598-022-10512-5</w:t>
        </w:r>
      </w:hyperlink>
    </w:p>
    <w:p w14:paraId="5698C132" w14:textId="77777777" w:rsidR="001F340B" w:rsidRPr="003C1705" w:rsidRDefault="00A73F00" w:rsidP="003C1705">
      <w:pPr>
        <w:pStyle w:val="ThesisReference"/>
        <w:spacing w:line="480" w:lineRule="auto"/>
      </w:pPr>
      <w:r w:rsidRPr="003C1705">
        <w:t xml:space="preserve">Tuan, D. A., Dang, T. N., Phan, T. V., Pham, T. T. H., Nguyen, T. T. H., Tran, Q. D., &amp; Nguyen, T. H. (2024). Leveraging climate data for dengue forecasting in Ba Ria Vung Tau Province, Vietnam: An application of machine learning models. Tropical Medicine and Infectious Disease, 9(10), Article 250. </w:t>
      </w:r>
      <w:hyperlink r:id="rId32">
        <w:r w:rsidRPr="003C1705">
          <w:t>https://doi.org/10.3390/tropicalmed9100250</w:t>
        </w:r>
      </w:hyperlink>
    </w:p>
    <w:p w14:paraId="3D3890A7" w14:textId="77777777" w:rsidR="001F340B" w:rsidRPr="003C1705" w:rsidRDefault="00A73F00" w:rsidP="003C1705">
      <w:pPr>
        <w:pStyle w:val="ThesisReference"/>
        <w:spacing w:line="480" w:lineRule="auto"/>
      </w:pPr>
      <w:r w:rsidRPr="003C1705">
        <w:t xml:space="preserve">Villanueva-Miranda, I., Xiao, G., &amp; Xie, Y. (2025). Artificial intelligence in early warning systems for infectious disease surveillance: A systematic review. Frontiers in Public Health, 13, Article 1609615. </w:t>
      </w:r>
      <w:hyperlink r:id="rId33">
        <w:r w:rsidRPr="003C1705">
          <w:t>https://doi.org/10.3389/fpubh.2025.1609615</w:t>
        </w:r>
      </w:hyperlink>
    </w:p>
    <w:p w14:paraId="3E122950" w14:textId="77777777" w:rsidR="001F340B" w:rsidRPr="003C1705" w:rsidRDefault="00A73F00" w:rsidP="003C1705">
      <w:pPr>
        <w:pStyle w:val="ThesisReference"/>
        <w:spacing w:line="480" w:lineRule="auto"/>
      </w:pPr>
      <w:r w:rsidRPr="003C1705">
        <w:t>World Health Organization (WHO). (2023). Strengthening surveillance systems for respiratory diseases and</w:t>
      </w:r>
      <w:r w:rsidRPr="003C1705">
        <w:rPr>
          <w:i/>
          <w:iCs/>
        </w:rPr>
        <w:t xml:space="preserve"> pandemic preparedness</w:t>
      </w:r>
      <w:r w:rsidRPr="003C1705">
        <w:t>. Geneva, Switzerland: World Health Organization.</w:t>
      </w:r>
    </w:p>
    <w:p w14:paraId="59C7C950" w14:textId="77777777" w:rsidR="001F340B" w:rsidRPr="003C1705" w:rsidRDefault="00A73F00" w:rsidP="003C1705">
      <w:pPr>
        <w:pStyle w:val="ThesisReference"/>
        <w:spacing w:line="480" w:lineRule="auto"/>
      </w:pPr>
      <w:r w:rsidRPr="003C1705">
        <w:t xml:space="preserve">World Health Organization (WHO). (2024). </w:t>
      </w:r>
      <w:r w:rsidRPr="003C1705">
        <w:rPr>
          <w:i/>
          <w:iCs/>
        </w:rPr>
        <w:t>Public health surveillance and response systems</w:t>
      </w:r>
      <w:r w:rsidRPr="003C1705">
        <w:t>. Geneva, Switzerland: World Health Organization.</w:t>
      </w:r>
    </w:p>
    <w:p w14:paraId="6082E770" w14:textId="77777777" w:rsidR="001F340B" w:rsidRPr="003C1705" w:rsidRDefault="00A73F00" w:rsidP="003C1705">
      <w:pPr>
        <w:pStyle w:val="ThesisReference"/>
        <w:spacing w:line="480" w:lineRule="auto"/>
      </w:pPr>
      <w:r w:rsidRPr="003C1705">
        <w:lastRenderedPageBreak/>
        <w:t xml:space="preserve">World Health Organization. (2024). Surveillance and alert. </w:t>
      </w:r>
      <w:hyperlink r:id="rId34">
        <w:r w:rsidRPr="003C1705">
          <w:t>https://www.who.int/southeastasia/outbreaks-and-emergencies/surveillance-and-alert</w:t>
        </w:r>
      </w:hyperlink>
    </w:p>
    <w:p w14:paraId="18F5AAAD" w14:textId="77777777" w:rsidR="001F340B" w:rsidRPr="003C1705" w:rsidRDefault="00A73F00" w:rsidP="003C1705">
      <w:pPr>
        <w:pStyle w:val="ThesisReference"/>
        <w:spacing w:line="480" w:lineRule="auto"/>
      </w:pPr>
      <w:r w:rsidRPr="003C1705">
        <w:t xml:space="preserve">World Health Organization. (2025, August 21). Dengue and severe dengue. </w:t>
      </w:r>
      <w:hyperlink r:id="rId35">
        <w:r w:rsidRPr="003C1705">
          <w:t>https://www.who.int/news-room/fact-sheets/detail/dengue-and-severe-dengue</w:t>
        </w:r>
      </w:hyperlink>
    </w:p>
    <w:tbl>
      <w:tblPr>
        <w:tblW w:w="83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1" w:lastColumn="0" w:noHBand="0" w:noVBand="1"/>
      </w:tblPr>
      <w:tblGrid>
        <w:gridCol w:w="1777"/>
        <w:gridCol w:w="6529"/>
      </w:tblGrid>
      <w:tr w:rsidR="001F340B" w:rsidRPr="003C1705" w14:paraId="26C5561D" w14:textId="77777777">
        <w:trPr>
          <w:cantSplit/>
        </w:trPr>
        <w:tc>
          <w:tcPr>
            <w:tcW w:w="1777" w:type="dxa"/>
          </w:tcPr>
          <w:p w14:paraId="23A17369" w14:textId="77777777" w:rsidR="001F340B" w:rsidRPr="003C1705" w:rsidRDefault="001F340B" w:rsidP="003C1705">
            <w:pPr>
              <w:pStyle w:val="TableText"/>
              <w:spacing w:line="480" w:lineRule="auto"/>
              <w:rPr>
                <w:sz w:val="24"/>
                <w:szCs w:val="24"/>
              </w:rPr>
            </w:pPr>
          </w:p>
        </w:tc>
        <w:tc>
          <w:tcPr>
            <w:tcW w:w="6529" w:type="dxa"/>
          </w:tcPr>
          <w:p w14:paraId="03D53E58" w14:textId="77777777" w:rsidR="001F340B" w:rsidRPr="003C1705" w:rsidRDefault="00A73F00" w:rsidP="003C1705">
            <w:pPr>
              <w:pStyle w:val="TableText"/>
              <w:spacing w:line="480" w:lineRule="auto"/>
              <w:rPr>
                <w:sz w:val="24"/>
                <w:szCs w:val="24"/>
              </w:rPr>
            </w:pPr>
            <w:r w:rsidRPr="003C1705">
              <w:rPr>
                <w:b/>
                <w:bCs/>
                <w:sz w:val="24"/>
                <w:szCs w:val="24"/>
              </w:rPr>
              <w:t>SUBMITTED BY (Project Leader)</w:t>
            </w:r>
          </w:p>
        </w:tc>
      </w:tr>
      <w:tr w:rsidR="001F340B" w:rsidRPr="003C1705" w14:paraId="1E161571" w14:textId="77777777">
        <w:trPr>
          <w:cantSplit/>
        </w:trPr>
        <w:tc>
          <w:tcPr>
            <w:tcW w:w="1777" w:type="dxa"/>
            <w:vAlign w:val="center"/>
          </w:tcPr>
          <w:p w14:paraId="7B856D73" w14:textId="77777777" w:rsidR="001F340B" w:rsidRPr="003C1705" w:rsidRDefault="00A73F00" w:rsidP="003C1705">
            <w:pPr>
              <w:pStyle w:val="TableText"/>
              <w:spacing w:line="480" w:lineRule="auto"/>
              <w:rPr>
                <w:sz w:val="24"/>
                <w:szCs w:val="24"/>
              </w:rPr>
            </w:pPr>
            <w:r w:rsidRPr="003C1705">
              <w:rPr>
                <w:sz w:val="24"/>
                <w:szCs w:val="24"/>
              </w:rPr>
              <w:t>Signature</w:t>
            </w:r>
          </w:p>
        </w:tc>
        <w:tc>
          <w:tcPr>
            <w:tcW w:w="6529" w:type="dxa"/>
          </w:tcPr>
          <w:p w14:paraId="48C4C997" w14:textId="77777777" w:rsidR="001F340B" w:rsidRPr="003C1705" w:rsidRDefault="00A73F00" w:rsidP="003C1705">
            <w:pPr>
              <w:pStyle w:val="TableText"/>
              <w:spacing w:line="480" w:lineRule="auto"/>
              <w:rPr>
                <w:sz w:val="24"/>
                <w:szCs w:val="24"/>
              </w:rPr>
            </w:pPr>
            <w:r w:rsidRPr="003C1705">
              <w:rPr>
                <w:sz w:val="24"/>
                <w:szCs w:val="24"/>
              </w:rPr>
              <w:t> </w:t>
            </w:r>
            <w:r w:rsidRPr="003C1705">
              <w:rPr>
                <w:noProof/>
                <w:sz w:val="24"/>
                <w:szCs w:val="24"/>
              </w:rPr>
              <w:drawing>
                <wp:anchor distT="0" distB="0" distL="114300" distR="114300" simplePos="0" relativeHeight="251658240" behindDoc="0" locked="0" layoutInCell="1" hidden="0" allowOverlap="1" wp14:anchorId="02A3BFC4" wp14:editId="02A3BFC5">
                  <wp:simplePos x="0" y="0"/>
                  <wp:positionH relativeFrom="column">
                    <wp:posOffset>11749</wp:posOffset>
                  </wp:positionH>
                  <wp:positionV relativeFrom="paragraph">
                    <wp:posOffset>-184784</wp:posOffset>
                  </wp:positionV>
                  <wp:extent cx="1216496" cy="687897"/>
                  <wp:effectExtent l="0" t="0" r="0" b="0"/>
                  <wp:wrapNone/>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6"/>
                          <a:srcRect/>
                          <a:stretch>
                            <a:fillRect/>
                          </a:stretch>
                        </pic:blipFill>
                        <pic:spPr>
                          <a:xfrm>
                            <a:off x="0" y="0"/>
                            <a:ext cx="1216496" cy="687897"/>
                          </a:xfrm>
                          <a:prstGeom prst="rect">
                            <a:avLst/>
                          </a:prstGeom>
                          <a:ln/>
                        </pic:spPr>
                      </pic:pic>
                    </a:graphicData>
                  </a:graphic>
                </wp:anchor>
              </w:drawing>
            </w:r>
          </w:p>
          <w:p w14:paraId="40768697" w14:textId="77777777" w:rsidR="001F340B" w:rsidRPr="003C1705" w:rsidRDefault="00A73F00" w:rsidP="003C1705">
            <w:pPr>
              <w:pStyle w:val="TableText"/>
              <w:spacing w:line="480" w:lineRule="auto"/>
              <w:rPr>
                <w:sz w:val="24"/>
                <w:szCs w:val="24"/>
              </w:rPr>
            </w:pPr>
            <w:r w:rsidRPr="003C1705">
              <w:rPr>
                <w:sz w:val="24"/>
                <w:szCs w:val="24"/>
              </w:rPr>
              <w:t> </w:t>
            </w:r>
          </w:p>
        </w:tc>
      </w:tr>
      <w:tr w:rsidR="001F340B" w:rsidRPr="003C1705" w14:paraId="1292F044" w14:textId="77777777">
        <w:trPr>
          <w:cantSplit/>
        </w:trPr>
        <w:tc>
          <w:tcPr>
            <w:tcW w:w="1777" w:type="dxa"/>
            <w:vAlign w:val="center"/>
          </w:tcPr>
          <w:p w14:paraId="50414792" w14:textId="77777777" w:rsidR="001F340B" w:rsidRPr="003C1705" w:rsidRDefault="00A73F00" w:rsidP="003C1705">
            <w:pPr>
              <w:pStyle w:val="TableText"/>
              <w:spacing w:line="480" w:lineRule="auto"/>
              <w:rPr>
                <w:sz w:val="24"/>
                <w:szCs w:val="24"/>
              </w:rPr>
            </w:pPr>
            <w:r w:rsidRPr="003C1705">
              <w:rPr>
                <w:sz w:val="24"/>
                <w:szCs w:val="24"/>
              </w:rPr>
              <w:t>Printed Name</w:t>
            </w:r>
          </w:p>
        </w:tc>
        <w:tc>
          <w:tcPr>
            <w:tcW w:w="6529" w:type="dxa"/>
          </w:tcPr>
          <w:p w14:paraId="73639CBA" w14:textId="77777777" w:rsidR="001F340B" w:rsidRPr="003C1705" w:rsidRDefault="00A73F00" w:rsidP="003C1705">
            <w:pPr>
              <w:pStyle w:val="TableText"/>
              <w:spacing w:line="480" w:lineRule="auto"/>
              <w:rPr>
                <w:sz w:val="24"/>
                <w:szCs w:val="24"/>
              </w:rPr>
            </w:pPr>
            <w:r w:rsidRPr="003C1705">
              <w:rPr>
                <w:b/>
                <w:bCs/>
                <w:sz w:val="24"/>
                <w:szCs w:val="24"/>
              </w:rPr>
              <w:t>CHARLIE S. MARZAN</w:t>
            </w:r>
          </w:p>
          <w:p w14:paraId="4F8092F7" w14:textId="77777777" w:rsidR="001F340B" w:rsidRPr="003C1705" w:rsidRDefault="00A73F00" w:rsidP="003C1705">
            <w:pPr>
              <w:pStyle w:val="TableText"/>
              <w:spacing w:line="480" w:lineRule="auto"/>
              <w:rPr>
                <w:sz w:val="24"/>
                <w:szCs w:val="24"/>
              </w:rPr>
            </w:pPr>
            <w:r w:rsidRPr="003C1705">
              <w:rPr>
                <w:b/>
                <w:bCs/>
                <w:sz w:val="24"/>
                <w:szCs w:val="24"/>
              </w:rPr>
              <w:t> </w:t>
            </w:r>
          </w:p>
        </w:tc>
      </w:tr>
      <w:tr w:rsidR="001F340B" w:rsidRPr="003C1705" w14:paraId="5190B1B2" w14:textId="77777777">
        <w:trPr>
          <w:cantSplit/>
        </w:trPr>
        <w:tc>
          <w:tcPr>
            <w:tcW w:w="1777" w:type="dxa"/>
            <w:vAlign w:val="center"/>
          </w:tcPr>
          <w:p w14:paraId="2A180EB6" w14:textId="77777777" w:rsidR="001F340B" w:rsidRPr="003C1705" w:rsidRDefault="00A73F00" w:rsidP="003C1705">
            <w:pPr>
              <w:pStyle w:val="TableText"/>
              <w:spacing w:line="480" w:lineRule="auto"/>
              <w:rPr>
                <w:sz w:val="24"/>
                <w:szCs w:val="24"/>
              </w:rPr>
            </w:pPr>
            <w:r w:rsidRPr="003C1705">
              <w:rPr>
                <w:sz w:val="24"/>
                <w:szCs w:val="24"/>
              </w:rPr>
              <w:t>Designation/Title</w:t>
            </w:r>
          </w:p>
        </w:tc>
        <w:tc>
          <w:tcPr>
            <w:tcW w:w="6529" w:type="dxa"/>
          </w:tcPr>
          <w:p w14:paraId="77F923D2" w14:textId="77777777" w:rsidR="001F340B" w:rsidRPr="003C1705" w:rsidRDefault="00A73F00" w:rsidP="003C1705">
            <w:pPr>
              <w:pStyle w:val="TableText"/>
              <w:spacing w:line="480" w:lineRule="auto"/>
              <w:rPr>
                <w:sz w:val="24"/>
                <w:szCs w:val="24"/>
              </w:rPr>
            </w:pPr>
            <w:r w:rsidRPr="003C1705">
              <w:rPr>
                <w:b/>
                <w:bCs/>
                <w:sz w:val="24"/>
                <w:szCs w:val="24"/>
              </w:rPr>
              <w:t> Faculty Member</w:t>
            </w:r>
          </w:p>
          <w:p w14:paraId="2BE028F9" w14:textId="77777777" w:rsidR="001F340B" w:rsidRPr="003C1705" w:rsidRDefault="00A73F00" w:rsidP="003C1705">
            <w:pPr>
              <w:pStyle w:val="TableText"/>
              <w:spacing w:line="480" w:lineRule="auto"/>
              <w:rPr>
                <w:sz w:val="24"/>
                <w:szCs w:val="24"/>
              </w:rPr>
            </w:pPr>
            <w:r w:rsidRPr="003C1705">
              <w:rPr>
                <w:b/>
                <w:bCs/>
                <w:sz w:val="24"/>
                <w:szCs w:val="24"/>
              </w:rPr>
              <w:t> </w:t>
            </w:r>
          </w:p>
        </w:tc>
      </w:tr>
      <w:tr w:rsidR="001F340B" w:rsidRPr="003C1705" w14:paraId="49ABB7CB" w14:textId="77777777">
        <w:trPr>
          <w:cantSplit/>
        </w:trPr>
        <w:tc>
          <w:tcPr>
            <w:tcW w:w="1777" w:type="dxa"/>
            <w:vAlign w:val="center"/>
          </w:tcPr>
          <w:p w14:paraId="36FDE051" w14:textId="77777777" w:rsidR="001F340B" w:rsidRPr="003C1705" w:rsidRDefault="00A73F00" w:rsidP="003C1705">
            <w:pPr>
              <w:pStyle w:val="TableText"/>
              <w:spacing w:line="480" w:lineRule="auto"/>
              <w:rPr>
                <w:sz w:val="24"/>
                <w:szCs w:val="24"/>
              </w:rPr>
            </w:pPr>
            <w:r w:rsidRPr="003C1705">
              <w:rPr>
                <w:sz w:val="24"/>
                <w:szCs w:val="24"/>
              </w:rPr>
              <w:t>Date</w:t>
            </w:r>
          </w:p>
        </w:tc>
        <w:tc>
          <w:tcPr>
            <w:tcW w:w="6529" w:type="dxa"/>
          </w:tcPr>
          <w:p w14:paraId="4493576C" w14:textId="77777777" w:rsidR="001F340B" w:rsidRPr="003C1705" w:rsidRDefault="00A73F00" w:rsidP="003C1705">
            <w:pPr>
              <w:pStyle w:val="TableText"/>
              <w:spacing w:line="480" w:lineRule="auto"/>
              <w:rPr>
                <w:sz w:val="24"/>
                <w:szCs w:val="24"/>
              </w:rPr>
            </w:pPr>
            <w:r w:rsidRPr="003C1705">
              <w:rPr>
                <w:b/>
                <w:bCs/>
                <w:sz w:val="24"/>
                <w:szCs w:val="24"/>
              </w:rPr>
              <w:t> </w:t>
            </w:r>
          </w:p>
          <w:p w14:paraId="638D9576" w14:textId="77777777" w:rsidR="001F340B" w:rsidRPr="003C1705" w:rsidRDefault="00A73F00" w:rsidP="003C1705">
            <w:pPr>
              <w:pStyle w:val="TableText"/>
              <w:spacing w:line="480" w:lineRule="auto"/>
              <w:rPr>
                <w:sz w:val="24"/>
                <w:szCs w:val="24"/>
              </w:rPr>
            </w:pPr>
            <w:r w:rsidRPr="003C1705">
              <w:rPr>
                <w:b/>
                <w:bCs/>
                <w:sz w:val="24"/>
                <w:szCs w:val="24"/>
              </w:rPr>
              <w:t> </w:t>
            </w:r>
            <w:r w:rsidR="006F0890" w:rsidRPr="003C1705">
              <w:rPr>
                <w:b/>
                <w:bCs/>
                <w:sz w:val="24"/>
                <w:szCs w:val="24"/>
              </w:rPr>
              <w:t>May 31</w:t>
            </w:r>
            <w:r w:rsidRPr="003C1705">
              <w:rPr>
                <w:b/>
                <w:bCs/>
                <w:sz w:val="24"/>
                <w:szCs w:val="24"/>
              </w:rPr>
              <w:t>, 2026</w:t>
            </w:r>
          </w:p>
        </w:tc>
      </w:tr>
    </w:tbl>
    <w:p w14:paraId="5BB6BE1C" w14:textId="77777777" w:rsidR="005F499C" w:rsidRPr="003C1705" w:rsidRDefault="005F499C" w:rsidP="003C1705">
      <w:pPr>
        <w:spacing w:line="480" w:lineRule="auto"/>
      </w:pPr>
    </w:p>
    <w:sectPr w:rsidR="005F499C" w:rsidRPr="003C1705">
      <w:headerReference w:type="default" r:id="rId37"/>
      <w:footerReference w:type="default" r:id="rId38"/>
      <w:pgSz w:w="11906" w:h="16838"/>
      <w:pgMar w:top="1440" w:right="1440" w:bottom="1440" w:left="216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3EF9E7" w14:textId="77777777" w:rsidR="00764E25" w:rsidRDefault="00764E25">
      <w:r>
        <w:separator/>
      </w:r>
    </w:p>
  </w:endnote>
  <w:endnote w:type="continuationSeparator" w:id="0">
    <w:p w14:paraId="16C63242" w14:textId="77777777" w:rsidR="00764E25" w:rsidRDefault="00764E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19D3A8BF-1D1D-440C-B9B1-F5A02F3B5545}"/>
  </w:font>
  <w:font w:name="Cambria Math">
    <w:panose1 w:val="02040503050406030204"/>
    <w:charset w:val="00"/>
    <w:family w:val="roman"/>
    <w:pitch w:val="variable"/>
    <w:sig w:usb0="E00006FF" w:usb1="420024FF" w:usb2="02000000" w:usb3="00000000" w:csb0="0000019F" w:csb1="00000000"/>
    <w:embedRegular r:id="rId2" w:fontKey="{23DB6E10-AF66-4F27-AB26-BDAF87E4B7FB}"/>
    <w:embedItalic r:id="rId3" w:fontKey="{DB5CC214-2DD2-4253-BEA4-69B189CE8088}"/>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embedRegular r:id="rId4" w:fontKey="{C9E3D52D-7B82-459A-8322-0E5178B76FC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5" w:fontKey="{E835283D-D50C-4DCB-A991-5251EFF2E0A8}"/>
  </w:font>
  <w:font w:name="Angsana New">
    <w:panose1 w:val="02020603050405020304"/>
    <w:charset w:val="00"/>
    <w:family w:val="roman"/>
    <w:pitch w:val="variable"/>
    <w:sig w:usb0="81000003" w:usb1="00000000" w:usb2="00000000" w:usb3="00000000" w:csb0="00010001" w:csb1="00000000"/>
    <w:embedRegular r:id="rId6" w:fontKey="{8DF9D5BE-53B7-4F24-BEFB-5B3B20A403BA}"/>
  </w:font>
  <w:font w:name="Cambria">
    <w:panose1 w:val="02040503050406030204"/>
    <w:charset w:val="00"/>
    <w:family w:val="roman"/>
    <w:pitch w:val="variable"/>
    <w:sig w:usb0="E00006FF" w:usb1="420024FF" w:usb2="02000000" w:usb3="00000000" w:csb0="0000019F" w:csb1="00000000"/>
    <w:embedRegular r:id="rId7" w:fontKey="{6159D7D1-DFAA-447C-9D1C-75FACB5067C1}"/>
  </w:font>
  <w:font w:name="Cordia New">
    <w:panose1 w:val="020B0304020202020204"/>
    <w:charset w:val="00"/>
    <w:family w:val="swiss"/>
    <w:pitch w:val="variable"/>
    <w:sig w:usb0="81000003" w:usb1="00000000" w:usb2="00000000" w:usb3="00000000" w:csb0="00010001" w:csb1="00000000"/>
    <w:embedRegular r:id="rId8" w:fontKey="{49D3544A-E343-4824-AC31-C78066E1C6F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75EDAB" w14:textId="77777777" w:rsidR="005F499C" w:rsidRDefault="005F499C"/>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273499" w14:textId="77777777" w:rsidR="005F499C" w:rsidRDefault="00000000">
    <w:pPr>
      <w:jc w:val="center"/>
    </w:pPr>
    <w:r>
      <w:fldChar w:fldCharType="begin"/>
    </w:r>
    <w:r>
      <w:instrText xml:space="preserve"> PAGE </w:instrText>
    </w:r>
    <w:r>
      <w:fldChar w:fldCharType="separate"/>
    </w:r>
    <w: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BC52B8" w14:textId="77777777" w:rsidR="005F499C" w:rsidRDefault="00000000">
    <w:pPr>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490397" w14:textId="77777777" w:rsidR="00764E25" w:rsidRDefault="00764E25">
      <w:r>
        <w:separator/>
      </w:r>
    </w:p>
  </w:footnote>
  <w:footnote w:type="continuationSeparator" w:id="0">
    <w:p w14:paraId="455B463C" w14:textId="77777777" w:rsidR="00764E25" w:rsidRDefault="00764E2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D83127" w14:textId="77777777" w:rsidR="005F499C" w:rsidRDefault="005F499C"/>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EAB3EC" w14:textId="77777777" w:rsidR="005F499C" w:rsidRDefault="005F499C"/>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7B8CC5" w14:textId="77777777" w:rsidR="005F499C" w:rsidRDefault="005F499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37861"/>
    <w:multiLevelType w:val="multilevel"/>
    <w:tmpl w:val="CB66B59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AF903C1"/>
    <w:multiLevelType w:val="multilevel"/>
    <w:tmpl w:val="7F4E3A3A"/>
    <w:lvl w:ilvl="0">
      <w:start w:val="1"/>
      <w:numFmt w:val="decimal"/>
      <w:lvlText w:val="%1."/>
      <w:lvlJc w:val="left"/>
      <w:pPr>
        <w:ind w:left="720" w:hanging="360"/>
      </w:pPr>
      <w:rPr>
        <w:b w:val="0"/>
        <w:bCs w:val="0"/>
        <w:color w:val="00000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 w15:restartNumberingAfterBreak="0">
    <w:nsid w:val="400C4008"/>
    <w:multiLevelType w:val="multilevel"/>
    <w:tmpl w:val="65782690"/>
    <w:lvl w:ilvl="0">
      <w:start w:val="1"/>
      <w:numFmt w:val="decimal"/>
      <w:lvlText w:val="%1."/>
      <w:lvlJc w:val="left"/>
      <w:pPr>
        <w:ind w:left="720" w:hanging="360"/>
      </w:pPr>
      <w:rPr>
        <w:b w:val="0"/>
        <w:bCs w:val="0"/>
        <w:color w:val="00000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 w15:restartNumberingAfterBreak="0">
    <w:nsid w:val="54FF7B24"/>
    <w:multiLevelType w:val="multilevel"/>
    <w:tmpl w:val="E522049A"/>
    <w:lvl w:ilvl="0">
      <w:start w:val="1"/>
      <w:numFmt w:val="decimal"/>
      <w:lvlText w:val="%1."/>
      <w:lvlJc w:val="left"/>
      <w:pPr>
        <w:ind w:left="720" w:hanging="360"/>
      </w:pPr>
      <w:rPr>
        <w:b w:val="0"/>
        <w:bCs w:val="0"/>
        <w:color w:val="00000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4" w15:restartNumberingAfterBreak="0">
    <w:nsid w:val="5E681836"/>
    <w:multiLevelType w:val="multilevel"/>
    <w:tmpl w:val="F9DAE7DE"/>
    <w:lvl w:ilvl="0">
      <w:start w:val="1"/>
      <w:numFmt w:val="decimal"/>
      <w:lvlText w:val="%1."/>
      <w:lvlJc w:val="left"/>
      <w:pPr>
        <w:ind w:left="720" w:hanging="360"/>
      </w:pPr>
      <w:rPr>
        <w:b w:val="0"/>
        <w:bCs w:val="0"/>
        <w:color w:val="00000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5" w15:restartNumberingAfterBreak="0">
    <w:nsid w:val="75A45730"/>
    <w:multiLevelType w:val="multilevel"/>
    <w:tmpl w:val="472E32E0"/>
    <w:lvl w:ilvl="0">
      <w:start w:val="1"/>
      <w:numFmt w:val="upp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239295075">
    <w:abstractNumId w:val="4"/>
  </w:num>
  <w:num w:numId="2" w16cid:durableId="610818453">
    <w:abstractNumId w:val="5"/>
  </w:num>
  <w:num w:numId="3" w16cid:durableId="1941405279">
    <w:abstractNumId w:val="0"/>
  </w:num>
  <w:num w:numId="4" w16cid:durableId="404650020">
    <w:abstractNumId w:val="1"/>
  </w:num>
  <w:num w:numId="5" w16cid:durableId="1536775592">
    <w:abstractNumId w:val="3"/>
  </w:num>
  <w:num w:numId="6" w16cid:durableId="129860407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340B"/>
    <w:rsid w:val="00032913"/>
    <w:rsid w:val="0005650C"/>
    <w:rsid w:val="000B0704"/>
    <w:rsid w:val="000B5251"/>
    <w:rsid w:val="000D5C78"/>
    <w:rsid w:val="000F3BA4"/>
    <w:rsid w:val="001A43A9"/>
    <w:rsid w:val="001F340B"/>
    <w:rsid w:val="002374CD"/>
    <w:rsid w:val="002429C0"/>
    <w:rsid w:val="0024527A"/>
    <w:rsid w:val="002D020C"/>
    <w:rsid w:val="002F167E"/>
    <w:rsid w:val="00304F19"/>
    <w:rsid w:val="00330372"/>
    <w:rsid w:val="003431CC"/>
    <w:rsid w:val="00345ACB"/>
    <w:rsid w:val="003A62A2"/>
    <w:rsid w:val="003C1705"/>
    <w:rsid w:val="00444453"/>
    <w:rsid w:val="004A277F"/>
    <w:rsid w:val="0050789B"/>
    <w:rsid w:val="00544DC9"/>
    <w:rsid w:val="005B1048"/>
    <w:rsid w:val="005B18D0"/>
    <w:rsid w:val="005B27E0"/>
    <w:rsid w:val="005F499C"/>
    <w:rsid w:val="006121FB"/>
    <w:rsid w:val="006242AA"/>
    <w:rsid w:val="0067221C"/>
    <w:rsid w:val="006B40F5"/>
    <w:rsid w:val="006D2739"/>
    <w:rsid w:val="006F0890"/>
    <w:rsid w:val="00716926"/>
    <w:rsid w:val="00751E58"/>
    <w:rsid w:val="00755098"/>
    <w:rsid w:val="00764E25"/>
    <w:rsid w:val="0078108F"/>
    <w:rsid w:val="007C209D"/>
    <w:rsid w:val="007D3FCF"/>
    <w:rsid w:val="008019D0"/>
    <w:rsid w:val="00837BC8"/>
    <w:rsid w:val="008426FA"/>
    <w:rsid w:val="0084466C"/>
    <w:rsid w:val="008F640F"/>
    <w:rsid w:val="00987D86"/>
    <w:rsid w:val="009934C6"/>
    <w:rsid w:val="009A6D56"/>
    <w:rsid w:val="009C24F3"/>
    <w:rsid w:val="00A03A97"/>
    <w:rsid w:val="00A26579"/>
    <w:rsid w:val="00A73F00"/>
    <w:rsid w:val="00AD675A"/>
    <w:rsid w:val="00AD6829"/>
    <w:rsid w:val="00AE6291"/>
    <w:rsid w:val="00C27A2D"/>
    <w:rsid w:val="00C464E9"/>
    <w:rsid w:val="00CC42D6"/>
    <w:rsid w:val="00CD5E1D"/>
    <w:rsid w:val="00CF2538"/>
    <w:rsid w:val="00D033EA"/>
    <w:rsid w:val="00D8289F"/>
  </w:rsids>
  <m:mathPr>
    <m:mathFont m:val="Cambria Math"/>
    <m:brkBin m:val="before"/>
    <m:brkBinSub m:val="--"/>
    <m:smallFrac m:val="0"/>
    <m:dispDef/>
    <m:lMargin m:val="0"/>
    <m:rMargin m:val="0"/>
    <m:defJc m:val="centerGroup"/>
    <m:wrapIndent m:val="1440"/>
    <m:intLim m:val="subSup"/>
    <m:naryLim m:val="undOvr"/>
  </m:mathPr>
  <w:themeFontLang w:val="en-PH"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255EC6"/>
  <w15:docId w15:val="{E8B220C0-6E52-4402-949B-DE294DDD3B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PH"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ThesisBody"/>
    <w:uiPriority w:val="9"/>
    <w:qFormat/>
    <w:pPr>
      <w:keepNext/>
      <w:keepLines/>
      <w:spacing w:after="360"/>
      <w:jc w:val="center"/>
      <w:outlineLvl w:val="0"/>
    </w:pPr>
    <w:rPr>
      <w:b/>
      <w:bCs/>
    </w:rPr>
  </w:style>
  <w:style w:type="paragraph" w:styleId="Heading2">
    <w:name w:val="heading 2"/>
    <w:basedOn w:val="Normal"/>
    <w:next w:val="ThesisBody"/>
    <w:uiPriority w:val="9"/>
    <w:unhideWhenUsed/>
    <w:qFormat/>
    <w:pPr>
      <w:keepNext/>
      <w:keepLines/>
      <w:spacing w:before="240" w:after="240"/>
      <w:outlineLvl w:val="1"/>
    </w:pPr>
    <w:rPr>
      <w:b/>
      <w:bCs/>
    </w:rPr>
  </w:style>
  <w:style w:type="paragraph" w:styleId="Heading3">
    <w:name w:val="heading 3"/>
    <w:basedOn w:val="Normal"/>
    <w:next w:val="ThesisBody"/>
    <w:uiPriority w:val="9"/>
    <w:unhideWhenUsed/>
    <w:qFormat/>
    <w:pPr>
      <w:keepNext/>
      <w:keepLines/>
      <w:spacing w:before="240" w:after="240"/>
      <w:outlineLvl w:val="2"/>
    </w:pPr>
    <w:rPr>
      <w:b/>
      <w:bCs/>
      <w:i/>
      <w:iCs/>
    </w:rPr>
  </w:style>
  <w:style w:type="paragraph" w:styleId="Heading4">
    <w:name w:val="heading 4"/>
    <w:basedOn w:val="Normal"/>
    <w:next w:val="ThesisBody"/>
    <w:uiPriority w:val="9"/>
    <w:unhideWhenUsed/>
    <w:qFormat/>
    <w:pPr>
      <w:keepNext/>
      <w:keepLines/>
      <w:spacing w:before="240" w:after="24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8" w:type="dxa"/>
        <w:bottom w:w="0" w:type="dxa"/>
        <w:right w:w="108" w:type="dxa"/>
      </w:tblCellMar>
    </w:tblPr>
  </w:style>
  <w:style w:type="table" w:customStyle="1" w:styleId="a0">
    <w:basedOn w:val="TableNormal0"/>
    <w:pPr>
      <w:ind w:hanging="1"/>
    </w:pPr>
    <w:tblPr>
      <w:tblStyleRowBandSize w:val="1"/>
      <w:tblStyleColBandSize w:val="1"/>
      <w:tblCellMar>
        <w:top w:w="0" w:type="dxa"/>
        <w:left w:w="108" w:type="dxa"/>
        <w:bottom w:w="0" w:type="dxa"/>
        <w:right w:w="108" w:type="dxa"/>
      </w:tblCellMar>
    </w:tblPr>
  </w:style>
  <w:style w:type="table" w:customStyle="1" w:styleId="a1">
    <w:basedOn w:val="TableNormal0"/>
    <w:pPr>
      <w:ind w:hanging="1"/>
    </w:pPr>
    <w:tblPr>
      <w:tblStyleRowBandSize w:val="1"/>
      <w:tblStyleColBandSize w:val="1"/>
      <w:tblCellMar>
        <w:top w:w="0" w:type="dxa"/>
        <w:left w:w="108" w:type="dxa"/>
        <w:bottom w:w="0" w:type="dxa"/>
        <w:right w:w="108" w:type="dxa"/>
      </w:tblCellMar>
    </w:tblPr>
  </w:style>
  <w:style w:type="table" w:customStyle="1" w:styleId="a2">
    <w:basedOn w:val="TableNormal0"/>
    <w:pPr>
      <w:ind w:hanging="1"/>
    </w:pPr>
    <w:tblPr>
      <w:tblStyleRowBandSize w:val="1"/>
      <w:tblStyleColBandSize w:val="1"/>
      <w:tblCellMar>
        <w:top w:w="0" w:type="dxa"/>
        <w:left w:w="108" w:type="dxa"/>
        <w:bottom w:w="0" w:type="dxa"/>
        <w:right w:w="108" w:type="dxa"/>
      </w:tblCellMar>
    </w:tblPr>
  </w:style>
  <w:style w:type="table" w:customStyle="1" w:styleId="a3">
    <w:basedOn w:val="TableNormal0"/>
    <w:pPr>
      <w:ind w:hanging="1"/>
    </w:pPr>
    <w:tblPr>
      <w:tblStyleRowBandSize w:val="1"/>
      <w:tblStyleColBandSize w:val="1"/>
      <w:tblCellMar>
        <w:top w:w="0" w:type="dxa"/>
        <w:left w:w="108" w:type="dxa"/>
        <w:bottom w:w="0" w:type="dxa"/>
        <w:right w:w="108" w:type="dxa"/>
      </w:tblCellMar>
    </w:tblPr>
  </w:style>
  <w:style w:type="table" w:customStyle="1" w:styleId="a4">
    <w:basedOn w:val="TableNormal0"/>
    <w:pPr>
      <w:ind w:hanging="1"/>
    </w:pPr>
    <w:tblPr>
      <w:tblStyleRowBandSize w:val="1"/>
      <w:tblStyleColBandSize w:val="1"/>
      <w:tblCellMar>
        <w:top w:w="0" w:type="dxa"/>
        <w:left w:w="108" w:type="dxa"/>
        <w:bottom w:w="0" w:type="dxa"/>
        <w:right w:w="108" w:type="dxa"/>
      </w:tblCellMar>
    </w:tblPr>
  </w:style>
  <w:style w:type="table" w:customStyle="1" w:styleId="a5">
    <w:basedOn w:val="TableNormal0"/>
    <w:pPr>
      <w:ind w:hanging="1"/>
    </w:pPr>
    <w:tblPr>
      <w:tblStyleRowBandSize w:val="1"/>
      <w:tblStyleColBandSize w:val="1"/>
      <w:tblCellMar>
        <w:top w:w="0" w:type="dxa"/>
        <w:left w:w="108" w:type="dxa"/>
        <w:bottom w:w="0" w:type="dxa"/>
        <w:right w:w="108" w:type="dxa"/>
      </w:tblCellMar>
    </w:tblPr>
  </w:style>
  <w:style w:type="table" w:customStyle="1" w:styleId="a6">
    <w:basedOn w:val="TableNormal0"/>
    <w:pPr>
      <w:ind w:hanging="1"/>
    </w:pPr>
    <w:tblPr>
      <w:tblStyleRowBandSize w:val="1"/>
      <w:tblStyleColBandSize w:val="1"/>
      <w:tblCellMar>
        <w:top w:w="0" w:type="dxa"/>
        <w:left w:w="108" w:type="dxa"/>
        <w:bottom w:w="0" w:type="dxa"/>
        <w:right w:w="108" w:type="dxa"/>
      </w:tblCellMar>
    </w:tblPr>
  </w:style>
  <w:style w:type="table" w:customStyle="1" w:styleId="a7">
    <w:basedOn w:val="TableNormal0"/>
    <w:pPr>
      <w:ind w:hanging="1"/>
    </w:pPr>
    <w:tblPr>
      <w:tblStyleRowBandSize w:val="1"/>
      <w:tblStyleColBandSize w:val="1"/>
      <w:tblCellMar>
        <w:top w:w="0" w:type="dxa"/>
        <w:left w:w="108" w:type="dxa"/>
        <w:bottom w:w="0" w:type="dxa"/>
        <w:right w:w="108" w:type="dxa"/>
      </w:tblCellMar>
    </w:tblPr>
  </w:style>
  <w:style w:type="table" w:customStyle="1" w:styleId="a8">
    <w:basedOn w:val="TableNormal0"/>
    <w:pPr>
      <w:ind w:hanging="1"/>
    </w:pPr>
    <w:tblPr>
      <w:tblStyleRowBandSize w:val="1"/>
      <w:tblStyleColBandSize w:val="1"/>
      <w:tblCellMar>
        <w:top w:w="0" w:type="dxa"/>
        <w:left w:w="108" w:type="dxa"/>
        <w:bottom w:w="0" w:type="dxa"/>
        <w:right w:w="108" w:type="dxa"/>
      </w:tblCellMar>
    </w:tblPr>
  </w:style>
  <w:style w:type="table" w:customStyle="1" w:styleId="a9">
    <w:basedOn w:val="TableNormal0"/>
    <w:pPr>
      <w:ind w:hanging="1"/>
    </w:pPr>
    <w:tblPr>
      <w:tblStyleRowBandSize w:val="1"/>
      <w:tblStyleColBandSize w:val="1"/>
      <w:tblCellMar>
        <w:top w:w="0" w:type="dxa"/>
        <w:left w:w="108" w:type="dxa"/>
        <w:bottom w:w="0" w:type="dxa"/>
        <w:right w:w="108" w:type="dxa"/>
      </w:tblCellMar>
    </w:tblPr>
  </w:style>
  <w:style w:type="table" w:customStyle="1" w:styleId="aa">
    <w:basedOn w:val="TableNormal0"/>
    <w:pPr>
      <w:ind w:hanging="1"/>
    </w:pPr>
    <w:tblPr>
      <w:tblStyleRowBandSize w:val="1"/>
      <w:tblStyleColBandSize w:val="1"/>
      <w:tblCellMar>
        <w:top w:w="0" w:type="dxa"/>
        <w:left w:w="108" w:type="dxa"/>
        <w:bottom w:w="0" w:type="dxa"/>
        <w:right w:w="108" w:type="dxa"/>
      </w:tblCellMar>
    </w:tblPr>
  </w:style>
  <w:style w:type="table" w:customStyle="1" w:styleId="ab">
    <w:basedOn w:val="TableNormal0"/>
    <w:pPr>
      <w:ind w:hanging="1"/>
    </w:pPr>
    <w:tblPr>
      <w:tblStyleRowBandSize w:val="1"/>
      <w:tblStyleColBandSize w:val="1"/>
      <w:tblCellMar>
        <w:top w:w="0" w:type="dxa"/>
        <w:left w:w="108" w:type="dxa"/>
        <w:bottom w:w="0" w:type="dxa"/>
        <w:right w:w="108" w:type="dxa"/>
      </w:tblCellMar>
    </w:tblPr>
  </w:style>
  <w:style w:type="table" w:customStyle="1" w:styleId="ac">
    <w:basedOn w:val="TableNormal0"/>
    <w:pPr>
      <w:ind w:hanging="1"/>
    </w:pPr>
    <w:tblPr>
      <w:tblStyleRowBandSize w:val="1"/>
      <w:tblStyleColBandSize w:val="1"/>
      <w:tblCellMar>
        <w:top w:w="0" w:type="dxa"/>
        <w:left w:w="108" w:type="dxa"/>
        <w:bottom w:w="0" w:type="dxa"/>
        <w:right w:w="108" w:type="dxa"/>
      </w:tblCellMar>
    </w:tblPr>
  </w:style>
  <w:style w:type="table" w:customStyle="1" w:styleId="ad">
    <w:basedOn w:val="TableNormal0"/>
    <w:pPr>
      <w:ind w:hanging="1"/>
    </w:pPr>
    <w:tblPr>
      <w:tblStyleRowBandSize w:val="1"/>
      <w:tblStyleColBandSize w:val="1"/>
      <w:tblCellMar>
        <w:top w:w="0" w:type="dxa"/>
        <w:left w:w="108" w:type="dxa"/>
        <w:bottom w:w="0" w:type="dxa"/>
        <w:right w:w="108" w:type="dxa"/>
      </w:tblCellMar>
    </w:tblPr>
  </w:style>
  <w:style w:type="table" w:customStyle="1" w:styleId="ae">
    <w:basedOn w:val="TableNormal0"/>
    <w:pPr>
      <w:ind w:hanging="1"/>
    </w:pPr>
    <w:tblPr>
      <w:tblStyleRowBandSize w:val="1"/>
      <w:tblStyleColBandSize w:val="1"/>
      <w:tblCellMar>
        <w:top w:w="0" w:type="dxa"/>
        <w:left w:w="108" w:type="dxa"/>
        <w:bottom w:w="0" w:type="dxa"/>
        <w:right w:w="108" w:type="dxa"/>
      </w:tblCellMar>
    </w:tblPr>
  </w:style>
  <w:style w:type="table" w:customStyle="1" w:styleId="af">
    <w:basedOn w:val="TableNormal0"/>
    <w:pPr>
      <w:ind w:hanging="1"/>
    </w:pPr>
    <w:tblPr>
      <w:tblStyleRowBandSize w:val="1"/>
      <w:tblStyleColBandSize w:val="1"/>
      <w:tblCellMar>
        <w:top w:w="0" w:type="dxa"/>
        <w:left w:w="108" w:type="dxa"/>
        <w:bottom w:w="0" w:type="dxa"/>
        <w:right w:w="108" w:type="dxa"/>
      </w:tblCellMar>
    </w:tblPr>
  </w:style>
  <w:style w:type="table" w:customStyle="1" w:styleId="af0">
    <w:basedOn w:val="TableNormal0"/>
    <w:pPr>
      <w:ind w:hanging="1"/>
    </w:pPr>
    <w:tblPr>
      <w:tblStyleRowBandSize w:val="1"/>
      <w:tblStyleColBandSize w:val="1"/>
      <w:tblCellMar>
        <w:top w:w="0" w:type="dxa"/>
        <w:left w:w="108" w:type="dxa"/>
        <w:bottom w:w="0" w:type="dxa"/>
        <w:right w:w="108" w:type="dxa"/>
      </w:tblCellMar>
    </w:tblPr>
  </w:style>
  <w:style w:type="table" w:customStyle="1" w:styleId="af1">
    <w:basedOn w:val="TableNormal0"/>
    <w:pPr>
      <w:ind w:hanging="1"/>
    </w:pPr>
    <w:tblPr>
      <w:tblStyleRowBandSize w:val="1"/>
      <w:tblStyleColBandSize w:val="1"/>
      <w:tblCellMar>
        <w:top w:w="0" w:type="dxa"/>
        <w:left w:w="108" w:type="dxa"/>
        <w:bottom w:w="0" w:type="dxa"/>
        <w:right w:w="108" w:type="dxa"/>
      </w:tblCellMar>
    </w:tblPr>
  </w:style>
  <w:style w:type="table" w:customStyle="1" w:styleId="af2">
    <w:basedOn w:val="TableNormal0"/>
    <w:pPr>
      <w:ind w:hanging="1"/>
    </w:pPr>
    <w:tblPr>
      <w:tblStyleRowBandSize w:val="1"/>
      <w:tblStyleColBandSize w:val="1"/>
      <w:tblCellMar>
        <w:top w:w="0" w:type="dxa"/>
        <w:left w:w="108" w:type="dxa"/>
        <w:bottom w:w="0" w:type="dxa"/>
        <w:right w:w="108" w:type="dxa"/>
      </w:tblCellMar>
    </w:tblPr>
  </w:style>
  <w:style w:type="table" w:customStyle="1" w:styleId="af3">
    <w:basedOn w:val="TableNormal0"/>
    <w:tblPr>
      <w:tblStyleRowBandSize w:val="1"/>
      <w:tblStyleColBandSize w:val="1"/>
      <w:tblCellMar>
        <w:top w:w="0" w:type="dxa"/>
        <w:left w:w="108" w:type="dxa"/>
        <w:bottom w:w="0" w:type="dxa"/>
        <w:right w:w="108" w:type="dxa"/>
      </w:tblCellMar>
    </w:tblPr>
  </w:style>
  <w:style w:type="paragraph" w:customStyle="1" w:styleId="ThesisBody">
    <w:name w:val="Thesis Body"/>
    <w:basedOn w:val="Normal"/>
    <w:qFormat/>
    <w:pPr>
      <w:spacing w:line="480" w:lineRule="auto"/>
      <w:ind w:firstLine="720"/>
      <w:jc w:val="both"/>
    </w:pPr>
  </w:style>
  <w:style w:type="paragraph" w:customStyle="1" w:styleId="ThesisList">
    <w:name w:val="Thesis List"/>
    <w:basedOn w:val="Normal"/>
    <w:qFormat/>
    <w:pPr>
      <w:spacing w:line="480" w:lineRule="auto"/>
      <w:ind w:left="1080" w:hanging="360"/>
      <w:jc w:val="both"/>
    </w:pPr>
  </w:style>
  <w:style w:type="paragraph" w:customStyle="1" w:styleId="ThesisReference">
    <w:name w:val="Thesis Reference"/>
    <w:basedOn w:val="Normal"/>
    <w:qFormat/>
    <w:pPr>
      <w:spacing w:after="240"/>
      <w:ind w:left="720" w:hanging="720"/>
    </w:pPr>
  </w:style>
  <w:style w:type="paragraph" w:customStyle="1" w:styleId="ThesisFigure">
    <w:name w:val="Thesis Figure"/>
    <w:basedOn w:val="Normal"/>
    <w:next w:val="ThesisCaption"/>
    <w:qFormat/>
    <w:pPr>
      <w:keepNext/>
      <w:spacing w:before="240" w:after="120"/>
      <w:jc w:val="center"/>
    </w:pPr>
  </w:style>
  <w:style w:type="paragraph" w:customStyle="1" w:styleId="ThesisCaption">
    <w:name w:val="Thesis Caption"/>
    <w:basedOn w:val="Normal"/>
    <w:next w:val="ThesisBody"/>
    <w:qFormat/>
    <w:pPr>
      <w:spacing w:after="360"/>
      <w:jc w:val="center"/>
    </w:pPr>
  </w:style>
  <w:style w:type="paragraph" w:customStyle="1" w:styleId="ThesisEquation">
    <w:name w:val="Thesis Equation"/>
    <w:basedOn w:val="Normal"/>
    <w:qFormat/>
    <w:pPr>
      <w:spacing w:before="120" w:after="120"/>
      <w:jc w:val="center"/>
    </w:pPr>
  </w:style>
  <w:style w:type="paragraph" w:customStyle="1" w:styleId="TableText">
    <w:name w:val="Table Text"/>
    <w:basedOn w:val="Normal"/>
    <w:qFormat/>
    <w:rPr>
      <w:sz w:val="22"/>
      <w:szCs w:val="22"/>
    </w:rPr>
  </w:style>
  <w:style w:type="paragraph" w:customStyle="1" w:styleId="FrontMatterHeading">
    <w:name w:val="Front Matter Heading"/>
    <w:basedOn w:val="Normal"/>
    <w:next w:val="Normal"/>
    <w:qFormat/>
    <w:pPr>
      <w:keepNext/>
      <w:spacing w:after="360"/>
      <w:jc w:val="center"/>
    </w:pPr>
    <w:rPr>
      <w:b/>
      <w:bCs/>
    </w:rPr>
  </w:style>
  <w:style w:type="paragraph" w:customStyle="1" w:styleId="TitlePageText">
    <w:name w:val="Title Page Text"/>
    <w:basedOn w:val="Normal"/>
    <w:qFormat/>
    <w:pPr>
      <w:spacing w:after="240" w:line="360" w:lineRule="auto"/>
      <w:jc w:val="center"/>
    </w:pPr>
  </w:style>
  <w:style w:type="paragraph" w:styleId="TOC1">
    <w:name w:val="toc 1"/>
    <w:basedOn w:val="Normal"/>
    <w:next w:val="Normal"/>
    <w:uiPriority w:val="39"/>
    <w:unhideWhenUsed/>
    <w:pPr>
      <w:tabs>
        <w:tab w:val="right" w:leader="dot" w:pos="8306"/>
      </w:tabs>
      <w:spacing w:before="120" w:after="60"/>
      <w:ind w:right="567"/>
    </w:pPr>
    <w:rPr>
      <w:b/>
      <w:bCs/>
    </w:rPr>
  </w:style>
  <w:style w:type="paragraph" w:styleId="TOC2">
    <w:name w:val="toc 2"/>
    <w:basedOn w:val="Normal"/>
    <w:next w:val="Normal"/>
    <w:uiPriority w:val="39"/>
    <w:unhideWhenUsed/>
    <w:pPr>
      <w:tabs>
        <w:tab w:val="right" w:leader="dot" w:pos="8306"/>
      </w:tabs>
      <w:spacing w:after="60"/>
      <w:ind w:left="360" w:right="567"/>
    </w:pPr>
  </w:style>
  <w:style w:type="paragraph" w:styleId="TOC3">
    <w:name w:val="toc 3"/>
    <w:basedOn w:val="Normal"/>
    <w:next w:val="Normal"/>
    <w:uiPriority w:val="39"/>
    <w:unhideWhenUsed/>
    <w:pPr>
      <w:tabs>
        <w:tab w:val="right" w:leader="dot" w:pos="8306"/>
      </w:tabs>
      <w:spacing w:after="60"/>
      <w:ind w:left="720" w:right="56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hyperlink" Target="https://doi.org/10.1080/14780887.2020.1769238" TargetMode="External"/><Relationship Id="rId26" Type="http://schemas.openxmlformats.org/officeDocument/2006/relationships/hyperlink" Target="https://doi.org/10.1098/rstb.2018.0276" TargetMode="External"/><Relationship Id="rId39" Type="http://schemas.openxmlformats.org/officeDocument/2006/relationships/fontTable" Target="fontTable.xml"/><Relationship Id="rId21" Type="http://schemas.openxmlformats.org/officeDocument/2006/relationships/hyperlink" Target="https://doi.org/10.1038/s41598-022-09954-8" TargetMode="External"/><Relationship Id="rId34" Type="http://schemas.openxmlformats.org/officeDocument/2006/relationships/hyperlink" Target="https://www.who.int/southeastasia/outbreaks-and-emergencies/surveillance-and-alert" TargetMode="Externa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hyperlink" Target="https://doi.org/10.1080/14780887.2020.1769238" TargetMode="External"/><Relationship Id="rId25" Type="http://schemas.openxmlformats.org/officeDocument/2006/relationships/hyperlink" Target="https://doi.org/10.1371/journal.pone.0123755" TargetMode="External"/><Relationship Id="rId33" Type="http://schemas.openxmlformats.org/officeDocument/2006/relationships/hyperlink" Target="https://doi.org/10.3389/fpubh.2025.1609615" TargetMode="External"/><Relationship Id="rId38"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hyperlink" Target="https://doi.org/10.1038/s41598-022-09954-8" TargetMode="External"/><Relationship Id="rId29" Type="http://schemas.openxmlformats.org/officeDocument/2006/relationships/hyperlink" Target="https://doi.org/10.1016/j.techsoc.2023.102443"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yperlink" Target="https://doi.org/10.5210/ojphi.v12i1.10601" TargetMode="External"/><Relationship Id="rId32" Type="http://schemas.openxmlformats.org/officeDocument/2006/relationships/hyperlink" Target="https://doi.org/10.3390/tropicalmed9100250" TargetMode="External"/><Relationship Id="rId37" Type="http://schemas.openxmlformats.org/officeDocument/2006/relationships/header" Target="header3.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hyperlink" Target="https://doi.org/10.2196/37290" TargetMode="External"/><Relationship Id="rId28" Type="http://schemas.openxmlformats.org/officeDocument/2006/relationships/hyperlink" Target="https://doi.org/10.1038/s41598-024-56706-x" TargetMode="External"/><Relationship Id="rId36" Type="http://schemas.openxmlformats.org/officeDocument/2006/relationships/image" Target="media/image6.png"/><Relationship Id="rId10" Type="http://schemas.openxmlformats.org/officeDocument/2006/relationships/header" Target="header2.xml"/><Relationship Id="rId19" Type="http://schemas.openxmlformats.org/officeDocument/2006/relationships/hyperlink" Target="https://doi.org/10.1038/s43588-025-00798-6" TargetMode="External"/><Relationship Id="rId31" Type="http://schemas.openxmlformats.org/officeDocument/2006/relationships/hyperlink" Target="https://doi.org/10.1038/s41598-022-10512-5"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hyperlink" Target="https://doi.org/10.2196/37290" TargetMode="External"/><Relationship Id="rId27" Type="http://schemas.openxmlformats.org/officeDocument/2006/relationships/hyperlink" Target="https://doi.org/10.1038/s41598-024-56706-x" TargetMode="External"/><Relationship Id="rId30" Type="http://schemas.openxmlformats.org/officeDocument/2006/relationships/hyperlink" Target="https://doi.org/10.1016/j.imu.2022.101008" TargetMode="External"/><Relationship Id="rId35" Type="http://schemas.openxmlformats.org/officeDocument/2006/relationships/hyperlink" Target="https://www.who.int/news-room/fact-sheets/detail/dengue-and-severe-dengue" TargetMode="External"/><Relationship Id="rId8" Type="http://schemas.openxmlformats.org/officeDocument/2006/relationships/header" Target="header1.xml"/><Relationship Id="rId3" Type="http://schemas.openxmlformats.org/officeDocument/2006/relationships/styles" Target="styl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QmaAt6NMpoBhBr/YA/GEfuWHbg==">CgMxLjA4AHIhMVNPaEJDSThUUE1XS25KOWRNNkN3S3JWX0VZNHVrdEIt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130</TotalTime>
  <Pages>101</Pages>
  <Words>22974</Words>
  <Characters>130958</Characters>
  <Application>Microsoft Office Word</Application>
  <DocSecurity>0</DocSecurity>
  <Lines>1091</Lines>
  <Paragraphs>307</Paragraphs>
  <ScaleCrop>false</ScaleCrop>
  <Company/>
  <LinksUpToDate>false</LinksUpToDate>
  <CharactersWithSpaces>153625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Charlie Marzan</dc:creator>
  <cp:lastModifiedBy>Johren Mae Biscarra</cp:lastModifiedBy>
  <cp:revision>51</cp:revision>
  <cp:lastPrinted>2026-06-03T03:40:00Z</cp:lastPrinted>
  <dcterms:created xsi:type="dcterms:W3CDTF">2026-05-17T14:51:00Z</dcterms:created>
  <dcterms:modified xsi:type="dcterms:W3CDTF">2026-10-05T08:47:00Z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dd2756de-6929-4039-ad1a-0473359a4bfd</vt:lpwstr>
  </property>
</Properties>
</file>