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NIS2 Directive — Compliance Requirements Overview</w:t>
      </w:r>
    </w:p>
    <w:p>
      <w:pPr>
        <w:pStyle w:val="Heading1"/>
      </w:pPr>
      <w:r>
        <w:t>1. Introduction</w:t>
      </w:r>
    </w:p>
    <w:p>
      <w:r>
        <w:t>The European Union adopted the NIS2 Directive (Directive 2022/2555) in December 2022 to strengthen cybersecurity across all 27 member states. NIS2 replaces the original NIS Directive (2016/1148) and significantly expands the scope of regulated entities.</w:t>
      </w:r>
    </w:p>
    <w:p>
      <w:pPr>
        <w:pStyle w:val="Heading2"/>
      </w:pPr>
      <w:r>
        <w:t>1.1 Key Objectives</w:t>
      </w:r>
    </w:p>
    <w:p>
      <w:r>
        <w:t>The directive establishes three main objectives: first, to increase the overall level of cybersecurity in the EU; second, to reduce inconsistencies in resilience across member states; and third, to improve joint situational awareness and collective response capabilities.</w:t>
      </w:r>
    </w:p>
    <w:p>
      <w:r>
        <w:br w:type="page"/>
      </w:r>
    </w:p>
    <w:p>
      <w:pPr>
        <w:pStyle w:val="Heading1"/>
      </w:pPr>
      <w:r>
        <w:t>2. Compliance Requirements by Sector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Entity Type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Penalty (Max EUR)</w:t>
            </w:r>
          </w:p>
        </w:tc>
      </w:tr>
      <w:tr>
        <w:tc>
          <w:tcPr>
            <w:tcW w:type="dxa" w:w="2160"/>
          </w:tcPr>
          <w:p>
            <w:r>
              <w:t>Energy</w:t>
            </w:r>
          </w:p>
        </w:tc>
        <w:tc>
          <w:tcPr>
            <w:tcW w:type="dxa" w:w="2160"/>
          </w:tcPr>
          <w:p>
            <w:r>
              <w:t>Essential</w:t>
            </w:r>
          </w:p>
        </w:tc>
        <w:tc>
          <w:tcPr>
            <w:tcW w:type="dxa" w:w="2160"/>
          </w:tcPr>
          <w:p>
            <w:r>
              <w:t>October 2024</w:t>
            </w:r>
          </w:p>
        </w:tc>
        <w:tc>
          <w:tcPr>
            <w:tcW w:type="dxa" w:w="2160"/>
          </w:tcPr>
          <w:p>
            <w:r>
              <w:t>10,000,000</w:t>
            </w:r>
          </w:p>
        </w:tc>
      </w:tr>
      <w:tr>
        <w:tc>
          <w:tcPr>
            <w:tcW w:type="dxa" w:w="2160"/>
          </w:tcPr>
          <w:p>
            <w:r>
              <w:t>Transport</w:t>
            </w:r>
          </w:p>
        </w:tc>
        <w:tc>
          <w:tcPr>
            <w:tcW w:type="dxa" w:w="2160"/>
          </w:tcPr>
          <w:p>
            <w:r>
              <w:t>Essential</w:t>
            </w:r>
          </w:p>
        </w:tc>
        <w:tc>
          <w:tcPr>
            <w:tcW w:type="dxa" w:w="2160"/>
          </w:tcPr>
          <w:p>
            <w:r>
              <w:t>October 2024</w:t>
            </w:r>
          </w:p>
        </w:tc>
        <w:tc>
          <w:tcPr>
            <w:tcW w:type="dxa" w:w="2160"/>
          </w:tcPr>
          <w:p>
            <w:r>
              <w:t>10,000,000</w:t>
            </w:r>
          </w:p>
        </w:tc>
      </w:tr>
      <w:tr>
        <w:tc>
          <w:tcPr>
            <w:tcW w:type="dxa" w:w="2160"/>
          </w:tcPr>
          <w:p>
            <w:r>
              <w:t>Healthcare</w:t>
            </w:r>
          </w:p>
        </w:tc>
        <w:tc>
          <w:tcPr>
            <w:tcW w:type="dxa" w:w="2160"/>
          </w:tcPr>
          <w:p>
            <w:r>
              <w:t>Essential</w:t>
            </w:r>
          </w:p>
        </w:tc>
        <w:tc>
          <w:tcPr>
            <w:tcW w:type="dxa" w:w="2160"/>
          </w:tcPr>
          <w:p>
            <w:r>
              <w:t>October 2024</w:t>
            </w:r>
          </w:p>
        </w:tc>
        <w:tc>
          <w:tcPr>
            <w:tcW w:type="dxa" w:w="2160"/>
          </w:tcPr>
          <w:p>
            <w:r>
              <w:t>10,000,000</w:t>
            </w:r>
          </w:p>
        </w:tc>
      </w:tr>
      <w:tr>
        <w:tc>
          <w:tcPr>
            <w:tcW w:type="dxa" w:w="2160"/>
          </w:tcPr>
          <w:p>
            <w:r>
              <w:t>Digital Infrastructure</w:t>
            </w:r>
          </w:p>
        </w:tc>
        <w:tc>
          <w:tcPr>
            <w:tcW w:type="dxa" w:w="2160"/>
          </w:tcPr>
          <w:p>
            <w:r>
              <w:t>Essential</w:t>
            </w:r>
          </w:p>
        </w:tc>
        <w:tc>
          <w:tcPr>
            <w:tcW w:type="dxa" w:w="2160"/>
          </w:tcPr>
          <w:p>
            <w:r>
              <w:t>October 2024</w:t>
            </w:r>
          </w:p>
        </w:tc>
        <w:tc>
          <w:tcPr>
            <w:tcW w:type="dxa" w:w="2160"/>
          </w:tcPr>
          <w:p>
            <w:r>
              <w:t>10,000,000</w:t>
            </w:r>
          </w:p>
        </w:tc>
      </w:tr>
      <w:tr>
        <w:tc>
          <w:tcPr>
            <w:tcW w:type="dxa" w:w="2160"/>
          </w:tcPr>
          <w:p>
            <w:r>
              <w:t>Public Administration</w:t>
            </w:r>
          </w:p>
        </w:tc>
        <w:tc>
          <w:tcPr>
            <w:tcW w:type="dxa" w:w="2160"/>
          </w:tcPr>
          <w:p>
            <w:r>
              <w:t>Important</w:t>
            </w:r>
          </w:p>
        </w:tc>
        <w:tc>
          <w:tcPr>
            <w:tcW w:type="dxa" w:w="2160"/>
          </w:tcPr>
          <w:p>
            <w:r>
              <w:t>October 2024</w:t>
            </w:r>
          </w:p>
        </w:tc>
        <w:tc>
          <w:tcPr>
            <w:tcW w:type="dxa" w:w="2160"/>
          </w:tcPr>
          <w:p>
            <w:r>
              <w:t>7,000,000</w:t>
            </w:r>
          </w:p>
        </w:tc>
      </w:tr>
      <w:tr>
        <w:tc>
          <w:tcPr>
            <w:tcW w:type="dxa" w:w="2160"/>
          </w:tcPr>
          <w:p>
            <w:r>
              <w:t>Postal Services</w:t>
            </w:r>
          </w:p>
        </w:tc>
        <w:tc>
          <w:tcPr>
            <w:tcW w:type="dxa" w:w="2160"/>
          </w:tcPr>
          <w:p>
            <w:r>
              <w:t>Important</w:t>
            </w:r>
          </w:p>
        </w:tc>
        <w:tc>
          <w:tcPr>
            <w:tcW w:type="dxa" w:w="2160"/>
          </w:tcPr>
          <w:p>
            <w:r>
              <w:t>October 2024</w:t>
            </w:r>
          </w:p>
        </w:tc>
        <w:tc>
          <w:tcPr>
            <w:tcW w:type="dxa" w:w="2160"/>
          </w:tcPr>
          <w:p>
            <w:r>
              <w:t>7,000,000</w:t>
            </w:r>
          </w:p>
        </w:tc>
      </w:tr>
      <w:tr>
        <w:tc>
          <w:tcPr>
            <w:tcW w:type="dxa" w:w="2160"/>
          </w:tcPr>
          <w:p>
            <w:r>
              <w:t>Waste Management</w:t>
            </w:r>
          </w:p>
        </w:tc>
        <w:tc>
          <w:tcPr>
            <w:tcW w:type="dxa" w:w="2160"/>
          </w:tcPr>
          <w:p>
            <w:r>
              <w:t>Important</w:t>
            </w:r>
          </w:p>
        </w:tc>
        <w:tc>
          <w:tcPr>
            <w:tcW w:type="dxa" w:w="2160"/>
          </w:tcPr>
          <w:p>
            <w:r>
              <w:t>October 2024</w:t>
            </w:r>
          </w:p>
        </w:tc>
        <w:tc>
          <w:tcPr>
            <w:tcW w:type="dxa" w:w="2160"/>
          </w:tcPr>
          <w:p>
            <w:r>
              <w:t>7,000,000</w:t>
            </w:r>
          </w:p>
        </w:tc>
      </w:tr>
      <w:tr>
        <w:tc>
          <w:tcPr>
            <w:tcW w:type="dxa" w:w="2160"/>
          </w:tcPr>
          <w:p>
            <w:r>
              <w:t>Food Production</w:t>
            </w:r>
          </w:p>
        </w:tc>
        <w:tc>
          <w:tcPr>
            <w:tcW w:type="dxa" w:w="2160"/>
          </w:tcPr>
          <w:p>
            <w:r>
              <w:t>Important</w:t>
            </w:r>
          </w:p>
        </w:tc>
        <w:tc>
          <w:tcPr>
            <w:tcW w:type="dxa" w:w="2160"/>
          </w:tcPr>
          <w:p>
            <w:r>
              <w:t>October 2024</w:t>
            </w:r>
          </w:p>
        </w:tc>
        <w:tc>
          <w:tcPr>
            <w:tcW w:type="dxa" w:w="2160"/>
          </w:tcPr>
          <w:p>
            <w:r>
              <w:t>7,000,000</w:t>
            </w:r>
          </w:p>
        </w:tc>
      </w:tr>
    </w:tbl>
    <w:p/>
    <w:p>
      <w:r>
        <w:t>Source: European Commission, NIS2 Directive transposition guidelines, 2023. Essential entities face penalties up to EUR 10 million or 2% of global turnover. Important entities face penalties up to EUR 7 million or 1.4% of global turnover.</w:t>
      </w:r>
    </w:p>
    <w:p>
      <w:r>
        <w:br w:type="page"/>
      </w:r>
    </w:p>
    <w:p>
      <w:pPr>
        <w:pStyle w:val="Heading1"/>
      </w:pPr>
      <w:r>
        <w:t>3. Implementation Architecture</w:t>
      </w:r>
    </w:p>
    <w:p>
      <w:r>
        <w:t>[Diagram: NIS2 Governance Structure]</w:t>
        <w:br/>
        <w:t xml:space="preserve">  European Commission --(mandates)--&gt; ENISA</w:t>
        <w:br/>
        <w:t xml:space="preserve">  ENISA --(coordinates)--&gt; National Competent Authority</w:t>
        <w:br/>
        <w:t xml:space="preserve">  National Competent Authority --(oversees)--&gt; CSIRT Network</w:t>
        <w:br/>
        <w:t xml:space="preserve">  National Competent Authority --(supervises)--&gt; Regulated Entities</w:t>
        <w:br/>
        <w:t xml:space="preserve">  CSIRT Network --(supports)--&gt; Regulated Entities</w:t>
      </w:r>
    </w:p>
    <w:p>
      <w:pPr>
        <w:pStyle w:val="Heading2"/>
      </w:pPr>
      <w:r>
        <w:t>3.1 Role of ENISA</w:t>
      </w:r>
    </w:p>
    <w:p>
      <w:r>
        <w:t>ENISA, the European Union Agency for Cybersecurity, plays a central role in NIS2 implementation. ENISA provides technical guidance, coordinates cross-border incident response, and maintains the European vulnerability database. ENISA reports directly to the European Commission.</w:t>
      </w:r>
    </w:p>
    <w:p>
      <w:pPr>
        <w:pStyle w:val="Heading1"/>
      </w:pPr>
      <w:r>
        <w:t>4. Conclusion</w:t>
      </w:r>
    </w:p>
    <w:p>
      <w:r>
        <w:t>NIS2 represents the most significant EU cybersecurity regulation to date. Organizations in critical sectors must achieve compliance by October 2024. Non-compliance carries substantial financial penalties.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