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AE41" w14:textId="77777777" w:rsidR="00D113E0" w:rsidRDefault="00000000">
      <w:pPr>
        <w:spacing w:after="160"/>
        <w:jc w:val="center"/>
      </w:pPr>
      <w:r>
        <w:rPr>
          <w:sz w:val="44"/>
          <w:szCs w:val="44"/>
        </w:rPr>
        <w:t>Predicción del precio de la criptomoneda Monero mediante modelos de series de tiempo y aprendizaje automático</w:t>
      </w:r>
    </w:p>
    <w:p w14:paraId="55F2E4C1" w14:textId="77777777" w:rsidR="00D113E0" w:rsidRDefault="00000000">
      <w:pPr>
        <w:spacing w:after="20"/>
        <w:jc w:val="center"/>
      </w:pPr>
      <w:r>
        <w:rPr>
          <w:sz w:val="22"/>
          <w:szCs w:val="22"/>
        </w:rPr>
        <w:t>[Nombre del autor 1], [Nombre del autor 2], [Nombre del autor 3]</w:t>
      </w:r>
    </w:p>
    <w:p w14:paraId="623EA497" w14:textId="77777777" w:rsidR="00D113E0" w:rsidRDefault="00000000">
      <w:pPr>
        <w:spacing w:after="200"/>
        <w:jc w:val="center"/>
      </w:pPr>
      <w:r>
        <w:rPr>
          <w:i/>
          <w:iCs/>
          <w:sz w:val="18"/>
          <w:szCs w:val="18"/>
        </w:rPr>
        <w:t>[Programa académico, Institución, Ciudad, País] — [correo electrónico]</w:t>
      </w:r>
    </w:p>
    <w:p w14:paraId="183D24F3" w14:textId="77777777" w:rsidR="00D113E0" w:rsidRDefault="00000000">
      <w:pPr>
        <w:spacing w:after="100"/>
        <w:ind w:left="360" w:right="360"/>
        <w:jc w:val="both"/>
      </w:pPr>
      <w:r>
        <w:rPr>
          <w:b/>
          <w:bCs/>
          <w:i/>
          <w:iCs/>
          <w:sz w:val="18"/>
          <w:szCs w:val="18"/>
        </w:rPr>
        <w:t>Resumen—</w:t>
      </w:r>
      <w:r>
        <w:rPr>
          <w:b/>
          <w:bCs/>
          <w:sz w:val="18"/>
          <w:szCs w:val="18"/>
        </w:rPr>
        <w:t>El precio de Monero (XMR) presenta alta volatilidad y depende de múltiples factores, como su comportamiento histórico, el volumen de negociación, las variaciones del mercado y el sentimiento de los inversionistas. Este documento presenta la propuesta de la Fase 1 de un estudio experimental que evalúa qué tan bien un modelo LSTM o GRU anticipa el precio de cierre del día siguiente, o la dirección del precio, frente a modelos base como la media móvil, la regresión lineal y ARIMA. Se describen el estado del arte, las variables de entrada y salida, y una metodología con partición temporal de los datos y evaluación mediante MAE, RMSE y MAPE. El proyecto no se plantea como una herramienta de inversión ni promete rentabilidad: es un estudio académico sobre la capacidad predictiva de diferentes modelos.</w:t>
      </w:r>
    </w:p>
    <w:p w14:paraId="7CBF4DEC" w14:textId="77777777" w:rsidR="00D113E0" w:rsidRDefault="00000000">
      <w:pPr>
        <w:spacing w:after="120"/>
        <w:ind w:left="360" w:right="360"/>
        <w:jc w:val="both"/>
      </w:pPr>
      <w:r>
        <w:rPr>
          <w:b/>
          <w:bCs/>
          <w:i/>
          <w:iCs/>
          <w:sz w:val="18"/>
          <w:szCs w:val="18"/>
        </w:rPr>
        <w:t>Términos de índice—</w:t>
      </w:r>
      <w:r>
        <w:rPr>
          <w:b/>
          <w:bCs/>
          <w:sz w:val="18"/>
          <w:szCs w:val="18"/>
        </w:rPr>
        <w:t>Monero, criptomonedas, predicción de series de tiempo, aprendizaje automático, LSTM, GRU, ARIMA.</w:t>
      </w:r>
    </w:p>
    <w:p w14:paraId="521D5A28" w14:textId="77777777" w:rsidR="00D113E0" w:rsidRDefault="00D113E0">
      <w:pPr>
        <w:sectPr w:rsidR="00D113E0">
          <w:footerReference w:type="default" r:id="rId7"/>
          <w:pgSz w:w="12240" w:h="15840"/>
          <w:pgMar w:top="1080" w:right="900" w:bottom="1440" w:left="900" w:header="708" w:footer="708" w:gutter="0"/>
          <w:cols w:space="720"/>
          <w:docGrid w:linePitch="360"/>
        </w:sectPr>
      </w:pPr>
    </w:p>
    <w:p w14:paraId="4B18A173" w14:textId="77777777" w:rsidR="00D113E0" w:rsidRDefault="00000000">
      <w:pPr>
        <w:pStyle w:val="Ttulo1"/>
      </w:pPr>
      <w:r>
        <w:t>I. Introducción</w:t>
      </w:r>
    </w:p>
    <w:p w14:paraId="0AF6885B" w14:textId="06392AF6" w:rsidR="00D113E0" w:rsidRDefault="00000000">
      <w:pPr>
        <w:pStyle w:val="Body"/>
      </w:pPr>
      <w:r>
        <w:t>La predicción de precios de criptomonedas es un problema complejo debido a la naturaleza dinámica, no lineal y volátil de estos mercados [1]–[3]. Diversos estudios han utilizado redes neuronales recurrentes, en especial LSTM y GRU, para modelar las dependencias temporales en los precios de activos digitales [1], [3], [4]. En particular, Patel</w:t>
      </w:r>
      <w:r>
        <w:rPr>
          <w:i/>
          <w:iCs/>
        </w:rPr>
        <w:t>.</w:t>
      </w:r>
      <w:r>
        <w:t xml:space="preserve"> desarrollaron un modelo híbrido LSTM-GRU aplicado a </w:t>
      </w:r>
      <w:proofErr w:type="spellStart"/>
      <w:r>
        <w:t>Litecoin</w:t>
      </w:r>
      <w:proofErr w:type="spellEnd"/>
      <w:r>
        <w:t xml:space="preserve"> y Monero, evaluado con métricas como MSE, RMSE, MAE y MAPE [1], [5]. Estos antecedentes justifican evaluar un modelo recurrente para la predicción del precio de Monero.</w:t>
      </w:r>
    </w:p>
    <w:p w14:paraId="2ED9BACA" w14:textId="77777777" w:rsidR="00D113E0" w:rsidRDefault="00000000">
      <w:pPr>
        <w:pStyle w:val="Body"/>
      </w:pPr>
      <w:r>
        <w:t>Monero (XMR) presenta alta volatilidad y su precio depende de múltiples factores: su comportamiento histórico, el volumen de negociación, las variaciones del mercado y el sentimiento de los inversionistas. Esta incertidumbre dificulta identificar tendencias y tomar decisiones informadas.</w:t>
      </w:r>
    </w:p>
    <w:p w14:paraId="71DFA5E8" w14:textId="77777777" w:rsidR="00D113E0" w:rsidRDefault="00000000">
      <w:pPr>
        <w:pStyle w:val="Body"/>
      </w:pPr>
      <w:r>
        <w:t>El mercado de criptomonedas cambia rápidamente y presenta altos niveles de incertidumbre. Nuestro proyecto estudiará si los datos históricos de Monero contienen patrones suficientes para que un modelo de aprendizaje automático anticipe su comportamiento futuro. La investigación comparará modelos simples con una red LSTM y medirá objetivamente sus aciertos y errores.</w:t>
      </w:r>
    </w:p>
    <w:p w14:paraId="2BEC9CE9" w14:textId="77777777" w:rsidR="00D113E0" w:rsidRDefault="00000000">
      <w:pPr>
        <w:pStyle w:val="Body"/>
      </w:pPr>
      <w:r>
        <w:t>Este documento presenta la propuesta de la Fase 1. La Sección II plantea el problema y la pregunta de investigación; la III, los objetivos; la IV, el estado del arte; la V, la comparación de propuestas; la VI, los datos y variables; la VII, la metodología; y la VIII, el alcance y las limitaciones.</w:t>
      </w:r>
    </w:p>
    <w:p w14:paraId="2F4C5237" w14:textId="77777777" w:rsidR="00D113E0" w:rsidRDefault="00000000">
      <w:pPr>
        <w:pStyle w:val="Ttulo1"/>
      </w:pPr>
      <w:r>
        <w:t>II. Planteamiento del problema</w:t>
      </w:r>
    </w:p>
    <w:p w14:paraId="1DFACAF8" w14:textId="77777777" w:rsidR="00D113E0" w:rsidRDefault="00000000">
      <w:pPr>
        <w:pStyle w:val="Ttulo2"/>
      </w:pPr>
      <w:r>
        <w:t>A. Problema</w:t>
      </w:r>
    </w:p>
    <w:p w14:paraId="39494E68" w14:textId="77777777" w:rsidR="00D113E0" w:rsidRDefault="00000000">
      <w:pPr>
        <w:pStyle w:val="Body"/>
      </w:pPr>
      <w:r>
        <w:t xml:space="preserve">La alta volatilidad de Monero y la multiplicidad de factores que la determinan dificultan identificar tendencias y tomar decisiones informadas. El proyecto no debe prometer ganancias ni afirmar que predice exactamente el mercado. Su propósito es </w:t>
      </w:r>
      <w:r>
        <w:t>evaluar qué tan bien determinados modelos pueden anticipar el precio o la tendencia futura de XMR.</w:t>
      </w:r>
    </w:p>
    <w:p w14:paraId="4C51BC1B" w14:textId="77777777" w:rsidR="00D113E0" w:rsidRDefault="00000000">
      <w:pPr>
        <w:pStyle w:val="Ttulo2"/>
      </w:pPr>
      <w:r>
        <w:t>B. Pregunta de investigación</w:t>
      </w:r>
    </w:p>
    <w:p w14:paraId="76AA26DB" w14:textId="77777777" w:rsidR="00D113E0" w:rsidRDefault="00000000">
      <w:pPr>
        <w:pStyle w:val="Body"/>
      </w:pPr>
      <w:r>
        <w:t>¿Qué tan eficaz es un modelo de aprendizaje automático para predecir el precio o la tendencia futura de Monero a partir de datos históricos del mercado? De forma más específica: ¿un modelo LSTM predice mejor el precio de cierre diario de Monero que modelos base como la media móvil, ARIMA o la regresión lineal?</w:t>
      </w:r>
    </w:p>
    <w:p w14:paraId="78A19199" w14:textId="77777777" w:rsidR="00D113E0" w:rsidRDefault="00000000">
      <w:pPr>
        <w:pStyle w:val="Ttulo2"/>
      </w:pPr>
      <w:r>
        <w:t>C. Justificación</w:t>
      </w:r>
    </w:p>
    <w:p w14:paraId="695B861A" w14:textId="77777777" w:rsidR="00D113E0" w:rsidRDefault="00000000">
      <w:pPr>
        <w:pStyle w:val="Body"/>
      </w:pPr>
      <w:r>
        <w:t xml:space="preserve">Entre las fuentes revisadas, Monero se estudia directamente solo en [1]; los demás trabajos se concentran en Bitcoin, Ethereum, </w:t>
      </w:r>
      <w:proofErr w:type="spellStart"/>
      <w:r>
        <w:t>Litecoin</w:t>
      </w:r>
      <w:proofErr w:type="spellEnd"/>
      <w:r>
        <w:t xml:space="preserve"> y otras monedas [2]–[5]. Además, los estudios no coinciden en la arquitectura superior: Bi-LSTM y GRU rinden de forma similar en [2], la Bi-LSTM es la mejor en [3], la GRU supera a la LSTM en [5] y un </w:t>
      </w:r>
      <w:proofErr w:type="spellStart"/>
      <w:r>
        <w:t>Transformer</w:t>
      </w:r>
      <w:proofErr w:type="spellEnd"/>
      <w:r>
        <w:t xml:space="preserve"> es el mejor en [4]. Por último, una de las limitaciones que reconoce [5] es no compararse con modelos estadísticos simples como ARIMA. Por ello este proyecto evalúa la red recurrente frente a modelos base, sin suponer que será la mejor.</w:t>
      </w:r>
    </w:p>
    <w:p w14:paraId="77348675" w14:textId="77777777" w:rsidR="00D113E0" w:rsidRDefault="00000000">
      <w:pPr>
        <w:pStyle w:val="Ttulo1"/>
      </w:pPr>
      <w:r>
        <w:t>III. Objetivos</w:t>
      </w:r>
    </w:p>
    <w:p w14:paraId="35172FBD" w14:textId="77777777" w:rsidR="00D113E0" w:rsidRDefault="00000000">
      <w:pPr>
        <w:pStyle w:val="Ttulo2"/>
      </w:pPr>
      <w:r>
        <w:t>A. Objetivo general</w:t>
      </w:r>
    </w:p>
    <w:p w14:paraId="558F3B9A" w14:textId="77777777" w:rsidR="00D113E0" w:rsidRDefault="00000000">
      <w:pPr>
        <w:pStyle w:val="Body"/>
      </w:pPr>
      <w:r>
        <w:t>Desarrollar y evaluar un sistema de predicción del precio de Monero utilizando datos históricos y modelos de series de tiempo y aprendizaje automático.</w:t>
      </w:r>
    </w:p>
    <w:p w14:paraId="72EE69E5" w14:textId="77777777" w:rsidR="00D113E0" w:rsidRDefault="00000000">
      <w:pPr>
        <w:pStyle w:val="Ttulo2"/>
      </w:pPr>
      <w:r>
        <w:t>B. Objetivos específicos</w:t>
      </w:r>
    </w:p>
    <w:p w14:paraId="3F61660F" w14:textId="77777777" w:rsidR="00D113E0" w:rsidRDefault="00000000">
      <w:pPr>
        <w:pStyle w:val="Body"/>
        <w:numPr>
          <w:ilvl w:val="0"/>
          <w:numId w:val="2"/>
        </w:numPr>
        <w:spacing w:after="40"/>
      </w:pPr>
      <w:r>
        <w:t>Recolectar datos históricos de Monero: precio de apertura, cierre, máximo, mínimo y volumen.</w:t>
      </w:r>
    </w:p>
    <w:p w14:paraId="16952EA2" w14:textId="77777777" w:rsidR="00D113E0" w:rsidRDefault="00000000">
      <w:pPr>
        <w:pStyle w:val="Body"/>
        <w:numPr>
          <w:ilvl w:val="0"/>
          <w:numId w:val="2"/>
        </w:numPr>
        <w:spacing w:after="40"/>
      </w:pPr>
      <w:r>
        <w:t>Analizar tendencias, volatilidad y patrones temporales.</w:t>
      </w:r>
    </w:p>
    <w:p w14:paraId="742AC6E1" w14:textId="77777777" w:rsidR="00D113E0" w:rsidRDefault="00000000">
      <w:pPr>
        <w:pStyle w:val="Body"/>
        <w:numPr>
          <w:ilvl w:val="0"/>
          <w:numId w:val="2"/>
        </w:numPr>
        <w:spacing w:after="40"/>
      </w:pPr>
      <w:r>
        <w:t>Preprocesar y normalizar los datos.</w:t>
      </w:r>
    </w:p>
    <w:p w14:paraId="281C9143" w14:textId="77777777" w:rsidR="00D113E0" w:rsidRDefault="00000000">
      <w:pPr>
        <w:pStyle w:val="Body"/>
        <w:numPr>
          <w:ilvl w:val="0"/>
          <w:numId w:val="2"/>
        </w:numPr>
        <w:spacing w:after="40"/>
      </w:pPr>
      <w:r>
        <w:t>Construir modelos base, como media móvil o regresión lineal.</w:t>
      </w:r>
    </w:p>
    <w:p w14:paraId="6AFD83FD" w14:textId="77777777" w:rsidR="00D113E0" w:rsidRDefault="00000000">
      <w:pPr>
        <w:pStyle w:val="Body"/>
        <w:numPr>
          <w:ilvl w:val="0"/>
          <w:numId w:val="2"/>
        </w:numPr>
        <w:spacing w:after="40"/>
      </w:pPr>
      <w:r>
        <w:t>Implementar un modelo LSTM, GRU u otra técnica de aprendizaje automático.</w:t>
      </w:r>
    </w:p>
    <w:p w14:paraId="1ABD7A26" w14:textId="77777777" w:rsidR="00D113E0" w:rsidRDefault="00000000">
      <w:pPr>
        <w:pStyle w:val="Body"/>
        <w:numPr>
          <w:ilvl w:val="0"/>
          <w:numId w:val="2"/>
        </w:numPr>
        <w:spacing w:after="40"/>
      </w:pPr>
      <w:r>
        <w:lastRenderedPageBreak/>
        <w:t>Comparar los modelos mediante métricas como MAE, RMSE y MAPE.</w:t>
      </w:r>
    </w:p>
    <w:p w14:paraId="7203B362" w14:textId="77777777" w:rsidR="00D113E0" w:rsidRDefault="00000000">
      <w:pPr>
        <w:pStyle w:val="Body"/>
        <w:numPr>
          <w:ilvl w:val="0"/>
          <w:numId w:val="2"/>
        </w:numPr>
        <w:spacing w:after="40"/>
      </w:pPr>
      <w:r>
        <w:t>Evaluar si el modelo predice mejor el precio numérico o la dirección del mercado.</w:t>
      </w:r>
    </w:p>
    <w:p w14:paraId="13059D8E" w14:textId="77777777" w:rsidR="00D113E0" w:rsidRDefault="00000000">
      <w:pPr>
        <w:pStyle w:val="Body"/>
        <w:numPr>
          <w:ilvl w:val="0"/>
          <w:numId w:val="2"/>
        </w:numPr>
        <w:spacing w:after="40"/>
      </w:pPr>
      <w:r>
        <w:t>Analizar las limitaciones del sistema ante cambios bruscos del mercado.</w:t>
      </w:r>
    </w:p>
    <w:p w14:paraId="597A1A3D" w14:textId="77777777" w:rsidR="00D113E0" w:rsidRDefault="00000000">
      <w:pPr>
        <w:pStyle w:val="Ttulo1"/>
      </w:pPr>
      <w:r>
        <w:t>IV. Estado del arte</w:t>
      </w:r>
    </w:p>
    <w:p w14:paraId="3C4D8534" w14:textId="77777777" w:rsidR="00D113E0" w:rsidRDefault="00000000">
      <w:pPr>
        <w:pStyle w:val="Ttulo2"/>
      </w:pPr>
      <w:r>
        <w:t>A. Fundamentos de las redes recurrentes</w:t>
      </w:r>
    </w:p>
    <w:p w14:paraId="04FBFD14" w14:textId="77777777" w:rsidR="00D113E0" w:rsidRDefault="00000000">
      <w:pPr>
        <w:pStyle w:val="Body"/>
      </w:pPr>
      <w:r>
        <w:t xml:space="preserve">La red LSTM fue diseñada para aprender dependencias a largo plazo en secuencias y reducir los problemas de las redes recurrentes tradicionales [6]. La unidad GRU se introdujo en el trabajo de Cho </w:t>
      </w:r>
      <w:r>
        <w:rPr>
          <w:i/>
          <w:iCs/>
        </w:rPr>
        <w:t>et al.</w:t>
      </w:r>
      <w:r>
        <w:t xml:space="preserve"> sobre traducción automática y es una fuente fundamental para explicar el origen y funcionamiento de esta arquitectura [7].</w:t>
      </w:r>
    </w:p>
    <w:p w14:paraId="52288BEE" w14:textId="77777777" w:rsidR="00D113E0" w:rsidRDefault="00000000">
      <w:pPr>
        <w:pStyle w:val="Ttulo2"/>
      </w:pPr>
      <w:r>
        <w:t>B. Predicción de criptomonedas con redes recurrentes</w:t>
      </w:r>
    </w:p>
    <w:p w14:paraId="788D14FB" w14:textId="77777777" w:rsidR="00D113E0" w:rsidRDefault="00000000">
      <w:pPr>
        <w:pStyle w:val="Body"/>
      </w:pPr>
      <w:r>
        <w:rPr>
          <w:i/>
          <w:iCs/>
        </w:rPr>
        <w:t>Patel et al. [1].</w:t>
      </w:r>
      <w:r>
        <w:t xml:space="preserve"> </w:t>
      </w:r>
      <w:r>
        <w:rPr>
          <w:i/>
          <w:iCs/>
        </w:rPr>
        <w:t>Problema:</w:t>
      </w:r>
      <w:r>
        <w:t xml:space="preserve"> predecir los precios de criptomonedas poco conocidas, </w:t>
      </w:r>
      <w:proofErr w:type="spellStart"/>
      <w:r>
        <w:t>Litecoin</w:t>
      </w:r>
      <w:proofErr w:type="spellEnd"/>
      <w:r>
        <w:t xml:space="preserve"> y Monero, para instituciones financieras. </w:t>
      </w:r>
      <w:r>
        <w:rPr>
          <w:i/>
          <w:iCs/>
        </w:rPr>
        <w:t>Datos:</w:t>
      </w:r>
      <w:r>
        <w:t xml:space="preserve"> series diarias de ambas monedas, con ventanas de 1, 3 y 7. </w:t>
      </w:r>
      <w:r>
        <w:rPr>
          <w:i/>
          <w:iCs/>
        </w:rPr>
        <w:t>Modelo:</w:t>
      </w:r>
      <w:r>
        <w:t xml:space="preserve"> híbrido LSTM-GRU. </w:t>
      </w:r>
      <w:r>
        <w:rPr>
          <w:i/>
          <w:iCs/>
        </w:rPr>
        <w:t>Métricas:</w:t>
      </w:r>
      <w:r>
        <w:t xml:space="preserve"> MSE, RMSE, MAE y MAPE. </w:t>
      </w:r>
      <w:r>
        <w:rPr>
          <w:i/>
          <w:iCs/>
        </w:rPr>
        <w:t>Limitación:</w:t>
      </w:r>
      <w:r>
        <w:t xml:space="preserve"> se centra únicamente en dos criptomonedas.</w:t>
      </w:r>
    </w:p>
    <w:p w14:paraId="576AD41F" w14:textId="77777777" w:rsidR="00D113E0" w:rsidRDefault="00000000">
      <w:pPr>
        <w:pStyle w:val="Body"/>
      </w:pPr>
      <w:proofErr w:type="spellStart"/>
      <w:r>
        <w:rPr>
          <w:i/>
          <w:iCs/>
        </w:rPr>
        <w:t>Hansun</w:t>
      </w:r>
      <w:proofErr w:type="spellEnd"/>
      <w:r>
        <w:rPr>
          <w:i/>
          <w:iCs/>
        </w:rPr>
        <w:t xml:space="preserve"> et al. [2].</w:t>
      </w:r>
      <w:r>
        <w:t xml:space="preserve"> </w:t>
      </w:r>
      <w:r>
        <w:rPr>
          <w:i/>
          <w:iCs/>
        </w:rPr>
        <w:t>Problema:</w:t>
      </w:r>
      <w:r>
        <w:t xml:space="preserve"> la alta dinámica y volatilidad de las criptomonedas dificulta predecir su valor. </w:t>
      </w:r>
      <w:r>
        <w:rPr>
          <w:i/>
          <w:iCs/>
        </w:rPr>
        <w:t>Datos:</w:t>
      </w:r>
      <w:r>
        <w:t xml:space="preserve"> BTC, ETH, ADA, USDT y BNB. </w:t>
      </w:r>
      <w:r>
        <w:rPr>
          <w:i/>
          <w:iCs/>
        </w:rPr>
        <w:t>Modelo:</w:t>
      </w:r>
      <w:r>
        <w:t xml:space="preserve"> LSTM, Bi-LSTM y GRU multivariados, con una red de tres capas. </w:t>
      </w:r>
      <w:r>
        <w:rPr>
          <w:i/>
          <w:iCs/>
        </w:rPr>
        <w:t>Resultados:</w:t>
      </w:r>
      <w:r>
        <w:t xml:space="preserve"> Bi-LSTM y GRU tienen precisión similar; la GRU es algo mejor en tiempo de ejecución y variación. </w:t>
      </w:r>
      <w:r>
        <w:rPr>
          <w:i/>
          <w:iCs/>
        </w:rPr>
        <w:t>Limitación:</w:t>
      </w:r>
      <w:r>
        <w:t xml:space="preserve"> no incluye Monero.</w:t>
      </w:r>
    </w:p>
    <w:p w14:paraId="38589BAE" w14:textId="77777777" w:rsidR="00D113E0" w:rsidRDefault="00000000">
      <w:pPr>
        <w:pStyle w:val="Body"/>
      </w:pPr>
      <w:proofErr w:type="spellStart"/>
      <w:r>
        <w:rPr>
          <w:i/>
          <w:iCs/>
        </w:rPr>
        <w:t>Seabe</w:t>
      </w:r>
      <w:proofErr w:type="spellEnd"/>
      <w:r>
        <w:rPr>
          <w:i/>
          <w:iCs/>
        </w:rPr>
        <w:t xml:space="preserve"> et al. [3].</w:t>
      </w:r>
      <w:r>
        <w:t xml:space="preserve"> </w:t>
      </w:r>
      <w:r>
        <w:rPr>
          <w:i/>
          <w:iCs/>
        </w:rPr>
        <w:t>Problema:</w:t>
      </w:r>
      <w:r>
        <w:t xml:space="preserve"> la no linealidad del mercado dificulta la predicción. </w:t>
      </w:r>
      <w:r>
        <w:rPr>
          <w:i/>
          <w:iCs/>
        </w:rPr>
        <w:t>Datos:</w:t>
      </w:r>
      <w:r>
        <w:t xml:space="preserve"> BTC, ETH y LTC, obtenidos de </w:t>
      </w:r>
      <w:proofErr w:type="spellStart"/>
      <w:r>
        <w:t>Yahoo</w:t>
      </w:r>
      <w:proofErr w:type="spellEnd"/>
      <w:r>
        <w:t xml:space="preserve"> </w:t>
      </w:r>
      <w:proofErr w:type="spellStart"/>
      <w:r>
        <w:t>Finance</w:t>
      </w:r>
      <w:proofErr w:type="spellEnd"/>
      <w:r>
        <w:t xml:space="preserve">. </w:t>
      </w:r>
      <w:r>
        <w:rPr>
          <w:i/>
          <w:iCs/>
        </w:rPr>
        <w:t>Modelo:</w:t>
      </w:r>
      <w:r>
        <w:t xml:space="preserve"> LSTM, GRU y Bi-LSTM. </w:t>
      </w:r>
      <w:r>
        <w:rPr>
          <w:i/>
          <w:iCs/>
        </w:rPr>
        <w:t>Métricas:</w:t>
      </w:r>
      <w:r>
        <w:t xml:space="preserve"> RMSE y MAPE; la Bi-LSTM fue la mejor, con MAPE de 0.036, 0.041 y 0.124 para BTC, LTC y ETH. </w:t>
      </w:r>
      <w:r>
        <w:rPr>
          <w:i/>
          <w:iCs/>
        </w:rPr>
        <w:t>Limitación:</w:t>
      </w:r>
      <w:r>
        <w:t xml:space="preserve"> los autores proponen explorar factores como las redes sociales y el volumen de negociación.</w:t>
      </w:r>
    </w:p>
    <w:p w14:paraId="3A5923B3" w14:textId="77777777" w:rsidR="00D113E0" w:rsidRDefault="00000000">
      <w:pPr>
        <w:pStyle w:val="Body"/>
      </w:pPr>
      <w:proofErr w:type="spellStart"/>
      <w:r>
        <w:rPr>
          <w:i/>
          <w:iCs/>
        </w:rPr>
        <w:t>Pambudi</w:t>
      </w:r>
      <w:proofErr w:type="spellEnd"/>
      <w:r>
        <w:rPr>
          <w:i/>
          <w:iCs/>
        </w:rPr>
        <w:t xml:space="preserve"> et al. [4].</w:t>
      </w:r>
      <w:r>
        <w:t xml:space="preserve"> </w:t>
      </w:r>
      <w:r>
        <w:rPr>
          <w:i/>
          <w:iCs/>
        </w:rPr>
        <w:t>Problema:</w:t>
      </w:r>
      <w:r>
        <w:t xml:space="preserve"> hallar un modelo preciso que mitigue los riesgos de la volatilidad. </w:t>
      </w:r>
      <w:r>
        <w:rPr>
          <w:i/>
          <w:iCs/>
        </w:rPr>
        <w:t>Datos:</w:t>
      </w:r>
      <w:r>
        <w:t xml:space="preserve"> precios por minuto de BTC, ETH, BNB y XRP, normalizados con </w:t>
      </w:r>
      <w:proofErr w:type="spellStart"/>
      <w:r>
        <w:t>MinMaxScaler</w:t>
      </w:r>
      <w:proofErr w:type="spellEnd"/>
      <w:r>
        <w:t xml:space="preserve"> y organizados con ventana deslizante. </w:t>
      </w:r>
      <w:r>
        <w:rPr>
          <w:i/>
          <w:iCs/>
        </w:rPr>
        <w:t>Modelo:</w:t>
      </w:r>
      <w:r>
        <w:t xml:space="preserve"> LSTM, GRU, </w:t>
      </w:r>
      <w:proofErr w:type="spellStart"/>
      <w:r>
        <w:t>BiLSTM</w:t>
      </w:r>
      <w:proofErr w:type="spellEnd"/>
      <w:r>
        <w:t xml:space="preserve">, </w:t>
      </w:r>
      <w:proofErr w:type="spellStart"/>
      <w:r>
        <w:t>Transformer</w:t>
      </w:r>
      <w:proofErr w:type="spellEnd"/>
      <w:r>
        <w:t xml:space="preserve"> y </w:t>
      </w:r>
      <w:proofErr w:type="spellStart"/>
      <w:r>
        <w:t>Performer</w:t>
      </w:r>
      <w:proofErr w:type="spellEnd"/>
      <w:r>
        <w:t xml:space="preserve">. </w:t>
      </w:r>
      <w:r>
        <w:rPr>
          <w:i/>
          <w:iCs/>
        </w:rPr>
        <w:t>Métricas:</w:t>
      </w:r>
      <w:r>
        <w:t xml:space="preserve"> MAE, MSE, RMSE y MAPE; el </w:t>
      </w:r>
      <w:proofErr w:type="spellStart"/>
      <w:r>
        <w:t>Transformer</w:t>
      </w:r>
      <w:proofErr w:type="spellEnd"/>
      <w:r>
        <w:t xml:space="preserve"> obtuvo el menor MAPE (0.20 % en BTC y ETH), seguido por la </w:t>
      </w:r>
      <w:proofErr w:type="spellStart"/>
      <w:r>
        <w:t>BiLSTM</w:t>
      </w:r>
      <w:proofErr w:type="spellEnd"/>
      <w:r>
        <w:t xml:space="preserve">, y la GRU fue moderada pero estable. </w:t>
      </w:r>
      <w:r>
        <w:rPr>
          <w:i/>
          <w:iCs/>
        </w:rPr>
        <w:t>Limitación:</w:t>
      </w:r>
      <w:r>
        <w:t xml:space="preserve"> no incluye Monero.</w:t>
      </w:r>
    </w:p>
    <w:p w14:paraId="08BB5A6E" w14:textId="77777777" w:rsidR="00D113E0" w:rsidRDefault="00000000">
      <w:pPr>
        <w:pStyle w:val="Body"/>
      </w:pPr>
      <w:r>
        <w:rPr>
          <w:i/>
          <w:iCs/>
        </w:rPr>
        <w:t>Kaur et al. [5].</w:t>
      </w:r>
      <w:r>
        <w:t xml:space="preserve"> </w:t>
      </w:r>
      <w:r>
        <w:rPr>
          <w:i/>
          <w:iCs/>
        </w:rPr>
        <w:t>Problema:</w:t>
      </w:r>
      <w:r>
        <w:t xml:space="preserve"> predecir BTC, LTC y ETH pese a la no linealidad del mercado. </w:t>
      </w:r>
      <w:r>
        <w:rPr>
          <w:i/>
          <w:iCs/>
        </w:rPr>
        <w:t>Datos:</w:t>
      </w:r>
      <w:r>
        <w:t xml:space="preserve"> cierres diarios de </w:t>
      </w:r>
      <w:proofErr w:type="spellStart"/>
      <w:r>
        <w:t>CryptoDataDownload</w:t>
      </w:r>
      <w:proofErr w:type="spellEnd"/>
      <w:r>
        <w:t xml:space="preserve">, de 2017 a 2024, normalizados y con partición cronológica 80:20. </w:t>
      </w:r>
      <w:r>
        <w:rPr>
          <w:i/>
          <w:iCs/>
        </w:rPr>
        <w:t>Modelo:</w:t>
      </w:r>
      <w:r>
        <w:t xml:space="preserve"> LSTM y GRU de dos capas de 100 unidades, con </w:t>
      </w:r>
      <w:proofErr w:type="spellStart"/>
      <w:r>
        <w:t>dropout</w:t>
      </w:r>
      <w:proofErr w:type="spellEnd"/>
      <w:r>
        <w:t xml:space="preserve"> de 0.2 y optimizador Adam. </w:t>
      </w:r>
      <w:r>
        <w:rPr>
          <w:i/>
          <w:iCs/>
        </w:rPr>
        <w:t>Métricas:</w:t>
      </w:r>
      <w:r>
        <w:t xml:space="preserve"> MSE, MAE, MAPE y RMSE; la GRU tuvo menor error en BTC y ETH (MAPE de 0.0354 y 0.0441). </w:t>
      </w:r>
      <w:r>
        <w:rPr>
          <w:i/>
          <w:iCs/>
        </w:rPr>
        <w:t>Limitaciones:</w:t>
      </w:r>
      <w:r>
        <w:t xml:space="preserve"> los propios autores señalan la ausencia de variables adicionales y exógenas, la falta de comparación con modelos como ARIMA y que las métricas no reflejan el </w:t>
      </w:r>
      <w:r>
        <w:t>desempeño en operaciones reales; además, las predicciones suavizan los picos bruscos.</w:t>
      </w:r>
    </w:p>
    <w:p w14:paraId="1688DD9E" w14:textId="77777777" w:rsidR="00D113E0" w:rsidRDefault="00000000">
      <w:pPr>
        <w:pStyle w:val="Ttulo2"/>
      </w:pPr>
      <w:r>
        <w:t>C. Volatilidad y variables externas</w:t>
      </w:r>
    </w:p>
    <w:p w14:paraId="1BAABDF5" w14:textId="77777777" w:rsidR="00D113E0" w:rsidRDefault="00000000">
      <w:pPr>
        <w:pStyle w:val="Body"/>
      </w:pPr>
      <w:r>
        <w:t xml:space="preserve">Walther </w:t>
      </w:r>
      <w:r>
        <w:rPr>
          <w:i/>
          <w:iCs/>
        </w:rPr>
        <w:t>et al.</w:t>
      </w:r>
      <w:r>
        <w:t xml:space="preserve"> aplican el modelo GARCH-MIDAS a la volatilidad de cinco criptomonedas y del índice CRIX, y encuentran que la actividad económica real global es el factor exógeno más relevante para pronosticarla [8]. Esto respalda considerar, además del precio histórico, variables financieras relacionadas con la volatilidad. Su objeto es la volatilidad, no el precio de cierre.</w:t>
      </w:r>
    </w:p>
    <w:p w14:paraId="00462564" w14:textId="77777777" w:rsidR="00D113E0" w:rsidRDefault="00000000">
      <w:pPr>
        <w:pStyle w:val="Ttulo2"/>
      </w:pPr>
      <w:r>
        <w:t>D. Síntesis y vacío de investigación</w:t>
      </w:r>
    </w:p>
    <w:p w14:paraId="1E152873" w14:textId="77777777" w:rsidR="00D113E0" w:rsidRDefault="00000000">
      <w:pPr>
        <w:pStyle w:val="Body"/>
      </w:pPr>
      <w:r>
        <w:t>De los estudios revisados se observa que (i) Monero solo aparece en [1]; (</w:t>
      </w:r>
      <w:proofErr w:type="spellStart"/>
      <w:r>
        <w:t>ii</w:t>
      </w:r>
      <w:proofErr w:type="spellEnd"/>
      <w:r>
        <w:t>) ningún estudio revisado establece una arquitectura superior de forma consistente [2]–[5]; y (</w:t>
      </w:r>
      <w:proofErr w:type="spellStart"/>
      <w:r>
        <w:t>iii</w:t>
      </w:r>
      <w:proofErr w:type="spellEnd"/>
      <w:r>
        <w:t>) [5] reconoce como pendiente la comparación con modelos estadísticos. Este proyecto atiende ese vacío evaluando una red LSTM o GRU frente a modelos base sobre XMR, con partición temporal y métricas objetivas.</w:t>
      </w:r>
    </w:p>
    <w:p w14:paraId="2CBD8352" w14:textId="77777777" w:rsidR="00D113E0" w:rsidRDefault="00000000">
      <w:pPr>
        <w:pStyle w:val="Ttulo1"/>
      </w:pPr>
      <w:r>
        <w:t>V. Comparación de propuestas</w:t>
      </w:r>
    </w:p>
    <w:p w14:paraId="7D63A3D9" w14:textId="77777777" w:rsidR="00D113E0" w:rsidRDefault="00000000">
      <w:pPr>
        <w:pStyle w:val="Ttulo2"/>
      </w:pPr>
      <w:r>
        <w:t>A. Propuestas consideradas</w:t>
      </w:r>
    </w:p>
    <w:p w14:paraId="7291AB79" w14:textId="77777777" w:rsidR="00D113E0" w:rsidRDefault="00000000">
      <w:pPr>
        <w:pStyle w:val="Body"/>
        <w:numPr>
          <w:ilvl w:val="0"/>
          <w:numId w:val="3"/>
        </w:numPr>
        <w:spacing w:after="40"/>
      </w:pPr>
      <w:r>
        <w:t>Predicción de Monero con modelos estadísticos: aporta líneas base interpretables y de bajo costo.</w:t>
      </w:r>
    </w:p>
    <w:p w14:paraId="596C33AC" w14:textId="77777777" w:rsidR="00D113E0" w:rsidRDefault="00000000">
      <w:pPr>
        <w:pStyle w:val="Body"/>
        <w:numPr>
          <w:ilvl w:val="0"/>
          <w:numId w:val="3"/>
        </w:numPr>
        <w:spacing w:after="40"/>
      </w:pPr>
      <w:r>
        <w:t>Predicción de Monero con redes LSTM o GRU: captura dependencias temporales no lineales [1], [5].</w:t>
      </w:r>
    </w:p>
    <w:p w14:paraId="27072AEC" w14:textId="77777777" w:rsidR="00D113E0" w:rsidRDefault="00000000">
      <w:pPr>
        <w:pStyle w:val="Body"/>
        <w:numPr>
          <w:ilvl w:val="0"/>
          <w:numId w:val="3"/>
        </w:numPr>
        <w:spacing w:after="40"/>
      </w:pPr>
      <w:r>
        <w:t>Clasificación de si el precio subirá o bajará: reduce el problema a una decisión binaria, más sencilla de evaluar.</w:t>
      </w:r>
    </w:p>
    <w:p w14:paraId="5906669E" w14:textId="77777777" w:rsidR="00D113E0" w:rsidRDefault="00000000">
      <w:pPr>
        <w:pStyle w:val="Body"/>
        <w:numPr>
          <w:ilvl w:val="0"/>
          <w:numId w:val="3"/>
        </w:numPr>
        <w:spacing w:after="40"/>
      </w:pPr>
      <w:r>
        <w:t>Comparación entre Monero, Bitcoin y Ethereum: permite ver si los resultados dependen de la moneda.</w:t>
      </w:r>
    </w:p>
    <w:p w14:paraId="659B8ECB" w14:textId="77777777" w:rsidR="00D113E0" w:rsidRDefault="00000000">
      <w:pPr>
        <w:pStyle w:val="Body"/>
        <w:numPr>
          <w:ilvl w:val="0"/>
          <w:numId w:val="3"/>
        </w:numPr>
        <w:spacing w:after="40"/>
      </w:pPr>
      <w:r>
        <w:t>Predicción con únicamente precios históricos frente a precios más indicadores técnicos: mide el aporte de las variables adicionales.</w:t>
      </w:r>
    </w:p>
    <w:p w14:paraId="1BC1E1F5" w14:textId="77777777" w:rsidR="00D113E0" w:rsidRDefault="00000000">
      <w:pPr>
        <w:pStyle w:val="Ttulo2"/>
      </w:pPr>
      <w:r>
        <w:t>B. Propuesta elegida</w:t>
      </w:r>
    </w:p>
    <w:p w14:paraId="7806302B" w14:textId="77777777" w:rsidR="00D113E0" w:rsidRDefault="00000000">
      <w:pPr>
        <w:pStyle w:val="Body"/>
      </w:pPr>
      <w:r>
        <w:t>Se elige combinar las propuestas 1 y 2: comparar una red LSTM (o GRU) con modelos base estadísticos sobre Monero. Como salida de la Fase 1 se usará el precio de cierre del día siguiente o la dirección del precio (propuesta 3), por ser más sencillo y defendible. Las propuestas 4 y 5 quedan como extensiones posibles.</w:t>
      </w:r>
    </w:p>
    <w:p w14:paraId="2072DC5B" w14:textId="77777777" w:rsidR="00D113E0" w:rsidRDefault="00000000">
      <w:pPr>
        <w:pStyle w:val="Ttulo2"/>
      </w:pPr>
      <w:r>
        <w:t>C. Justificación</w:t>
      </w:r>
    </w:p>
    <w:p w14:paraId="717C56EA" w14:textId="77777777" w:rsidR="00D113E0" w:rsidRDefault="00000000">
      <w:pPr>
        <w:pStyle w:val="Body"/>
      </w:pPr>
      <w:r>
        <w:rPr>
          <w:i/>
          <w:iCs/>
        </w:rPr>
        <w:t>Disponibilidad de datos:</w:t>
      </w:r>
      <w:r>
        <w:t xml:space="preserve"> los precios diarios y el volumen pueden obtenerse de fuentes históricas públicas, como las usadas en [3] y [5]. </w:t>
      </w:r>
      <w:r>
        <w:rPr>
          <w:i/>
          <w:iCs/>
        </w:rPr>
        <w:t>Viabilidad:</w:t>
      </w:r>
      <w:r>
        <w:t xml:space="preserve"> un modelo recurrente y pocos modelos base son alcanzables en una fase inicial. </w:t>
      </w:r>
      <w:r>
        <w:rPr>
          <w:i/>
          <w:iCs/>
        </w:rPr>
        <w:t>Interés técnico:</w:t>
      </w:r>
      <w:r>
        <w:t xml:space="preserve"> Monero está poco estudiado entre las fuentes revisadas [1] y los resultados previos no coinciden [2]–[5]. </w:t>
      </w:r>
      <w:r>
        <w:rPr>
          <w:i/>
          <w:iCs/>
        </w:rPr>
        <w:t>Evaluación objetiva:</w:t>
      </w:r>
      <w:r>
        <w:t xml:space="preserve"> MAE, RMSE y MAPE, junto con una partición temporal, permiten comparar los modelos con criterios cuantitativos.</w:t>
      </w:r>
    </w:p>
    <w:p w14:paraId="4A1F3044" w14:textId="77777777" w:rsidR="00D113E0" w:rsidRDefault="00000000">
      <w:pPr>
        <w:pStyle w:val="Ttulo1"/>
      </w:pPr>
      <w:r>
        <w:lastRenderedPageBreak/>
        <w:t>VI. Datos y variables</w:t>
      </w:r>
    </w:p>
    <w:p w14:paraId="298B71DA" w14:textId="77777777" w:rsidR="00D113E0" w:rsidRDefault="00000000">
      <w:pPr>
        <w:pStyle w:val="Ttulo2"/>
      </w:pPr>
      <w:r>
        <w:t>A. Datos</w:t>
      </w:r>
    </w:p>
    <w:p w14:paraId="659B872B" w14:textId="77777777" w:rsidR="00D113E0" w:rsidRDefault="00000000">
      <w:pPr>
        <w:pStyle w:val="Body"/>
      </w:pPr>
      <w:r>
        <w:t>Se recolectarán series diarias históricas de XMR desde una fuente pública de datos de mercado, con precio de apertura, máximo, mínimo, cierre y volumen. La fuente y el período exactos se fijarán al iniciar la recolección.</w:t>
      </w:r>
    </w:p>
    <w:p w14:paraId="1A9D67B2" w14:textId="77777777" w:rsidR="00D113E0" w:rsidRDefault="00000000">
      <w:pPr>
        <w:pStyle w:val="Ttulo2"/>
      </w:pPr>
      <w:r>
        <w:t>B. Variables de entrada</w:t>
      </w:r>
    </w:p>
    <w:p w14:paraId="239FE0CC" w14:textId="77777777" w:rsidR="00D113E0" w:rsidRDefault="00000000">
      <w:pPr>
        <w:pStyle w:val="Body"/>
      </w:pPr>
      <w:r>
        <w:t>Las variables candidatas son los precios de apertura, máximo, mínimo y cierre, el volumen negociado, la variación porcentual diaria, los promedios móviles, indicadores técnicos como RSI y MACD y, si se justifica su uso, datos de otras criptomonedas como Bitcoin.</w:t>
      </w:r>
    </w:p>
    <w:p w14:paraId="477FB060" w14:textId="77777777" w:rsidR="00D113E0" w:rsidRDefault="00000000">
      <w:pPr>
        <w:pStyle w:val="Ttulo2"/>
      </w:pPr>
      <w:r>
        <w:t>C. Salida</w:t>
      </w:r>
    </w:p>
    <w:p w14:paraId="089E2A8B" w14:textId="77777777" w:rsidR="00D113E0" w:rsidRDefault="00000000">
      <w:pPr>
        <w:pStyle w:val="Body"/>
      </w:pPr>
      <w:r>
        <w:t>La salida puede ser el precio de cierre del día siguiente, el de los próximos días o la dirección del precio (sube o baja). Para la Fase 1 se comenzará con la dirección o el cierre del día siguiente.</w:t>
      </w:r>
    </w:p>
    <w:p w14:paraId="36D2DDE7" w14:textId="77777777" w:rsidR="00D113E0" w:rsidRDefault="00000000">
      <w:pPr>
        <w:pStyle w:val="Ttulo1"/>
      </w:pPr>
      <w:r>
        <w:t>VII. Metodología preliminar</w:t>
      </w:r>
    </w:p>
    <w:p w14:paraId="5297C4BA" w14:textId="77777777" w:rsidR="00D113E0" w:rsidRDefault="00000000">
      <w:pPr>
        <w:pStyle w:val="Ttulo2"/>
      </w:pPr>
      <w:r>
        <w:t>A. Procedimiento</w:t>
      </w:r>
    </w:p>
    <w:p w14:paraId="2362FD4C" w14:textId="77777777" w:rsidR="00D113E0" w:rsidRDefault="00000000">
      <w:pPr>
        <w:pStyle w:val="Body"/>
        <w:numPr>
          <w:ilvl w:val="0"/>
          <w:numId w:val="4"/>
        </w:numPr>
        <w:spacing w:after="40"/>
      </w:pPr>
      <w:r>
        <w:t>Obtener datos históricos de XMR.</w:t>
      </w:r>
    </w:p>
    <w:p w14:paraId="279C0B67" w14:textId="77777777" w:rsidR="00D113E0" w:rsidRDefault="00000000">
      <w:pPr>
        <w:pStyle w:val="Body"/>
        <w:numPr>
          <w:ilvl w:val="0"/>
          <w:numId w:val="4"/>
        </w:numPr>
        <w:spacing w:after="40"/>
      </w:pPr>
      <w:r>
        <w:t>Limpiar valores faltantes y ordenar cronológicamente.</w:t>
      </w:r>
    </w:p>
    <w:p w14:paraId="286E2A23" w14:textId="77777777" w:rsidR="00D113E0" w:rsidRDefault="00000000">
      <w:pPr>
        <w:pStyle w:val="Body"/>
        <w:numPr>
          <w:ilvl w:val="0"/>
          <w:numId w:val="4"/>
        </w:numPr>
        <w:spacing w:after="40"/>
      </w:pPr>
      <w:r>
        <w:t>Dividir los datos respetando el orden temporal.</w:t>
      </w:r>
    </w:p>
    <w:p w14:paraId="255351A4" w14:textId="77777777" w:rsidR="00D113E0" w:rsidRDefault="00000000">
      <w:pPr>
        <w:pStyle w:val="Body"/>
        <w:numPr>
          <w:ilvl w:val="0"/>
          <w:numId w:val="4"/>
        </w:numPr>
        <w:spacing w:after="40"/>
      </w:pPr>
      <w:r>
        <w:t>Crear ventanas; por ejemplo, los últimos 30 días para predecir el día 31.</w:t>
      </w:r>
    </w:p>
    <w:p w14:paraId="086FBAA7" w14:textId="77777777" w:rsidR="00D113E0" w:rsidRDefault="00000000">
      <w:pPr>
        <w:pStyle w:val="Body"/>
        <w:numPr>
          <w:ilvl w:val="0"/>
          <w:numId w:val="4"/>
        </w:numPr>
        <w:spacing w:after="40"/>
      </w:pPr>
      <w:r>
        <w:t>Entrenar los modelos base.</w:t>
      </w:r>
    </w:p>
    <w:p w14:paraId="41584361" w14:textId="77777777" w:rsidR="00D113E0" w:rsidRDefault="00000000">
      <w:pPr>
        <w:pStyle w:val="Body"/>
        <w:numPr>
          <w:ilvl w:val="0"/>
          <w:numId w:val="4"/>
        </w:numPr>
        <w:spacing w:after="40"/>
      </w:pPr>
      <w:r>
        <w:t>Entrenar el modelo LSTM o GRU.</w:t>
      </w:r>
    </w:p>
    <w:p w14:paraId="721DA83E" w14:textId="77777777" w:rsidR="00D113E0" w:rsidRDefault="00000000">
      <w:pPr>
        <w:pStyle w:val="Body"/>
        <w:numPr>
          <w:ilvl w:val="0"/>
          <w:numId w:val="4"/>
        </w:numPr>
        <w:spacing w:after="40"/>
      </w:pPr>
      <w:r>
        <w:t>Evaluar con datos no utilizados durante el entrenamiento.</w:t>
      </w:r>
    </w:p>
    <w:p w14:paraId="76CC41B7" w14:textId="77777777" w:rsidR="00D113E0" w:rsidRDefault="00000000">
      <w:pPr>
        <w:pStyle w:val="Body"/>
        <w:numPr>
          <w:ilvl w:val="0"/>
          <w:numId w:val="4"/>
        </w:numPr>
        <w:spacing w:after="40"/>
      </w:pPr>
      <w:r>
        <w:t>Comparar resultados mediante métricas y gráficas.</w:t>
      </w:r>
    </w:p>
    <w:p w14:paraId="1501F89A" w14:textId="77777777" w:rsidR="00D113E0" w:rsidRDefault="00000000">
      <w:pPr>
        <w:pStyle w:val="Body"/>
        <w:numPr>
          <w:ilvl w:val="0"/>
          <w:numId w:val="4"/>
        </w:numPr>
        <w:spacing w:after="40"/>
      </w:pPr>
      <w:r>
        <w:t>Analizar cuándo el modelo falla.</w:t>
      </w:r>
    </w:p>
    <w:p w14:paraId="07AAEDD0" w14:textId="77777777" w:rsidR="00D113E0" w:rsidRDefault="00000000">
      <w:pPr>
        <w:pStyle w:val="Ttulo2"/>
      </w:pPr>
      <w:r>
        <w:t>B. Partición temporal y preparación</w:t>
      </w:r>
    </w:p>
    <w:p w14:paraId="4371EB13" w14:textId="77777777" w:rsidR="00D113E0" w:rsidRDefault="00000000">
      <w:pPr>
        <w:pStyle w:val="Body"/>
      </w:pPr>
      <w:r>
        <w:t xml:space="preserve">Los datos no se dividirán aleatoriamente, porque ello mezclaría información del futuro con la del pasado. La validación respetará el orden cronológico, como lo respalda la documentación de </w:t>
      </w:r>
      <w:r>
        <w:rPr>
          <w:i/>
          <w:iCs/>
        </w:rPr>
        <w:t>TimeSeriesSplit</w:t>
      </w:r>
      <w:r>
        <w:t xml:space="preserve"> [9]; el estudio [5] también usa una partición cronológica. La normalización (</w:t>
      </w:r>
      <w:proofErr w:type="spellStart"/>
      <w:r>
        <w:t>MinMaxScaler</w:t>
      </w:r>
      <w:proofErr w:type="spellEnd"/>
      <w:r>
        <w:t>, como en [4] y [5]) se ajustará solo con los datos de entrenamiento, para no filtrar información de la prueba.</w:t>
      </w:r>
    </w:p>
    <w:p w14:paraId="04541FAF" w14:textId="77777777" w:rsidR="00D113E0" w:rsidRDefault="00000000">
      <w:pPr>
        <w:pStyle w:val="Ttulo2"/>
      </w:pPr>
      <w:r>
        <w:t>C. Modelos</w:t>
      </w:r>
    </w:p>
    <w:p w14:paraId="2A501FA4" w14:textId="77777777" w:rsidR="00D113E0" w:rsidRDefault="00000000">
      <w:pPr>
        <w:pStyle w:val="Body"/>
      </w:pPr>
      <w:r>
        <w:t xml:space="preserve">Los modelos base serán la media móvil, la regresión lineal y ARIMA. El modelo recurrente será una LSTM, con una GRU como alternativa. Como punto de partida se tomará la configuración reportada en [5]: dos capas de 100 unidades, </w:t>
      </w:r>
      <w:proofErr w:type="spellStart"/>
      <w:r>
        <w:t>dropout</w:t>
      </w:r>
      <w:proofErr w:type="spellEnd"/>
      <w:r>
        <w:t xml:space="preserve"> de 0.2, optimizador Adam, lotes de 32 y 20 épocas con parada temprana. Estos </w:t>
      </w:r>
      <w:proofErr w:type="spellStart"/>
      <w:r>
        <w:t>hiperparámetros</w:t>
      </w:r>
      <w:proofErr w:type="spellEnd"/>
      <w:r>
        <w:t xml:space="preserve"> se ajustarán con los datos de validación.</w:t>
      </w:r>
    </w:p>
    <w:p w14:paraId="5EDAB0B7" w14:textId="77777777" w:rsidR="00D113E0" w:rsidRDefault="00000000">
      <w:pPr>
        <w:pStyle w:val="Ttulo2"/>
      </w:pPr>
      <w:r>
        <w:t>D. Métricas de evaluación</w:t>
      </w:r>
    </w:p>
    <w:p w14:paraId="06BA4A08" w14:textId="77777777" w:rsidR="00D113E0" w:rsidRDefault="00000000">
      <w:pPr>
        <w:pStyle w:val="Body"/>
      </w:pPr>
      <w:r>
        <w:t>Para el precio numérico se usarán el error absoluto medio (MAE), la raíz del error cuadrático medio (RMSE) y el error porcentual absoluto medio (MAPE) [1], [5]:</w:t>
      </w:r>
    </w:p>
    <w:p w14:paraId="33B6B773" w14:textId="77777777" w:rsidR="00D113E0" w:rsidRDefault="00000000">
      <w:pPr>
        <w:tabs>
          <w:tab w:val="center" w:pos="2520"/>
          <w:tab w:val="right" w:pos="5040"/>
        </w:tabs>
        <w:spacing w:before="60" w:after="100"/>
      </w:pPr>
      <w:r>
        <w:tab/>
        <w:t>MAE = (1/</w:t>
      </w:r>
      <w:r>
        <w:rPr>
          <w:i/>
          <w:iCs/>
        </w:rPr>
        <w:t>n</w:t>
      </w:r>
      <w:r>
        <w:t xml:space="preserve">) Σ | </w:t>
      </w:r>
      <w:proofErr w:type="spellStart"/>
      <w:r>
        <w:rPr>
          <w:i/>
          <w:iCs/>
        </w:rPr>
        <w:t>y</w:t>
      </w:r>
      <w:r>
        <w:rPr>
          <w:i/>
          <w:iCs/>
          <w:vertAlign w:val="subscript"/>
        </w:rPr>
        <w:t>t</w:t>
      </w:r>
      <w:proofErr w:type="spellEnd"/>
      <w:r>
        <w:t xml:space="preserve"> − </w:t>
      </w:r>
      <w:proofErr w:type="spellStart"/>
      <w:r>
        <w:rPr>
          <w:i/>
          <w:iCs/>
        </w:rPr>
        <w:t>ŷ</w:t>
      </w:r>
      <w:r>
        <w:rPr>
          <w:i/>
          <w:iCs/>
          <w:vertAlign w:val="subscript"/>
        </w:rPr>
        <w:t>t</w:t>
      </w:r>
      <w:proofErr w:type="spellEnd"/>
      <w:r>
        <w:t xml:space="preserve"> |</w:t>
      </w:r>
      <w:r>
        <w:tab/>
        <w:t>(1)</w:t>
      </w:r>
    </w:p>
    <w:p w14:paraId="03A88681" w14:textId="77777777" w:rsidR="00D113E0" w:rsidRDefault="00000000">
      <w:pPr>
        <w:tabs>
          <w:tab w:val="center" w:pos="2520"/>
          <w:tab w:val="right" w:pos="5040"/>
        </w:tabs>
        <w:spacing w:before="60" w:after="100"/>
      </w:pPr>
      <w:r>
        <w:tab/>
        <w:t xml:space="preserve">RMSE = </w:t>
      </w:r>
      <w:proofErr w:type="gramStart"/>
      <w:r>
        <w:t>√[</w:t>
      </w:r>
      <w:proofErr w:type="gramEnd"/>
      <w:r>
        <w:t xml:space="preserve"> (1/</w:t>
      </w:r>
      <w:r>
        <w:rPr>
          <w:i/>
          <w:iCs/>
        </w:rPr>
        <w:t>n</w:t>
      </w:r>
      <w:r>
        <w:t xml:space="preserve">) Σ </w:t>
      </w:r>
      <w:proofErr w:type="gramStart"/>
      <w:r>
        <w:t xml:space="preserve">( </w:t>
      </w:r>
      <w:proofErr w:type="spellStart"/>
      <w:r>
        <w:rPr>
          <w:i/>
          <w:iCs/>
        </w:rPr>
        <w:t>y</w:t>
      </w:r>
      <w:r>
        <w:rPr>
          <w:i/>
          <w:iCs/>
          <w:vertAlign w:val="subscript"/>
        </w:rPr>
        <w:t>t</w:t>
      </w:r>
      <w:proofErr w:type="spellEnd"/>
      <w:proofErr w:type="gramEnd"/>
      <w:r>
        <w:t xml:space="preserve"> − </w:t>
      </w:r>
      <w:proofErr w:type="spellStart"/>
      <w:r>
        <w:rPr>
          <w:i/>
          <w:iCs/>
        </w:rPr>
        <w:t>ŷ</w:t>
      </w:r>
      <w:r>
        <w:rPr>
          <w:i/>
          <w:iCs/>
          <w:vertAlign w:val="subscript"/>
        </w:rPr>
        <w:t>t</w:t>
      </w:r>
      <w:proofErr w:type="spellEnd"/>
      <w:r>
        <w:t xml:space="preserve"> )</w:t>
      </w:r>
      <w:proofErr w:type="gramStart"/>
      <w:r>
        <w:rPr>
          <w:vertAlign w:val="superscript"/>
        </w:rPr>
        <w:t>2</w:t>
      </w:r>
      <w:r>
        <w:t xml:space="preserve"> ]</w:t>
      </w:r>
      <w:proofErr w:type="gramEnd"/>
      <w:r>
        <w:tab/>
        <w:t>(2)</w:t>
      </w:r>
    </w:p>
    <w:p w14:paraId="733CC087" w14:textId="77777777" w:rsidR="00D113E0" w:rsidRDefault="00000000">
      <w:pPr>
        <w:tabs>
          <w:tab w:val="center" w:pos="2520"/>
          <w:tab w:val="right" w:pos="5040"/>
        </w:tabs>
        <w:spacing w:before="60" w:after="100"/>
      </w:pPr>
      <w:r>
        <w:tab/>
        <w:t>MAPE = (100%/</w:t>
      </w:r>
      <w:r>
        <w:rPr>
          <w:i/>
          <w:iCs/>
        </w:rPr>
        <w:t>n</w:t>
      </w:r>
      <w:r>
        <w:t xml:space="preserve">) Σ | </w:t>
      </w:r>
      <w:proofErr w:type="gramStart"/>
      <w:r>
        <w:t xml:space="preserve">( </w:t>
      </w:r>
      <w:proofErr w:type="spellStart"/>
      <w:r>
        <w:rPr>
          <w:i/>
          <w:iCs/>
        </w:rPr>
        <w:t>y</w:t>
      </w:r>
      <w:r>
        <w:rPr>
          <w:i/>
          <w:iCs/>
          <w:vertAlign w:val="subscript"/>
        </w:rPr>
        <w:t>t</w:t>
      </w:r>
      <w:proofErr w:type="spellEnd"/>
      <w:proofErr w:type="gramEnd"/>
      <w:r>
        <w:t xml:space="preserve"> − </w:t>
      </w:r>
      <w:proofErr w:type="spellStart"/>
      <w:proofErr w:type="gramStart"/>
      <w:r>
        <w:rPr>
          <w:i/>
          <w:iCs/>
        </w:rPr>
        <w:t>ŷ</w:t>
      </w:r>
      <w:r>
        <w:rPr>
          <w:i/>
          <w:iCs/>
          <w:vertAlign w:val="subscript"/>
        </w:rPr>
        <w:t>t</w:t>
      </w:r>
      <w:proofErr w:type="spellEnd"/>
      <w:r>
        <w:t xml:space="preserve"> )</w:t>
      </w:r>
      <w:proofErr w:type="gramEnd"/>
      <w:r>
        <w:t xml:space="preserve"> / </w:t>
      </w:r>
      <w:proofErr w:type="spellStart"/>
      <w:r>
        <w:rPr>
          <w:i/>
          <w:iCs/>
        </w:rPr>
        <w:t>y</w:t>
      </w:r>
      <w:r>
        <w:rPr>
          <w:i/>
          <w:iCs/>
          <w:vertAlign w:val="subscript"/>
        </w:rPr>
        <w:t>t</w:t>
      </w:r>
      <w:proofErr w:type="spellEnd"/>
      <w:r>
        <w:t xml:space="preserve"> |</w:t>
      </w:r>
      <w:r>
        <w:tab/>
        <w:t>(3)</w:t>
      </w:r>
    </w:p>
    <w:p w14:paraId="7CB2E7B0" w14:textId="77777777" w:rsidR="00D113E0" w:rsidRDefault="00000000">
      <w:pPr>
        <w:pStyle w:val="Body"/>
        <w:ind w:firstLine="0"/>
      </w:pPr>
      <w:r>
        <w:t xml:space="preserve">donde </w:t>
      </w:r>
      <w:proofErr w:type="spellStart"/>
      <w:r>
        <w:rPr>
          <w:i/>
          <w:iCs/>
        </w:rPr>
        <w:t>y</w:t>
      </w:r>
      <w:r>
        <w:rPr>
          <w:i/>
          <w:iCs/>
          <w:vertAlign w:val="subscript"/>
        </w:rPr>
        <w:t>t</w:t>
      </w:r>
      <w:proofErr w:type="spellEnd"/>
      <w:r>
        <w:t xml:space="preserve"> es el precio real, </w:t>
      </w:r>
      <w:proofErr w:type="spellStart"/>
      <w:r>
        <w:rPr>
          <w:i/>
          <w:iCs/>
        </w:rPr>
        <w:t>ŷ</w:t>
      </w:r>
      <w:r>
        <w:rPr>
          <w:i/>
          <w:iCs/>
          <w:vertAlign w:val="subscript"/>
        </w:rPr>
        <w:t>t</w:t>
      </w:r>
      <w:proofErr w:type="spellEnd"/>
      <w:r>
        <w:t xml:space="preserve"> el precio predicho y </w:t>
      </w:r>
      <w:r>
        <w:rPr>
          <w:i/>
          <w:iCs/>
        </w:rPr>
        <w:t>n</w:t>
      </w:r>
      <w:r>
        <w:t xml:space="preserve"> el número de observaciones de prueba. Para la dirección del precio se reportará la proporción de aciertos, lo que permitirá evaluar si el modelo predice mejor el precio numérico o la dirección del mercado.</w:t>
      </w:r>
    </w:p>
    <w:p w14:paraId="766F3376" w14:textId="77777777" w:rsidR="00D113E0" w:rsidRDefault="00000000">
      <w:pPr>
        <w:pStyle w:val="Ttulo2"/>
      </w:pPr>
      <w:r>
        <w:t>E. Criterio de comparación y análisis de fallos</w:t>
      </w:r>
    </w:p>
    <w:p w14:paraId="23161EB2" w14:textId="77777777" w:rsidR="00D113E0" w:rsidRDefault="00000000">
      <w:pPr>
        <w:pStyle w:val="Body"/>
      </w:pPr>
      <w:r>
        <w:t>Todos los modelos se evaluarán sobre el mismo conjunto de prueba. Si la red recurrente no supera a los modelos base, el resultado también responde la pregunta de investigación. Se analizará dónde falla cada modelo, en particular en períodos de cambios bruscos, ya que en [5] las predicciones suavizaron los picos.</w:t>
      </w:r>
    </w:p>
    <w:p w14:paraId="22A44AA3" w14:textId="77777777" w:rsidR="00D113E0" w:rsidRDefault="00000000">
      <w:pPr>
        <w:pStyle w:val="Ttulo1"/>
      </w:pPr>
      <w:r>
        <w:t>VIII. Alcance y limitaciones</w:t>
      </w:r>
    </w:p>
    <w:p w14:paraId="13D01CFE" w14:textId="77777777" w:rsidR="00D113E0" w:rsidRDefault="00000000">
      <w:pPr>
        <w:pStyle w:val="Body"/>
      </w:pPr>
      <w:r>
        <w:t>La Fase 1 desarrollará un sistema experimental para predecir el precio de cierre diario o la dirección futura de Monero usando datos históricos del mercado, y comparará un modelo LSTM con modelos base. El sistema no se presentará como una herramienta de inversión ni como garantía de rentabilidad, sino como un estudio académico sobre la capacidad predictiva de diferentes modelos.</w:t>
      </w:r>
    </w:p>
    <w:p w14:paraId="31F50495" w14:textId="77777777" w:rsidR="00D113E0" w:rsidRDefault="00000000">
      <w:pPr>
        <w:pStyle w:val="Body"/>
      </w:pPr>
      <w:r>
        <w:t>Las fuentes justifican investigar la predicción de Monero, pero no garantizan que un modelo genere ganancias. Las métricas de error no equivalen al desempeño en operaciones reales [5], y el estudio no incluirá simulaciones de inversión. Los cambios bruscos del mercado y los factores externos no capturados por el precio histórico [8] pueden limitar el desempeño.</w:t>
      </w:r>
    </w:p>
    <w:p w14:paraId="1FBD8679" w14:textId="77777777" w:rsidR="00D113E0" w:rsidRDefault="00000000">
      <w:pPr>
        <w:pStyle w:val="Ttulo1"/>
      </w:pPr>
      <w:r>
        <w:t>IX. Conclusiones</w:t>
      </w:r>
    </w:p>
    <w:p w14:paraId="44DC883A" w14:textId="77777777" w:rsidR="00D113E0" w:rsidRDefault="00000000">
      <w:pPr>
        <w:pStyle w:val="Body"/>
      </w:pPr>
      <w:r>
        <w:t>Este documento define el problema, la pregunta de investigación, los objetivos, el estado del arte y una metodología preliminar para evaluar la predicción del precio de Monero con modelos de series de tiempo y aprendizaje automático. La comparación entre una red recurrente y modelos base, con partición temporal y métricas objetivas, permitirá determinar qué tan eficaz es el enfoque sin sobreestimar su capacidad predictiva.</w:t>
      </w:r>
    </w:p>
    <w:p w14:paraId="5B6302B8" w14:textId="77777777" w:rsidR="00D113E0" w:rsidRPr="009F7D32" w:rsidRDefault="00000000">
      <w:pPr>
        <w:pStyle w:val="Ttulo1"/>
        <w:rPr>
          <w:lang w:val="en-US"/>
        </w:rPr>
      </w:pPr>
      <w:proofErr w:type="spellStart"/>
      <w:r w:rsidRPr="009F7D32">
        <w:rPr>
          <w:lang w:val="en-US"/>
        </w:rPr>
        <w:t>Referencias</w:t>
      </w:r>
      <w:proofErr w:type="spellEnd"/>
    </w:p>
    <w:p w14:paraId="006C2B08" w14:textId="77777777" w:rsidR="00D113E0" w:rsidRPr="009F7D32" w:rsidRDefault="00000000">
      <w:pPr>
        <w:pStyle w:val="Ref"/>
        <w:rPr>
          <w:lang w:val="en-US"/>
        </w:rPr>
      </w:pPr>
      <w:r w:rsidRPr="009F7D32">
        <w:rPr>
          <w:lang w:val="en-US"/>
        </w:rPr>
        <w:t>[1]</w:t>
      </w:r>
      <w:r w:rsidRPr="009F7D32">
        <w:rPr>
          <w:lang w:val="en-US"/>
        </w:rPr>
        <w:tab/>
        <w:t xml:space="preserve">M. M. Patel, S. Tanwar, R. Gupta, and N. Kumar, “A deep learning-based cryptocurrency price prediction scheme for financial institutions,” </w:t>
      </w:r>
      <w:r w:rsidRPr="009F7D32">
        <w:rPr>
          <w:i/>
          <w:iCs/>
          <w:lang w:val="en-US"/>
        </w:rPr>
        <w:t xml:space="preserve">J. Inf. </w:t>
      </w:r>
      <w:proofErr w:type="spellStart"/>
      <w:r>
        <w:rPr>
          <w:i/>
          <w:iCs/>
        </w:rPr>
        <w:t>Secur</w:t>
      </w:r>
      <w:proofErr w:type="spellEnd"/>
      <w:r>
        <w:rPr>
          <w:i/>
          <w:iCs/>
        </w:rPr>
        <w:t xml:space="preserve">. </w:t>
      </w:r>
      <w:r w:rsidRPr="009F7D32">
        <w:rPr>
          <w:i/>
          <w:iCs/>
          <w:lang w:val="en-US"/>
        </w:rPr>
        <w:t>Appl.</w:t>
      </w:r>
      <w:r w:rsidRPr="009F7D32">
        <w:rPr>
          <w:lang w:val="en-US"/>
        </w:rPr>
        <w:t xml:space="preserve">, vol. 55, pp. 1–12, Dec. 2020, Art. no. 102583, </w:t>
      </w:r>
      <w:proofErr w:type="spellStart"/>
      <w:r w:rsidRPr="009F7D32">
        <w:rPr>
          <w:lang w:val="en-US"/>
        </w:rPr>
        <w:t>doi</w:t>
      </w:r>
      <w:proofErr w:type="spellEnd"/>
      <w:r w:rsidRPr="009F7D32">
        <w:rPr>
          <w:lang w:val="en-US"/>
        </w:rPr>
        <w:t>: 10.1016/j.jisa.2020.102583.</w:t>
      </w:r>
    </w:p>
    <w:p w14:paraId="50BB91BF" w14:textId="77777777" w:rsidR="00D113E0" w:rsidRPr="009F7D32" w:rsidRDefault="00000000">
      <w:pPr>
        <w:pStyle w:val="Ref"/>
        <w:rPr>
          <w:lang w:val="en-US"/>
        </w:rPr>
      </w:pPr>
      <w:r w:rsidRPr="009F7D32">
        <w:rPr>
          <w:lang w:val="en-US"/>
        </w:rPr>
        <w:t>[2]</w:t>
      </w:r>
      <w:r w:rsidRPr="009F7D32">
        <w:rPr>
          <w:lang w:val="en-US"/>
        </w:rPr>
        <w:tab/>
        <w:t xml:space="preserve">S. </w:t>
      </w:r>
      <w:proofErr w:type="spellStart"/>
      <w:r w:rsidRPr="009F7D32">
        <w:rPr>
          <w:lang w:val="en-US"/>
        </w:rPr>
        <w:t>Hansun</w:t>
      </w:r>
      <w:proofErr w:type="spellEnd"/>
      <w:r w:rsidRPr="009F7D32">
        <w:rPr>
          <w:lang w:val="en-US"/>
        </w:rPr>
        <w:t xml:space="preserve">, A. </w:t>
      </w:r>
      <w:proofErr w:type="spellStart"/>
      <w:r w:rsidRPr="009F7D32">
        <w:rPr>
          <w:lang w:val="en-US"/>
        </w:rPr>
        <w:t>Wicaksana</w:t>
      </w:r>
      <w:proofErr w:type="spellEnd"/>
      <w:r w:rsidRPr="009F7D32">
        <w:rPr>
          <w:lang w:val="en-US"/>
        </w:rPr>
        <w:t xml:space="preserve">, and A. Q. M. Khaliq, “Multivariate cryptocurrency prediction: Comparative analysis of three recurrent neural networks approaches,” </w:t>
      </w:r>
      <w:r w:rsidRPr="009F7D32">
        <w:rPr>
          <w:i/>
          <w:iCs/>
          <w:lang w:val="en-US"/>
        </w:rPr>
        <w:t>J. Big Data</w:t>
      </w:r>
      <w:r w:rsidRPr="009F7D32">
        <w:rPr>
          <w:lang w:val="en-US"/>
        </w:rPr>
        <w:t xml:space="preserve">, vol. 9, no. 1, pp. 1–15, 2022, </w:t>
      </w:r>
      <w:proofErr w:type="spellStart"/>
      <w:r w:rsidRPr="009F7D32">
        <w:rPr>
          <w:lang w:val="en-US"/>
        </w:rPr>
        <w:t>doi</w:t>
      </w:r>
      <w:proofErr w:type="spellEnd"/>
      <w:r w:rsidRPr="009F7D32">
        <w:rPr>
          <w:lang w:val="en-US"/>
        </w:rPr>
        <w:t>: 10.1186/s40537-022-00601-7.</w:t>
      </w:r>
    </w:p>
    <w:p w14:paraId="46D31CF0" w14:textId="77777777" w:rsidR="00D113E0" w:rsidRPr="009F7D32" w:rsidRDefault="00000000">
      <w:pPr>
        <w:pStyle w:val="Ref"/>
        <w:rPr>
          <w:lang w:val="en-US"/>
        </w:rPr>
      </w:pPr>
      <w:r w:rsidRPr="009F7D32">
        <w:rPr>
          <w:lang w:val="en-US"/>
        </w:rPr>
        <w:t>[3]</w:t>
      </w:r>
      <w:r w:rsidRPr="009F7D32">
        <w:rPr>
          <w:lang w:val="en-US"/>
        </w:rPr>
        <w:tab/>
        <w:t xml:space="preserve">P. L. </w:t>
      </w:r>
      <w:proofErr w:type="spellStart"/>
      <w:r w:rsidRPr="009F7D32">
        <w:rPr>
          <w:lang w:val="en-US"/>
        </w:rPr>
        <w:t>Seabe</w:t>
      </w:r>
      <w:proofErr w:type="spellEnd"/>
      <w:r w:rsidRPr="009F7D32">
        <w:rPr>
          <w:lang w:val="en-US"/>
        </w:rPr>
        <w:t xml:space="preserve">, C. R. B. </w:t>
      </w:r>
      <w:proofErr w:type="spellStart"/>
      <w:r w:rsidRPr="009F7D32">
        <w:rPr>
          <w:lang w:val="en-US"/>
        </w:rPr>
        <w:t>Moutsinga</w:t>
      </w:r>
      <w:proofErr w:type="spellEnd"/>
      <w:r w:rsidRPr="009F7D32">
        <w:rPr>
          <w:lang w:val="en-US"/>
        </w:rPr>
        <w:t xml:space="preserve">, and E. </w:t>
      </w:r>
      <w:proofErr w:type="spellStart"/>
      <w:r w:rsidRPr="009F7D32">
        <w:rPr>
          <w:lang w:val="en-US"/>
        </w:rPr>
        <w:t>Pindza</w:t>
      </w:r>
      <w:proofErr w:type="spellEnd"/>
      <w:r w:rsidRPr="009F7D32">
        <w:rPr>
          <w:lang w:val="en-US"/>
        </w:rPr>
        <w:t xml:space="preserve">, “Forecasting cryptocurrency prices using LSTM, GRU, and bi-directional LSTM: A deep learning approach,” </w:t>
      </w:r>
      <w:r w:rsidRPr="009F7D32">
        <w:rPr>
          <w:i/>
          <w:iCs/>
          <w:lang w:val="en-US"/>
        </w:rPr>
        <w:t xml:space="preserve">Fractal </w:t>
      </w:r>
      <w:proofErr w:type="spellStart"/>
      <w:r w:rsidRPr="009F7D32">
        <w:rPr>
          <w:i/>
          <w:iCs/>
          <w:lang w:val="en-US"/>
        </w:rPr>
        <w:t>Fract</w:t>
      </w:r>
      <w:proofErr w:type="spellEnd"/>
      <w:r w:rsidRPr="009F7D32">
        <w:rPr>
          <w:i/>
          <w:iCs/>
          <w:lang w:val="en-US"/>
        </w:rPr>
        <w:t>.</w:t>
      </w:r>
      <w:r w:rsidRPr="009F7D32">
        <w:rPr>
          <w:lang w:val="en-US"/>
        </w:rPr>
        <w:t xml:space="preserve">, vol. 7, no. 2, Art. no. 203, 2023, </w:t>
      </w:r>
      <w:proofErr w:type="spellStart"/>
      <w:r w:rsidRPr="009F7D32">
        <w:rPr>
          <w:lang w:val="en-US"/>
        </w:rPr>
        <w:t>doi</w:t>
      </w:r>
      <w:proofErr w:type="spellEnd"/>
      <w:r w:rsidRPr="009F7D32">
        <w:rPr>
          <w:lang w:val="en-US"/>
        </w:rPr>
        <w:t>: 10.3390/fractalfract7020203.</w:t>
      </w:r>
    </w:p>
    <w:p w14:paraId="2C09EC3E" w14:textId="77777777" w:rsidR="00D113E0" w:rsidRPr="009F7D32" w:rsidRDefault="00000000">
      <w:pPr>
        <w:pStyle w:val="Ref"/>
        <w:rPr>
          <w:lang w:val="en-US"/>
        </w:rPr>
      </w:pPr>
      <w:r w:rsidRPr="009F7D32">
        <w:rPr>
          <w:lang w:val="en-US"/>
        </w:rPr>
        <w:t>[4]</w:t>
      </w:r>
      <w:r w:rsidRPr="009F7D32">
        <w:rPr>
          <w:lang w:val="en-US"/>
        </w:rPr>
        <w:tab/>
        <w:t xml:space="preserve">R. </w:t>
      </w:r>
      <w:proofErr w:type="spellStart"/>
      <w:r w:rsidRPr="009F7D32">
        <w:rPr>
          <w:lang w:val="en-US"/>
        </w:rPr>
        <w:t>Pambudi</w:t>
      </w:r>
      <w:proofErr w:type="spellEnd"/>
      <w:r w:rsidRPr="009F7D32">
        <w:rPr>
          <w:lang w:val="en-US"/>
        </w:rPr>
        <w:t xml:space="preserve">, D. M. K. </w:t>
      </w:r>
      <w:proofErr w:type="spellStart"/>
      <w:r w:rsidRPr="009F7D32">
        <w:rPr>
          <w:lang w:val="en-US"/>
        </w:rPr>
        <w:t>Nugraheni</w:t>
      </w:r>
      <w:proofErr w:type="spellEnd"/>
      <w:r w:rsidRPr="009F7D32">
        <w:rPr>
          <w:lang w:val="en-US"/>
        </w:rPr>
        <w:t xml:space="preserve">, and A. P. Widodo, “Comparative performance analysis of deep learning models for cryptocurrency price </w:t>
      </w:r>
      <w:r w:rsidRPr="009F7D32">
        <w:rPr>
          <w:lang w:val="en-US"/>
        </w:rPr>
        <w:lastRenderedPageBreak/>
        <w:t xml:space="preserve">forecasting,” </w:t>
      </w:r>
      <w:r w:rsidRPr="009F7D32">
        <w:rPr>
          <w:i/>
          <w:iCs/>
          <w:lang w:val="en-US"/>
        </w:rPr>
        <w:t>Sci. J. Informatics</w:t>
      </w:r>
      <w:r w:rsidRPr="009F7D32">
        <w:rPr>
          <w:lang w:val="en-US"/>
        </w:rPr>
        <w:t xml:space="preserve">, vol. 12, no. 4, pp. 743–756, Nov. 2025, </w:t>
      </w:r>
      <w:proofErr w:type="spellStart"/>
      <w:r w:rsidRPr="009F7D32">
        <w:rPr>
          <w:lang w:val="en-US"/>
        </w:rPr>
        <w:t>doi</w:t>
      </w:r>
      <w:proofErr w:type="spellEnd"/>
      <w:r w:rsidRPr="009F7D32">
        <w:rPr>
          <w:lang w:val="en-US"/>
        </w:rPr>
        <w:t>: 10.15294/</w:t>
      </w:r>
      <w:proofErr w:type="gramStart"/>
      <w:r w:rsidRPr="009F7D32">
        <w:rPr>
          <w:lang w:val="en-US"/>
        </w:rPr>
        <w:t>sji.v</w:t>
      </w:r>
      <w:proofErr w:type="gramEnd"/>
      <w:r w:rsidRPr="009F7D32">
        <w:rPr>
          <w:lang w:val="en-US"/>
        </w:rPr>
        <w:t>12i4.35653.</w:t>
      </w:r>
    </w:p>
    <w:p w14:paraId="13B8E430" w14:textId="77777777" w:rsidR="00D113E0" w:rsidRPr="009F7D32" w:rsidRDefault="00000000">
      <w:pPr>
        <w:pStyle w:val="Ref"/>
        <w:rPr>
          <w:lang w:val="en-US"/>
        </w:rPr>
      </w:pPr>
      <w:r w:rsidRPr="009F7D32">
        <w:rPr>
          <w:lang w:val="en-US"/>
        </w:rPr>
        <w:t>[5]</w:t>
      </w:r>
      <w:r w:rsidRPr="009F7D32">
        <w:rPr>
          <w:lang w:val="en-US"/>
        </w:rPr>
        <w:tab/>
        <w:t xml:space="preserve">R. Kaur </w:t>
      </w:r>
      <w:r w:rsidRPr="009F7D32">
        <w:rPr>
          <w:i/>
          <w:iCs/>
          <w:lang w:val="en-US"/>
        </w:rPr>
        <w:t>et al.</w:t>
      </w:r>
      <w:r w:rsidRPr="009F7D32">
        <w:rPr>
          <w:lang w:val="en-US"/>
        </w:rPr>
        <w:t xml:space="preserve">, “Development of a cryptocurrency price prediction model: Leveraging GRU and LSTM for Bitcoin, Litecoin and Ethereum,” </w:t>
      </w:r>
      <w:proofErr w:type="spellStart"/>
      <w:r w:rsidRPr="009F7D32">
        <w:rPr>
          <w:i/>
          <w:iCs/>
          <w:lang w:val="en-US"/>
        </w:rPr>
        <w:t>PeerJ</w:t>
      </w:r>
      <w:proofErr w:type="spellEnd"/>
      <w:r w:rsidRPr="009F7D32">
        <w:rPr>
          <w:i/>
          <w:iCs/>
          <w:lang w:val="en-US"/>
        </w:rPr>
        <w:t xml:space="preserve"> </w:t>
      </w:r>
      <w:proofErr w:type="spellStart"/>
      <w:r w:rsidRPr="009F7D32">
        <w:rPr>
          <w:i/>
          <w:iCs/>
          <w:lang w:val="en-US"/>
        </w:rPr>
        <w:t>Comput</w:t>
      </w:r>
      <w:proofErr w:type="spellEnd"/>
      <w:r w:rsidRPr="009F7D32">
        <w:rPr>
          <w:i/>
          <w:iCs/>
          <w:lang w:val="en-US"/>
        </w:rPr>
        <w:t>. Sci.</w:t>
      </w:r>
      <w:r w:rsidRPr="009F7D32">
        <w:rPr>
          <w:lang w:val="en-US"/>
        </w:rPr>
        <w:t xml:space="preserve">, vol. 11, Art. no. e2675, 2025, </w:t>
      </w:r>
      <w:proofErr w:type="spellStart"/>
      <w:r w:rsidRPr="009F7D32">
        <w:rPr>
          <w:lang w:val="en-US"/>
        </w:rPr>
        <w:t>doi</w:t>
      </w:r>
      <w:proofErr w:type="spellEnd"/>
      <w:r w:rsidRPr="009F7D32">
        <w:rPr>
          <w:lang w:val="en-US"/>
        </w:rPr>
        <w:t>: 10.7717/peerj-cs.2675.</w:t>
      </w:r>
    </w:p>
    <w:p w14:paraId="3716BADD" w14:textId="77777777" w:rsidR="00D113E0" w:rsidRPr="009F7D32" w:rsidRDefault="00000000">
      <w:pPr>
        <w:pStyle w:val="Ref"/>
        <w:rPr>
          <w:lang w:val="en-US"/>
        </w:rPr>
      </w:pPr>
      <w:r w:rsidRPr="009F7D32">
        <w:rPr>
          <w:lang w:val="en-US"/>
        </w:rPr>
        <w:t>[6]</w:t>
      </w:r>
      <w:r w:rsidRPr="009F7D32">
        <w:rPr>
          <w:lang w:val="en-US"/>
        </w:rPr>
        <w:tab/>
        <w:t xml:space="preserve">S. Hochreiter and J. </w:t>
      </w:r>
      <w:proofErr w:type="spellStart"/>
      <w:r w:rsidRPr="009F7D32">
        <w:rPr>
          <w:lang w:val="en-US"/>
        </w:rPr>
        <w:t>Schmidhuber</w:t>
      </w:r>
      <w:proofErr w:type="spellEnd"/>
      <w:r w:rsidRPr="009F7D32">
        <w:rPr>
          <w:lang w:val="en-US"/>
        </w:rPr>
        <w:t xml:space="preserve">, “Long short-term memory,” </w:t>
      </w:r>
      <w:r w:rsidRPr="009F7D32">
        <w:rPr>
          <w:i/>
          <w:iCs/>
          <w:lang w:val="en-US"/>
        </w:rPr>
        <w:t xml:space="preserve">Neural </w:t>
      </w:r>
      <w:proofErr w:type="spellStart"/>
      <w:r w:rsidRPr="009F7D32">
        <w:rPr>
          <w:i/>
          <w:iCs/>
          <w:lang w:val="en-US"/>
        </w:rPr>
        <w:t>Comput</w:t>
      </w:r>
      <w:proofErr w:type="spellEnd"/>
      <w:r w:rsidRPr="009F7D32">
        <w:rPr>
          <w:i/>
          <w:iCs/>
          <w:lang w:val="en-US"/>
        </w:rPr>
        <w:t>.</w:t>
      </w:r>
      <w:r w:rsidRPr="009F7D32">
        <w:rPr>
          <w:lang w:val="en-US"/>
        </w:rPr>
        <w:t xml:space="preserve">, vol. 9, no. 8, pp. 1735–1780, 1997, </w:t>
      </w:r>
      <w:proofErr w:type="spellStart"/>
      <w:r w:rsidRPr="009F7D32">
        <w:rPr>
          <w:lang w:val="en-US"/>
        </w:rPr>
        <w:t>doi</w:t>
      </w:r>
      <w:proofErr w:type="spellEnd"/>
      <w:r w:rsidRPr="009F7D32">
        <w:rPr>
          <w:lang w:val="en-US"/>
        </w:rPr>
        <w:t>: 10.1162/neco.1997.9.8.1735.</w:t>
      </w:r>
    </w:p>
    <w:p w14:paraId="7E0B7750" w14:textId="77777777" w:rsidR="00D113E0" w:rsidRPr="009F7D32" w:rsidRDefault="00000000">
      <w:pPr>
        <w:pStyle w:val="Ref"/>
        <w:rPr>
          <w:lang w:val="en-US"/>
        </w:rPr>
      </w:pPr>
      <w:r w:rsidRPr="009F7D32">
        <w:rPr>
          <w:lang w:val="en-US"/>
        </w:rPr>
        <w:t>[7]</w:t>
      </w:r>
      <w:r w:rsidRPr="009F7D32">
        <w:rPr>
          <w:lang w:val="en-US"/>
        </w:rPr>
        <w:tab/>
        <w:t xml:space="preserve">K. Cho </w:t>
      </w:r>
      <w:r w:rsidRPr="009F7D32">
        <w:rPr>
          <w:i/>
          <w:iCs/>
          <w:lang w:val="en-US"/>
        </w:rPr>
        <w:t>et al.</w:t>
      </w:r>
      <w:r w:rsidRPr="009F7D32">
        <w:rPr>
          <w:lang w:val="en-US"/>
        </w:rPr>
        <w:t xml:space="preserve">, “Learning phrase representations using RNN encoder–decoder for statistical machine translation,” in </w:t>
      </w:r>
      <w:r w:rsidRPr="009F7D32">
        <w:rPr>
          <w:i/>
          <w:iCs/>
          <w:lang w:val="en-US"/>
        </w:rPr>
        <w:t xml:space="preserve">Proc. </w:t>
      </w:r>
      <w:r>
        <w:rPr>
          <w:i/>
          <w:iCs/>
        </w:rPr>
        <w:t xml:space="preserve">Conf. </w:t>
      </w:r>
      <w:proofErr w:type="spellStart"/>
      <w:r>
        <w:rPr>
          <w:i/>
          <w:iCs/>
        </w:rPr>
        <w:t>Empirical</w:t>
      </w:r>
      <w:proofErr w:type="spellEnd"/>
      <w:r>
        <w:rPr>
          <w:i/>
          <w:iCs/>
        </w:rPr>
        <w:t xml:space="preserve"> </w:t>
      </w:r>
      <w:proofErr w:type="spellStart"/>
      <w:r>
        <w:rPr>
          <w:i/>
          <w:iCs/>
        </w:rPr>
        <w:t>Methods</w:t>
      </w:r>
      <w:proofErr w:type="spellEnd"/>
      <w:r>
        <w:rPr>
          <w:i/>
          <w:iCs/>
        </w:rPr>
        <w:t xml:space="preserve"> Natural Lang. Process. </w:t>
      </w:r>
      <w:r w:rsidRPr="009F7D32">
        <w:rPr>
          <w:i/>
          <w:iCs/>
          <w:lang w:val="en-US"/>
        </w:rPr>
        <w:t>(EMNLP)</w:t>
      </w:r>
      <w:r w:rsidRPr="009F7D32">
        <w:rPr>
          <w:lang w:val="en-US"/>
        </w:rPr>
        <w:t xml:space="preserve">, 2014, pp. 1724–1734, </w:t>
      </w:r>
      <w:proofErr w:type="spellStart"/>
      <w:r w:rsidRPr="009F7D32">
        <w:rPr>
          <w:lang w:val="en-US"/>
        </w:rPr>
        <w:t>doi</w:t>
      </w:r>
      <w:proofErr w:type="spellEnd"/>
      <w:r w:rsidRPr="009F7D32">
        <w:rPr>
          <w:lang w:val="en-US"/>
        </w:rPr>
        <w:t>: 10.3115/v1/D14-1179.</w:t>
      </w:r>
    </w:p>
    <w:p w14:paraId="18ED3FC3" w14:textId="77777777" w:rsidR="00D113E0" w:rsidRPr="009F7D32" w:rsidRDefault="00000000">
      <w:pPr>
        <w:pStyle w:val="Ref"/>
        <w:rPr>
          <w:lang w:val="en-US"/>
        </w:rPr>
      </w:pPr>
      <w:r w:rsidRPr="009F7D32">
        <w:rPr>
          <w:lang w:val="en-US"/>
        </w:rPr>
        <w:t>[8]</w:t>
      </w:r>
      <w:r w:rsidRPr="009F7D32">
        <w:rPr>
          <w:lang w:val="en-US"/>
        </w:rPr>
        <w:tab/>
        <w:t xml:space="preserve">T. Walther, T. Klein, and E. Bouri, “Exogenous drivers of Bitcoin and cryptocurrency volatility – A mixed data sampling approach to forecasting,” </w:t>
      </w:r>
      <w:r w:rsidRPr="009F7D32">
        <w:rPr>
          <w:i/>
          <w:iCs/>
          <w:lang w:val="en-US"/>
        </w:rPr>
        <w:t>J. Int. Financial Markets, Inst. Money</w:t>
      </w:r>
      <w:r w:rsidRPr="009F7D32">
        <w:rPr>
          <w:lang w:val="en-US"/>
        </w:rPr>
        <w:t xml:space="preserve">, vol. 63, Art. no. 101133, 2019, </w:t>
      </w:r>
      <w:proofErr w:type="spellStart"/>
      <w:r w:rsidRPr="009F7D32">
        <w:rPr>
          <w:lang w:val="en-US"/>
        </w:rPr>
        <w:t>doi</w:t>
      </w:r>
      <w:proofErr w:type="spellEnd"/>
      <w:r w:rsidRPr="009F7D32">
        <w:rPr>
          <w:lang w:val="en-US"/>
        </w:rPr>
        <w:t>: 10.1016/j.intfin.2019.101133.</w:t>
      </w:r>
    </w:p>
    <w:p w14:paraId="60B3CD84" w14:textId="77777777" w:rsidR="00D113E0" w:rsidRPr="009F7D32" w:rsidRDefault="00000000">
      <w:pPr>
        <w:pStyle w:val="Ref"/>
        <w:rPr>
          <w:lang w:val="en-US"/>
        </w:rPr>
      </w:pPr>
      <w:r w:rsidRPr="009F7D32">
        <w:rPr>
          <w:lang w:val="en-US"/>
        </w:rPr>
        <w:t>[9]</w:t>
      </w:r>
      <w:r w:rsidRPr="009F7D32">
        <w:rPr>
          <w:lang w:val="en-US"/>
        </w:rPr>
        <w:tab/>
        <w:t>Scikit-learn Developers, “</w:t>
      </w:r>
      <w:proofErr w:type="spellStart"/>
      <w:r w:rsidRPr="009F7D32">
        <w:rPr>
          <w:lang w:val="en-US"/>
        </w:rPr>
        <w:t>TimeSeriesSplit</w:t>
      </w:r>
      <w:proofErr w:type="spellEnd"/>
      <w:r w:rsidRPr="009F7D32">
        <w:rPr>
          <w:lang w:val="en-US"/>
        </w:rPr>
        <w:t xml:space="preserve">,” </w:t>
      </w:r>
      <w:r w:rsidRPr="009F7D32">
        <w:rPr>
          <w:i/>
          <w:iCs/>
          <w:lang w:val="en-US"/>
        </w:rPr>
        <w:t>Scikit-learn Documentation</w:t>
      </w:r>
      <w:r w:rsidRPr="009F7D32">
        <w:rPr>
          <w:lang w:val="en-US"/>
        </w:rPr>
        <w:t>, 2025. [Online]. Available: https://scikit-learn.org/stable/modules/generated/sklearn.model_selection.TimeSeriesSplit.html</w:t>
      </w:r>
    </w:p>
    <w:sectPr w:rsidR="00D113E0" w:rsidRPr="009F7D32">
      <w:footerReference w:type="default" r:id="rId8"/>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6C24A" w14:textId="77777777" w:rsidR="00876533" w:rsidRDefault="00876533">
      <w:r>
        <w:separator/>
      </w:r>
    </w:p>
  </w:endnote>
  <w:endnote w:type="continuationSeparator" w:id="0">
    <w:p w14:paraId="64B04D47" w14:textId="77777777" w:rsidR="00876533" w:rsidRDefault="00876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4AFD" w14:textId="77777777" w:rsidR="00D113E0" w:rsidRDefault="00000000">
    <w:pPr>
      <w:jc w:val="center"/>
    </w:pPr>
    <w:r>
      <w:rPr>
        <w:sz w:val="16"/>
        <w:szCs w:val="16"/>
      </w:rPr>
      <w:fldChar w:fldCharType="begin"/>
    </w:r>
    <w:r>
      <w:rPr>
        <w:sz w:val="16"/>
        <w:szCs w:val="16"/>
      </w:rPr>
      <w:instrText>PAGE</w:instrText>
    </w:r>
    <w:r>
      <w:rPr>
        <w:sz w:val="16"/>
        <w:szCs w:val="16"/>
      </w:rPr>
      <w:fldChar w:fldCharType="separate"/>
    </w:r>
    <w:r w:rsidR="009F7D32">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BF652" w14:textId="77777777" w:rsidR="00D113E0" w:rsidRDefault="00000000">
    <w:pPr>
      <w:jc w:val="center"/>
    </w:pPr>
    <w:r>
      <w:rPr>
        <w:sz w:val="16"/>
        <w:szCs w:val="16"/>
      </w:rPr>
      <w:fldChar w:fldCharType="begin"/>
    </w:r>
    <w:r>
      <w:rPr>
        <w:sz w:val="16"/>
        <w:szCs w:val="16"/>
      </w:rPr>
      <w:instrText>PAGE</w:instrText>
    </w:r>
    <w:r>
      <w:rPr>
        <w:sz w:val="16"/>
        <w:szCs w:val="16"/>
      </w:rPr>
      <w:fldChar w:fldCharType="separate"/>
    </w:r>
    <w:r w:rsidR="009F7D32">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420C" w14:textId="77777777" w:rsidR="00876533" w:rsidRDefault="00876533">
      <w:r>
        <w:separator/>
      </w:r>
    </w:p>
  </w:footnote>
  <w:footnote w:type="continuationSeparator" w:id="0">
    <w:p w14:paraId="1872A07E" w14:textId="77777777" w:rsidR="00876533" w:rsidRDefault="00876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10C"/>
    <w:multiLevelType w:val="hybridMultilevel"/>
    <w:tmpl w:val="E462059A"/>
    <w:lvl w:ilvl="0" w:tplc="3BD006D8">
      <w:start w:val="1"/>
      <w:numFmt w:val="bullet"/>
      <w:lvlText w:val="●"/>
      <w:lvlJc w:val="left"/>
      <w:pPr>
        <w:ind w:left="720" w:hanging="360"/>
      </w:pPr>
    </w:lvl>
    <w:lvl w:ilvl="1" w:tplc="EE445508">
      <w:start w:val="1"/>
      <w:numFmt w:val="bullet"/>
      <w:lvlText w:val="○"/>
      <w:lvlJc w:val="left"/>
      <w:pPr>
        <w:ind w:left="1440" w:hanging="360"/>
      </w:pPr>
    </w:lvl>
    <w:lvl w:ilvl="2" w:tplc="86B8E2C2">
      <w:start w:val="1"/>
      <w:numFmt w:val="bullet"/>
      <w:lvlText w:val="■"/>
      <w:lvlJc w:val="left"/>
      <w:pPr>
        <w:ind w:left="2160" w:hanging="360"/>
      </w:pPr>
    </w:lvl>
    <w:lvl w:ilvl="3" w:tplc="D3F4B6C6">
      <w:start w:val="1"/>
      <w:numFmt w:val="bullet"/>
      <w:lvlText w:val="●"/>
      <w:lvlJc w:val="left"/>
      <w:pPr>
        <w:ind w:left="2880" w:hanging="360"/>
      </w:pPr>
    </w:lvl>
    <w:lvl w:ilvl="4" w:tplc="5298E61A">
      <w:start w:val="1"/>
      <w:numFmt w:val="bullet"/>
      <w:lvlText w:val="○"/>
      <w:lvlJc w:val="left"/>
      <w:pPr>
        <w:ind w:left="3600" w:hanging="360"/>
      </w:pPr>
    </w:lvl>
    <w:lvl w:ilvl="5" w:tplc="1AD837DE">
      <w:start w:val="1"/>
      <w:numFmt w:val="bullet"/>
      <w:lvlText w:val="■"/>
      <w:lvlJc w:val="left"/>
      <w:pPr>
        <w:ind w:left="4320" w:hanging="360"/>
      </w:pPr>
    </w:lvl>
    <w:lvl w:ilvl="6" w:tplc="AEEE53A2">
      <w:start w:val="1"/>
      <w:numFmt w:val="bullet"/>
      <w:lvlText w:val="●"/>
      <w:lvlJc w:val="left"/>
      <w:pPr>
        <w:ind w:left="5040" w:hanging="360"/>
      </w:pPr>
    </w:lvl>
    <w:lvl w:ilvl="7" w:tplc="E1A63C78">
      <w:start w:val="1"/>
      <w:numFmt w:val="bullet"/>
      <w:lvlText w:val="●"/>
      <w:lvlJc w:val="left"/>
      <w:pPr>
        <w:ind w:left="5760" w:hanging="360"/>
      </w:pPr>
    </w:lvl>
    <w:lvl w:ilvl="8" w:tplc="45C2977C">
      <w:start w:val="1"/>
      <w:numFmt w:val="bullet"/>
      <w:lvlText w:val="●"/>
      <w:lvlJc w:val="left"/>
      <w:pPr>
        <w:ind w:left="6480" w:hanging="360"/>
      </w:pPr>
    </w:lvl>
  </w:abstractNum>
  <w:abstractNum w:abstractNumId="1" w15:restartNumberingAfterBreak="0">
    <w:nsid w:val="02510586"/>
    <w:multiLevelType w:val="hybridMultilevel"/>
    <w:tmpl w:val="2CBED674"/>
    <w:lvl w:ilvl="0" w:tplc="A9C69DAA">
      <w:start w:val="1"/>
      <w:numFmt w:val="decimal"/>
      <w:lvlText w:val="%1)"/>
      <w:lvlJc w:val="left"/>
      <w:pPr>
        <w:ind w:left="360" w:hanging="280"/>
      </w:pPr>
    </w:lvl>
    <w:lvl w:ilvl="1" w:tplc="2CAC411E">
      <w:numFmt w:val="decimal"/>
      <w:lvlText w:val=""/>
      <w:lvlJc w:val="left"/>
    </w:lvl>
    <w:lvl w:ilvl="2" w:tplc="9B00D7F6">
      <w:numFmt w:val="decimal"/>
      <w:lvlText w:val=""/>
      <w:lvlJc w:val="left"/>
    </w:lvl>
    <w:lvl w:ilvl="3" w:tplc="7552563E">
      <w:numFmt w:val="decimal"/>
      <w:lvlText w:val=""/>
      <w:lvlJc w:val="left"/>
    </w:lvl>
    <w:lvl w:ilvl="4" w:tplc="1FD0C578">
      <w:numFmt w:val="decimal"/>
      <w:lvlText w:val=""/>
      <w:lvlJc w:val="left"/>
    </w:lvl>
    <w:lvl w:ilvl="5" w:tplc="3ED4B060">
      <w:numFmt w:val="decimal"/>
      <w:lvlText w:val=""/>
      <w:lvlJc w:val="left"/>
    </w:lvl>
    <w:lvl w:ilvl="6" w:tplc="DC38E214">
      <w:numFmt w:val="decimal"/>
      <w:lvlText w:val=""/>
      <w:lvlJc w:val="left"/>
    </w:lvl>
    <w:lvl w:ilvl="7" w:tplc="D180B078">
      <w:numFmt w:val="decimal"/>
      <w:lvlText w:val=""/>
      <w:lvlJc w:val="left"/>
    </w:lvl>
    <w:lvl w:ilvl="8" w:tplc="60FC3404">
      <w:numFmt w:val="decimal"/>
      <w:lvlText w:val=""/>
      <w:lvlJc w:val="left"/>
    </w:lvl>
  </w:abstractNum>
  <w:abstractNum w:abstractNumId="2" w15:restartNumberingAfterBreak="0">
    <w:nsid w:val="145F23CA"/>
    <w:multiLevelType w:val="hybridMultilevel"/>
    <w:tmpl w:val="6F6E58A0"/>
    <w:lvl w:ilvl="0" w:tplc="7D34BCDE">
      <w:start w:val="1"/>
      <w:numFmt w:val="decimal"/>
      <w:lvlText w:val="%1)"/>
      <w:lvlJc w:val="left"/>
      <w:pPr>
        <w:ind w:left="360" w:hanging="280"/>
      </w:pPr>
    </w:lvl>
    <w:lvl w:ilvl="1" w:tplc="07C42D1C">
      <w:numFmt w:val="decimal"/>
      <w:lvlText w:val=""/>
      <w:lvlJc w:val="left"/>
    </w:lvl>
    <w:lvl w:ilvl="2" w:tplc="150605F8">
      <w:numFmt w:val="decimal"/>
      <w:lvlText w:val=""/>
      <w:lvlJc w:val="left"/>
    </w:lvl>
    <w:lvl w:ilvl="3" w:tplc="5BFE97B4">
      <w:numFmt w:val="decimal"/>
      <w:lvlText w:val=""/>
      <w:lvlJc w:val="left"/>
    </w:lvl>
    <w:lvl w:ilvl="4" w:tplc="604A627C">
      <w:numFmt w:val="decimal"/>
      <w:lvlText w:val=""/>
      <w:lvlJc w:val="left"/>
    </w:lvl>
    <w:lvl w:ilvl="5" w:tplc="AA7A8854">
      <w:numFmt w:val="decimal"/>
      <w:lvlText w:val=""/>
      <w:lvlJc w:val="left"/>
    </w:lvl>
    <w:lvl w:ilvl="6" w:tplc="658C17C2">
      <w:numFmt w:val="decimal"/>
      <w:lvlText w:val=""/>
      <w:lvlJc w:val="left"/>
    </w:lvl>
    <w:lvl w:ilvl="7" w:tplc="BFE2B272">
      <w:numFmt w:val="decimal"/>
      <w:lvlText w:val=""/>
      <w:lvlJc w:val="left"/>
    </w:lvl>
    <w:lvl w:ilvl="8" w:tplc="721AEC2A">
      <w:numFmt w:val="decimal"/>
      <w:lvlText w:val=""/>
      <w:lvlJc w:val="left"/>
    </w:lvl>
  </w:abstractNum>
  <w:abstractNum w:abstractNumId="3" w15:restartNumberingAfterBreak="0">
    <w:nsid w:val="648100A3"/>
    <w:multiLevelType w:val="hybridMultilevel"/>
    <w:tmpl w:val="1F4AA7A8"/>
    <w:lvl w:ilvl="0" w:tplc="7B76D1EA">
      <w:start w:val="1"/>
      <w:numFmt w:val="decimal"/>
      <w:lvlText w:val="%1)"/>
      <w:lvlJc w:val="left"/>
      <w:pPr>
        <w:ind w:left="360" w:hanging="280"/>
      </w:pPr>
    </w:lvl>
    <w:lvl w:ilvl="1" w:tplc="A39C327A">
      <w:numFmt w:val="decimal"/>
      <w:lvlText w:val=""/>
      <w:lvlJc w:val="left"/>
    </w:lvl>
    <w:lvl w:ilvl="2" w:tplc="DD86173E">
      <w:numFmt w:val="decimal"/>
      <w:lvlText w:val=""/>
      <w:lvlJc w:val="left"/>
    </w:lvl>
    <w:lvl w:ilvl="3" w:tplc="0700E2D0">
      <w:numFmt w:val="decimal"/>
      <w:lvlText w:val=""/>
      <w:lvlJc w:val="left"/>
    </w:lvl>
    <w:lvl w:ilvl="4" w:tplc="D23AAD80">
      <w:numFmt w:val="decimal"/>
      <w:lvlText w:val=""/>
      <w:lvlJc w:val="left"/>
    </w:lvl>
    <w:lvl w:ilvl="5" w:tplc="B39A8832">
      <w:numFmt w:val="decimal"/>
      <w:lvlText w:val=""/>
      <w:lvlJc w:val="left"/>
    </w:lvl>
    <w:lvl w:ilvl="6" w:tplc="5AB64D74">
      <w:numFmt w:val="decimal"/>
      <w:lvlText w:val=""/>
      <w:lvlJc w:val="left"/>
    </w:lvl>
    <w:lvl w:ilvl="7" w:tplc="C374F1F6">
      <w:numFmt w:val="decimal"/>
      <w:lvlText w:val=""/>
      <w:lvlJc w:val="left"/>
    </w:lvl>
    <w:lvl w:ilvl="8" w:tplc="F2F442C8">
      <w:numFmt w:val="decimal"/>
      <w:lvlText w:val=""/>
      <w:lvlJc w:val="left"/>
    </w:lvl>
  </w:abstractNum>
  <w:num w:numId="1" w16cid:durableId="1566915059">
    <w:abstractNumId w:val="0"/>
    <w:lvlOverride w:ilvl="0">
      <w:startOverride w:val="1"/>
    </w:lvlOverride>
  </w:num>
  <w:num w:numId="2" w16cid:durableId="2070181608">
    <w:abstractNumId w:val="3"/>
    <w:lvlOverride w:ilvl="0">
      <w:startOverride w:val="1"/>
    </w:lvlOverride>
  </w:num>
  <w:num w:numId="3" w16cid:durableId="1667898643">
    <w:abstractNumId w:val="1"/>
    <w:lvlOverride w:ilvl="0">
      <w:startOverride w:val="1"/>
    </w:lvlOverride>
  </w:num>
  <w:num w:numId="4" w16cid:durableId="14904368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3E0"/>
    <w:rsid w:val="0036441D"/>
    <w:rsid w:val="00876533"/>
    <w:rsid w:val="009F7D32"/>
    <w:rsid w:val="00D113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AE65"/>
  <w15:docId w15:val="{91442B8B-47BE-429A-83A2-7D23214B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Body"/>
    <w:uiPriority w:val="9"/>
    <w:qFormat/>
    <w:pPr>
      <w:keepNext/>
      <w:spacing w:before="200" w:after="80"/>
      <w:jc w:val="center"/>
      <w:outlineLvl w:val="0"/>
    </w:pPr>
    <w:rPr>
      <w:smallCaps/>
    </w:rPr>
  </w:style>
  <w:style w:type="paragraph" w:styleId="Ttulo2">
    <w:name w:val="heading 2"/>
    <w:next w:val="Body"/>
    <w:uiPriority w:val="9"/>
    <w:unhideWhenUsed/>
    <w:qFormat/>
    <w:pPr>
      <w:keepNext/>
      <w:spacing w:before="120" w:after="60"/>
      <w:outlineLvl w:val="1"/>
    </w:pPr>
    <w:rPr>
      <w:i/>
      <w:i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Body">
    <w:name w:val="Body"/>
    <w:qFormat/>
    <w:pPr>
      <w:spacing w:after="80"/>
      <w:ind w:firstLine="288"/>
      <w:jc w:val="both"/>
    </w:pPr>
  </w:style>
  <w:style w:type="paragraph" w:customStyle="1" w:styleId="Ref">
    <w:name w:val="Ref"/>
    <w:qFormat/>
    <w:pPr>
      <w:spacing w:after="40"/>
      <w:ind w:left="360" w:hanging="360"/>
      <w:jc w:val="both"/>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2436</Words>
  <Characters>13403</Characters>
  <Application>Microsoft Office Word</Application>
  <DocSecurity>0</DocSecurity>
  <Lines>111</Lines>
  <Paragraphs>31</Paragraphs>
  <ScaleCrop>false</ScaleCrop>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precio de Monero (XMR)</dc:title>
  <cp:lastModifiedBy>BRAHIYAN SANCHEZ ALVAREZ</cp:lastModifiedBy>
  <cp:revision>2</cp:revision>
  <dcterms:created xsi:type="dcterms:W3CDTF">2026-09-29T19:34:00Z</dcterms:created>
  <dcterms:modified xsi:type="dcterms:W3CDTF">2026-09-29T19:59:00Z</dcterms:modified>
</cp:coreProperties>
</file>