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TRAINING RECOGNIZED FRAMEWORKS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User Context            | Framework Title              | Short Description                                                                 | Recognition Level      | Limitations                                                                 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|-------------------------|------------------------------|-----------------------------------------------------------------------------------|------------------------|-----------------------------------------------------------------------------|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**Corporate Employees** | **70-20-10 Model**           | Focuses on experiential learning (70% on-the-job, 20% social, 10% formal).        | High (but debated)     | Lacks empirical evidence; seen as a guideline, not a strict framework. 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            | **Kirkpatrick Model**        | Evaluates training effectiveness (Reaction, Learning, Behavior, Results).         | Very High              | Limited focus on ROI; often paired with Phillips ROI for financial impact.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**Adult Learners**      | **Andragogy Principles**     | Self-directed learning, relevance, and experience (Malcolm Knowles).              | High                   | Less effective in hierarchical/cultural contexts resistant to self-direction.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**K-12 Education**      | **Bloom’s Taxonomy**         | Hierarchical learning objectives (Remember → Create).                             | Very High              | Criticized for oversimplifying complex learning processes.                 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**Vocational Training** | **Competency-Based**         | Skills mastery via hands-on practice and assessments.                             | High                   | May undervalue theoretical knowledge; requires frequent assessment updates.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**Online/Hybrid**       | **SAM (Successive Approximation Model)** | Agile design for rapid prototyping and iterations.                  | Moderate (growing)     | Less structured; requires skilled facilitators.                           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**Compliance Training** | **ARCS Model**               | Motivational design (Attention, Relevance, Confidence, Satisfaction).             | High                   | Requires time to align with dry/complex topics (e.g., legal compliance).  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**Cross-Cultural**      | **Bennett’s DMIS**           | Stages of cultural competence (Denial → Adaptation).                              | Moderate               | Doesn’t fully address hybrid cultural identities.                        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**Non-Profit/Social Impact** | **Human-Centered Design (HCD)** | Aligns training with community needs via empathy and prototyping.            | Moderate (niche)       | Requires collaboration with local stakeholders; time-intensive.            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**Academic (Inclusive)**| **Universal Design for Learning (UDL)** | Addresses diverse needs via flexible content, engagement, and expression. | Moderate (growing)     | Demands significant instructor training and curriculum redesign.           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**Instructional Design**| **ADDIE**                    | Foundational model (Analysis, Design, Development, Implementation, Evaluation).   | Very High              | Criticized as rigid; often hybridized with agile models like SAM.          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**Skill Reinforcement** | **Gagné’s 9 Events**         | Step-by-step design (e.g., gain attention, elicit performance, assess).           | High                   | Can feel formulaic; less adaptable to creative/exploratory learning.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Key Notes for Implementation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Prioritize Recognition Level: Use “Very High” frameworks (e.g., ADDIE, Kirkpatrick) as default unless context demands niche models.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Flag Limitations: Example: “Avoid 70-20-10 for compliance training (needs formal structure).”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Pair Frameworks: e.g., Kirkpatrick + Phillips ROI for corporate ROI analysis.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