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AyShCXR — Fair Comparison Against the Reference Baseline</w:t>
      </w:r>
    </w:p>
    <w:p>
      <w:pPr>
        <w:jc w:val="center"/>
      </w:pPr>
      <w:r>
        <w:rPr>
          <w:i/>
          <w:sz w:val="20"/>
        </w:rPr>
        <w:t>Reproduced CheXpert-paper DenseNet-121 vs our models, under one identical 3-fold protocol</w:t>
      </w:r>
    </w:p>
    <w:p>
      <w:pPr>
        <w:jc w:val="center"/>
      </w:pPr>
      <w:r>
        <w:rPr>
          <w:color w:val="555555"/>
          <w:sz w:val="17"/>
        </w:rPr>
        <w:t>Subhrakant Sethi &amp; Ayush Singh  •  Thapar Institute of Engineering and Technology  •  24 June 2026</w:t>
      </w:r>
    </w:p>
    <w:p>
      <w:r>
        <w:rPr>
          <w:b/>
        </w:rPr>
        <w:t>Protocol</w:t>
      </w:r>
    </w:p>
    <w:p>
      <w:r>
        <w:rPr>
          <w:sz w:val="19"/>
        </w:rPr>
        <w:t>All four models were trained and evaluated under an identical, deterministic protocol — the same patient-grouped 3-fold split (GroupKFold, seed 42), the same ~90k-image subset, and the same recipe (380 px input, AdamW, focal loss, cosine schedule, 10 epochs). The reference is a vanilla DenseNet-121 (global-average-pooling + single linear head) reproducing the architecture from the CheXpert paper (Irvin &amp; Rajpurkar, 2019). Because only the model differs, the comparison isolates the effect of our changes.</w:t>
      </w:r>
    </w:p>
    <w:p>
      <w:r>
        <w:rPr>
          <w:b/>
        </w:rPr>
        <w:t>Result — 3-fold mean AUC (14 pathologies)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val="clear" w:fill="2E5A8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278"/>
            <w:shd w:val="clear" w:fill="2E5A8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1278"/>
            <w:shd w:val="clear" w:fill="2E5A8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3-fold AUC</w:t>
            </w:r>
          </w:p>
        </w:tc>
        <w:tc>
          <w:tcPr>
            <w:tcW w:type="dxa" w:w="1278"/>
            <w:shd w:val="clear" w:fill="2E5A8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±std</w:t>
            </w:r>
          </w:p>
        </w:tc>
        <w:tc>
          <w:tcPr>
            <w:tcW w:type="dxa" w:w="1278"/>
            <w:shd w:val="clear" w:fill="2E5A8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Fold 1</w:t>
            </w:r>
          </w:p>
        </w:tc>
        <w:tc>
          <w:tcPr>
            <w:tcW w:type="dxa" w:w="1278"/>
            <w:shd w:val="clear" w:fill="2E5A8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Fold 2</w:t>
            </w:r>
          </w:p>
        </w:tc>
        <w:tc>
          <w:tcPr>
            <w:tcW w:type="dxa" w:w="1278"/>
            <w:shd w:val="clear" w:fill="2E5A8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Fold 3</w:t>
            </w:r>
          </w:p>
        </w:tc>
        <w:tc>
          <w:tcPr>
            <w:tcW w:type="dxa" w:w="1278"/>
            <w:shd w:val="clear" w:fill="2E5A8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Δ vs ref</w:t>
            </w:r>
          </w:p>
        </w:tc>
      </w:tr>
      <w:tr>
        <w:tc>
          <w:tcPr>
            <w:tcW w:type="dxa" w:w="1278"/>
          </w:tcPr>
          <w:p>
            <w:pPr>
              <w:jc w:val="left"/>
            </w:pPr>
            <w:r/>
            <w:r>
              <w:rPr>
                <w:b/>
                <w:sz w:val="17"/>
              </w:rPr>
              <w:t>Rad-DINO (ours)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Ours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0.8089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0.0003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0.8093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0.8086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0.8089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/>
                <w:color w:val="1E7A1E"/>
                <w:sz w:val="17"/>
              </w:rPr>
              <w:t>+0.0165</w:t>
            </w:r>
          </w:p>
        </w:tc>
      </w:tr>
      <w:tr>
        <w:tc>
          <w:tcPr>
            <w:tcW w:type="dxa" w:w="1278"/>
          </w:tcPr>
          <w:p>
            <w:pPr>
              <w:jc w:val="left"/>
            </w:pPr>
            <w:r/>
            <w:r>
              <w:rPr>
                <w:b/>
                <w:sz w:val="17"/>
              </w:rPr>
              <w:t>DenseNet-121 + GMP+GAP (ours)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Ours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0.7983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0.0010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0.7992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0.7969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0.7989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/>
                <w:color w:val="1E7A1E"/>
                <w:sz w:val="17"/>
              </w:rPr>
              <w:t>+0.0059</w:t>
            </w:r>
          </w:p>
        </w:tc>
      </w:tr>
      <w:tr>
        <w:tc>
          <w:tcPr>
            <w:tcW w:type="dxa" w:w="1278"/>
          </w:tcPr>
          <w:p>
            <w:pPr>
              <w:jc w:val="left"/>
            </w:pPr>
            <w:r/>
            <w:r>
              <w:rPr>
                <w:b/>
                <w:sz w:val="17"/>
              </w:rPr>
              <w:t>EfficientNet-B4 + GMP+GAP (ours)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Ours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0.7644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0.0013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0.7634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0.7662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0.7637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b/>
                <w:color w:val="B00000"/>
                <w:sz w:val="17"/>
              </w:rPr>
              <w:t>-0.0280</w:t>
            </w:r>
          </w:p>
        </w:tc>
      </w:tr>
      <w:tr>
        <w:tc>
          <w:tcPr>
            <w:tcW w:type="dxa" w:w="1278"/>
            <w:shd w:val="clear" w:fill="EDEDED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DenseNet-121 (CheXpert paper, 2019)</w:t>
            </w:r>
          </w:p>
        </w:tc>
        <w:tc>
          <w:tcPr>
            <w:tcW w:type="dxa" w:w="1278"/>
            <w:shd w:val="clear" w:fill="EDEDE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Reference</w:t>
            </w:r>
          </w:p>
        </w:tc>
        <w:tc>
          <w:tcPr>
            <w:tcW w:type="dxa" w:w="1278"/>
            <w:shd w:val="clear" w:fill="EDEDE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0.7924</w:t>
            </w:r>
          </w:p>
        </w:tc>
        <w:tc>
          <w:tcPr>
            <w:tcW w:type="dxa" w:w="1278"/>
            <w:shd w:val="clear" w:fill="EDEDE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0.0022</w:t>
            </w:r>
          </w:p>
        </w:tc>
        <w:tc>
          <w:tcPr>
            <w:tcW w:type="dxa" w:w="1278"/>
            <w:shd w:val="clear" w:fill="EDEDE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0.7950</w:t>
            </w:r>
          </w:p>
        </w:tc>
        <w:tc>
          <w:tcPr>
            <w:tcW w:type="dxa" w:w="1278"/>
            <w:shd w:val="clear" w:fill="EDEDE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0.7927</w:t>
            </w:r>
          </w:p>
        </w:tc>
        <w:tc>
          <w:tcPr>
            <w:tcW w:type="dxa" w:w="1278"/>
            <w:shd w:val="clear" w:fill="EDEDE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0.7896</w:t>
            </w:r>
          </w:p>
        </w:tc>
        <w:tc>
          <w:tcPr>
            <w:tcW w:type="dxa" w:w="1278"/>
            <w:shd w:val="clear" w:fill="EDEDED"/>
          </w:tcPr>
          <w:p>
            <w:pPr>
              <w:jc w:val="center"/>
            </w:pPr>
            <w:r/>
            <w:r>
              <w:rPr>
                <w:b/>
                <w:color w:val="555555"/>
                <w:sz w:val="17"/>
              </w:rPr>
              <w:t>—</w:t>
            </w:r>
          </w:p>
        </w:tc>
      </w:tr>
    </w:tbl>
    <w:p>
      <w:r>
        <w:rPr>
          <w:b/>
        </w:rPr>
        <w:t>What it shows</w:t>
      </w:r>
    </w:p>
    <w:p>
      <w:pPr>
        <w:pStyle w:val="ListBullet"/>
      </w:pPr>
      <w:r>
        <w:rPr>
          <w:sz w:val="19"/>
        </w:rPr>
        <w:t>2 of our 3 models beat the reproduced reference baseline on the identical protocol.</w:t>
      </w:r>
    </w:p>
    <w:p>
      <w:pPr>
        <w:pStyle w:val="ListBullet"/>
      </w:pPr>
      <w:r>
        <w:rPr>
          <w:sz w:val="19"/>
        </w:rPr>
        <w:t>Best model: Rad-DINO (medical vision transformer) — 0.8089, i.e. +0.0165 (+1.65%) over baseline.</w:t>
      </w:r>
    </w:p>
    <w:p>
      <w:pPr>
        <w:pStyle w:val="ListBullet"/>
      </w:pPr>
      <w:r>
        <w:rPr>
          <w:sz w:val="19"/>
        </w:rPr>
        <w:t>Clean same-backbone gain: our GMP+GAP head adds +0.0059 over the vanilla DenseNet — an apples-to-apples improvement.</w:t>
      </w:r>
    </w:p>
    <w:p>
      <w:pPr>
        <w:pStyle w:val="ListBullet"/>
      </w:pPr>
      <w:r>
        <w:rPr>
          <w:sz w:val="19"/>
        </w:rPr>
        <w:t>Fold-to-fold std is tiny (≤0.0022) → the ranking is stable, not noise.</w:t>
      </w:r>
    </w:p>
    <w:p>
      <w:pPr>
        <w:pStyle w:val="ListBullet"/>
      </w:pPr>
      <w:r>
        <w:rPr>
          <w:sz w:val="19"/>
        </w:rPr>
        <w:t>EfficientNet-B4 is below the baseline (-0.0280) and is reported honestly.</w:t>
      </w:r>
    </w:p>
    <w:p>
      <w:r>
        <w:rPr>
          <w:b/>
          <w:sz w:val="19"/>
        </w:rPr>
        <w:t xml:space="preserve">Honest note on the ceiling:  </w:t>
      </w:r>
      <w:r>
        <w:rPr>
          <w:sz w:val="19"/>
        </w:rPr>
        <w:t>absolute AUC (~0.80) is bounded by label quality (CheXBERT auto-labels), not model capacity. The next phase targets this label-noise ceiling directly.</w:t>
      </w:r>
    </w:p>
    <w:p>
      <w:r>
        <w:rPr>
          <w:i/>
          <w:color w:val="777777"/>
          <w:sz w:val="16"/>
        </w:rPr>
        <w:t>Source: cv_results.csv, Baseline_vs_Ours.csv  (all four runs on the same folds).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