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5B" w:rsidRDefault="00CA028C" w:rsidP="00F32DBA">
      <w:pPr>
        <w:pStyle w:val="Title"/>
        <w:jc w:val="center"/>
      </w:pPr>
      <w:r>
        <w:t>Machine Learning Project</w:t>
      </w:r>
    </w:p>
    <w:p w:rsidR="00D16724" w:rsidRDefault="00D16724" w:rsidP="00D16724"/>
    <w:p w:rsidR="00D16724" w:rsidRPr="00D16724" w:rsidRDefault="00D16724" w:rsidP="00D16724">
      <w:bookmarkStart w:id="0" w:name="_GoBack"/>
      <w:bookmarkEnd w:id="0"/>
    </w:p>
    <w:tbl>
      <w:tblPr>
        <w:tblStyle w:val="TableGrid"/>
        <w:tblpPr w:vertAnchor="text" w:horzAnchor="margin" w:tblpXSpec="right" w:tblpY="350"/>
        <w:tblOverlap w:val="never"/>
        <w:tblW w:w="4844" w:type="dxa"/>
        <w:tblInd w:w="0" w:type="dxa"/>
        <w:tblCellMar>
          <w:top w:w="71" w:type="dxa"/>
          <w:left w:w="80" w:type="dxa"/>
          <w:bottom w:w="0" w:type="dxa"/>
          <w:right w:w="115" w:type="dxa"/>
        </w:tblCellMar>
        <w:tblLook w:val="04A0" w:firstRow="1" w:lastRow="0" w:firstColumn="1" w:lastColumn="0" w:noHBand="0" w:noVBand="1"/>
      </w:tblPr>
      <w:tblGrid>
        <w:gridCol w:w="4844"/>
      </w:tblGrid>
      <w:tr w:rsidR="00F32DBA" w:rsidTr="00F32DBA">
        <w:trPr>
          <w:trHeight w:val="427"/>
        </w:trPr>
        <w:tc>
          <w:tcPr>
            <w:tcW w:w="4844" w:type="dxa"/>
            <w:tcBorders>
              <w:top w:val="nil"/>
              <w:left w:val="nil"/>
              <w:bottom w:val="nil"/>
              <w:right w:val="nil"/>
            </w:tcBorders>
            <w:shd w:val="clear" w:color="auto" w:fill="BDD6EE" w:themeFill="accent1" w:themeFillTint="66"/>
          </w:tcPr>
          <w:p w:rsidR="00F32DBA" w:rsidRDefault="00F32DBA" w:rsidP="00F32DBA">
            <w:pPr>
              <w:spacing w:after="0" w:line="259" w:lineRule="auto"/>
              <w:ind w:left="35" w:right="0" w:firstLine="0"/>
              <w:jc w:val="center"/>
            </w:pPr>
            <w:r>
              <w:rPr>
                <w:b/>
                <w:color w:val="314924"/>
                <w:sz w:val="20"/>
              </w:rPr>
              <w:t>DATA EXPLORATION</w:t>
            </w:r>
          </w:p>
        </w:tc>
      </w:tr>
      <w:tr w:rsidR="00F32DBA" w:rsidTr="00F32DBA">
        <w:trPr>
          <w:trHeight w:val="427"/>
        </w:trPr>
        <w:tc>
          <w:tcPr>
            <w:tcW w:w="4844" w:type="dxa"/>
            <w:tcBorders>
              <w:top w:val="nil"/>
              <w:left w:val="nil"/>
              <w:bottom w:val="nil"/>
              <w:right w:val="nil"/>
            </w:tcBorders>
            <w:shd w:val="clear" w:color="auto" w:fill="000000"/>
          </w:tcPr>
          <w:p w:rsidR="00F32DBA" w:rsidRDefault="00F32DBA" w:rsidP="00F32DBA">
            <w:pPr>
              <w:tabs>
                <w:tab w:val="center" w:pos="465"/>
                <w:tab w:val="center" w:pos="1764"/>
              </w:tabs>
              <w:spacing w:after="0" w:line="259" w:lineRule="auto"/>
              <w:ind w:left="0" w:right="0" w:firstLine="0"/>
              <w:jc w:val="center"/>
            </w:pPr>
            <w:r w:rsidRPr="00F32DBA">
              <w:rPr>
                <w:color w:val="FFFFFF" w:themeColor="background1"/>
                <w:sz w:val="20"/>
              </w:rPr>
              <w:t>146</w:t>
            </w:r>
            <w:r w:rsidRPr="00F32DBA">
              <w:rPr>
                <w:color w:val="FFFFFF" w:themeColor="background1"/>
                <w:sz w:val="20"/>
              </w:rPr>
              <w:tab/>
              <w:t>Total No. of Data Points</w:t>
            </w:r>
          </w:p>
        </w:tc>
      </w:tr>
      <w:tr w:rsidR="00F32DBA" w:rsidTr="00F32DBA">
        <w:trPr>
          <w:trHeight w:val="427"/>
        </w:trPr>
        <w:tc>
          <w:tcPr>
            <w:tcW w:w="4844" w:type="dxa"/>
            <w:tcBorders>
              <w:top w:val="nil"/>
              <w:left w:val="nil"/>
              <w:bottom w:val="nil"/>
              <w:right w:val="nil"/>
            </w:tcBorders>
            <w:shd w:val="clear" w:color="auto" w:fill="BDD6EE" w:themeFill="accent1" w:themeFillTint="66"/>
          </w:tcPr>
          <w:p w:rsidR="00F32DBA" w:rsidRDefault="00F32DBA" w:rsidP="00F32DBA">
            <w:pPr>
              <w:tabs>
                <w:tab w:val="center" w:pos="2368"/>
              </w:tabs>
              <w:spacing w:after="0" w:line="259" w:lineRule="auto"/>
              <w:ind w:left="0" w:right="0" w:firstLine="0"/>
              <w:jc w:val="center"/>
            </w:pPr>
            <w:r>
              <w:rPr>
                <w:color w:val="314924"/>
                <w:sz w:val="20"/>
              </w:rPr>
              <w:t>18/144</w:t>
            </w:r>
            <w:r>
              <w:rPr>
                <w:color w:val="314924"/>
                <w:sz w:val="20"/>
              </w:rPr>
              <w:tab/>
              <w:t>Allocation Across Class (POI/non-POI)</w:t>
            </w:r>
          </w:p>
        </w:tc>
      </w:tr>
      <w:tr w:rsidR="00F32DBA" w:rsidTr="00F32DBA">
        <w:trPr>
          <w:trHeight w:val="427"/>
        </w:trPr>
        <w:tc>
          <w:tcPr>
            <w:tcW w:w="4844" w:type="dxa"/>
            <w:tcBorders>
              <w:top w:val="nil"/>
              <w:left w:val="nil"/>
              <w:bottom w:val="nil"/>
              <w:right w:val="nil"/>
            </w:tcBorders>
            <w:shd w:val="clear" w:color="auto" w:fill="000000"/>
          </w:tcPr>
          <w:p w:rsidR="00F32DBA" w:rsidRDefault="00F32DBA" w:rsidP="00F32DBA">
            <w:pPr>
              <w:tabs>
                <w:tab w:val="center" w:pos="515"/>
                <w:tab w:val="center" w:pos="1622"/>
              </w:tabs>
              <w:spacing w:after="0" w:line="259" w:lineRule="auto"/>
              <w:ind w:left="0" w:right="0" w:firstLine="0"/>
              <w:jc w:val="center"/>
              <w:rPr>
                <w:sz w:val="22"/>
              </w:rPr>
            </w:pPr>
            <w:r w:rsidRPr="00F32DBA">
              <w:rPr>
                <w:color w:val="FFFFFF" w:themeColor="background1"/>
                <w:sz w:val="20"/>
              </w:rPr>
              <w:t xml:space="preserve">14.38% </w:t>
            </w:r>
            <w:proofErr w:type="spellStart"/>
            <w:r w:rsidRPr="00F32DBA">
              <w:rPr>
                <w:color w:val="FFFFFF" w:themeColor="background1"/>
                <w:sz w:val="20"/>
              </w:rPr>
              <w:t>NaN</w:t>
            </w:r>
            <w:proofErr w:type="spellEnd"/>
            <w:r w:rsidRPr="00F32DBA">
              <w:rPr>
                <w:color w:val="FFFFFF" w:themeColor="background1"/>
                <w:sz w:val="20"/>
              </w:rPr>
              <w:t xml:space="preserve"> for Total Payments</w:t>
            </w:r>
          </w:p>
          <w:p w:rsidR="00F32DBA" w:rsidRDefault="00F32DBA" w:rsidP="00F32DBA">
            <w:pPr>
              <w:tabs>
                <w:tab w:val="center" w:pos="515"/>
                <w:tab w:val="center" w:pos="1622"/>
              </w:tabs>
              <w:spacing w:after="0" w:line="259" w:lineRule="auto"/>
              <w:ind w:left="0" w:right="0" w:firstLine="0"/>
              <w:jc w:val="center"/>
            </w:pPr>
          </w:p>
        </w:tc>
      </w:tr>
      <w:tr w:rsidR="00F32DBA" w:rsidTr="00F32DBA">
        <w:trPr>
          <w:trHeight w:val="427"/>
        </w:trPr>
        <w:tc>
          <w:tcPr>
            <w:tcW w:w="4844" w:type="dxa"/>
            <w:tcBorders>
              <w:top w:val="nil"/>
              <w:left w:val="nil"/>
              <w:bottom w:val="nil"/>
              <w:right w:val="nil"/>
            </w:tcBorders>
            <w:shd w:val="clear" w:color="auto" w:fill="BDD6EE" w:themeFill="accent1" w:themeFillTint="66"/>
          </w:tcPr>
          <w:p w:rsidR="00F32DBA" w:rsidRDefault="00F32DBA" w:rsidP="00F32DBA">
            <w:pPr>
              <w:spacing w:after="0" w:line="259" w:lineRule="auto"/>
              <w:ind w:left="20" w:right="0" w:firstLine="0"/>
              <w:jc w:val="center"/>
            </w:pPr>
            <w:r w:rsidRPr="00F32DBA">
              <w:rPr>
                <w:color w:val="000000" w:themeColor="text1"/>
                <w:sz w:val="20"/>
              </w:rPr>
              <w:t>35</w:t>
            </w:r>
            <w:r w:rsidRPr="00F32DBA">
              <w:rPr>
                <w:color w:val="000000" w:themeColor="text1"/>
                <w:sz w:val="20"/>
              </w:rPr>
              <w:tab/>
              <w:t>Total Gathered POIs</w:t>
            </w:r>
          </w:p>
        </w:tc>
      </w:tr>
      <w:tr w:rsidR="00F32DBA" w:rsidTr="00F32DBA">
        <w:trPr>
          <w:trHeight w:val="427"/>
        </w:trPr>
        <w:tc>
          <w:tcPr>
            <w:tcW w:w="4844" w:type="dxa"/>
            <w:tcBorders>
              <w:top w:val="nil"/>
              <w:left w:val="nil"/>
              <w:bottom w:val="nil"/>
              <w:right w:val="nil"/>
            </w:tcBorders>
            <w:shd w:val="clear" w:color="auto" w:fill="000000" w:themeFill="text1"/>
          </w:tcPr>
          <w:p w:rsidR="00F32DBA" w:rsidRDefault="00F32DBA" w:rsidP="00F32DBA">
            <w:pPr>
              <w:tabs>
                <w:tab w:val="center" w:pos="2186"/>
              </w:tabs>
              <w:spacing w:after="0" w:line="259" w:lineRule="auto"/>
              <w:ind w:left="0" w:right="0" w:firstLine="0"/>
              <w:jc w:val="center"/>
            </w:pPr>
            <w:r w:rsidRPr="00F32DBA">
              <w:rPr>
                <w:color w:val="FFFFFF" w:themeColor="background1"/>
                <w:sz w:val="20"/>
              </w:rPr>
              <w:t>0 of 18</w:t>
            </w:r>
            <w:r w:rsidRPr="00F32DBA">
              <w:rPr>
                <w:color w:val="FFFFFF" w:themeColor="background1"/>
                <w:sz w:val="20"/>
              </w:rPr>
              <w:tab/>
              <w:t xml:space="preserve">POIs with </w:t>
            </w:r>
            <w:proofErr w:type="spellStart"/>
            <w:r w:rsidRPr="00F32DBA">
              <w:rPr>
                <w:color w:val="FFFFFF" w:themeColor="background1"/>
                <w:sz w:val="20"/>
              </w:rPr>
              <w:t>NaN</w:t>
            </w:r>
            <w:proofErr w:type="spellEnd"/>
            <w:r w:rsidRPr="00F32DBA">
              <w:rPr>
                <w:color w:val="FFFFFF" w:themeColor="background1"/>
                <w:sz w:val="20"/>
              </w:rPr>
              <w:t xml:space="preserve"> for Total Payments</w:t>
            </w:r>
          </w:p>
        </w:tc>
      </w:tr>
      <w:tr w:rsidR="00F32DBA" w:rsidTr="00F32DBA">
        <w:trPr>
          <w:trHeight w:val="427"/>
        </w:trPr>
        <w:tc>
          <w:tcPr>
            <w:tcW w:w="4844" w:type="dxa"/>
            <w:tcBorders>
              <w:top w:val="nil"/>
              <w:left w:val="nil"/>
              <w:bottom w:val="nil"/>
              <w:right w:val="nil"/>
            </w:tcBorders>
            <w:shd w:val="clear" w:color="auto" w:fill="BDD6EE" w:themeFill="accent1" w:themeFillTint="66"/>
          </w:tcPr>
          <w:p w:rsidR="00F32DBA" w:rsidRDefault="00F32DBA" w:rsidP="00F32DBA">
            <w:pPr>
              <w:tabs>
                <w:tab w:val="center" w:pos="515"/>
                <w:tab w:val="center" w:pos="1587"/>
              </w:tabs>
              <w:spacing w:after="0" w:line="259" w:lineRule="auto"/>
              <w:ind w:left="0" w:right="0" w:firstLine="0"/>
              <w:jc w:val="center"/>
              <w:rPr>
                <w:color w:val="314924"/>
                <w:sz w:val="20"/>
              </w:rPr>
            </w:pPr>
          </w:p>
          <w:p w:rsidR="00F32DBA" w:rsidRDefault="00F32DBA" w:rsidP="00F32DBA">
            <w:pPr>
              <w:tabs>
                <w:tab w:val="center" w:pos="515"/>
                <w:tab w:val="center" w:pos="1587"/>
              </w:tabs>
              <w:spacing w:after="0" w:line="259" w:lineRule="auto"/>
              <w:ind w:left="0" w:right="0" w:firstLine="0"/>
              <w:jc w:val="center"/>
            </w:pPr>
            <w:r>
              <w:rPr>
                <w:color w:val="314924"/>
                <w:sz w:val="20"/>
              </w:rPr>
              <w:t xml:space="preserve">95  </w:t>
            </w:r>
            <w:r>
              <w:rPr>
                <w:color w:val="314924"/>
                <w:sz w:val="20"/>
              </w:rPr>
              <w:tab/>
              <w:t>Qualified Salary</w:t>
            </w:r>
            <w:r>
              <w:rPr>
                <w:color w:val="314924"/>
                <w:sz w:val="20"/>
              </w:rPr>
              <w:t xml:space="preserve"> </w:t>
            </w:r>
          </w:p>
        </w:tc>
      </w:tr>
      <w:tr w:rsidR="00F32DBA" w:rsidTr="00F32DBA">
        <w:trPr>
          <w:trHeight w:val="427"/>
        </w:trPr>
        <w:tc>
          <w:tcPr>
            <w:tcW w:w="4844" w:type="dxa"/>
            <w:tcBorders>
              <w:top w:val="nil"/>
              <w:left w:val="nil"/>
              <w:bottom w:val="nil"/>
              <w:right w:val="nil"/>
            </w:tcBorders>
            <w:shd w:val="clear" w:color="auto" w:fill="000000" w:themeFill="text1"/>
          </w:tcPr>
          <w:p w:rsidR="00F32DBA" w:rsidRDefault="00F32DBA" w:rsidP="00F32DBA">
            <w:pPr>
              <w:tabs>
                <w:tab w:val="center" w:pos="515"/>
                <w:tab w:val="center" w:pos="1432"/>
              </w:tabs>
              <w:spacing w:after="0" w:line="259" w:lineRule="auto"/>
              <w:ind w:left="0" w:right="0" w:firstLine="0"/>
              <w:jc w:val="center"/>
            </w:pPr>
            <w:r w:rsidRPr="00F32DBA">
              <w:rPr>
                <w:color w:val="FFFFFF" w:themeColor="background1"/>
                <w:sz w:val="20"/>
              </w:rPr>
              <w:t xml:space="preserve">21    </w:t>
            </w:r>
            <w:r w:rsidRPr="00F32DBA">
              <w:rPr>
                <w:color w:val="FFFFFF" w:themeColor="background1"/>
                <w:sz w:val="20"/>
              </w:rPr>
              <w:tab/>
              <w:t>Number of Features</w:t>
            </w:r>
          </w:p>
        </w:tc>
      </w:tr>
      <w:tr w:rsidR="00F32DBA" w:rsidTr="00F32DBA">
        <w:trPr>
          <w:trHeight w:val="427"/>
        </w:trPr>
        <w:tc>
          <w:tcPr>
            <w:tcW w:w="4844" w:type="dxa"/>
            <w:tcBorders>
              <w:top w:val="nil"/>
              <w:left w:val="nil"/>
              <w:bottom w:val="nil"/>
              <w:right w:val="nil"/>
            </w:tcBorders>
            <w:shd w:val="clear" w:color="auto" w:fill="BDD6EE" w:themeFill="accent1" w:themeFillTint="66"/>
          </w:tcPr>
          <w:p w:rsidR="00F32DBA" w:rsidRDefault="00F32DBA" w:rsidP="00F32DBA">
            <w:pPr>
              <w:tabs>
                <w:tab w:val="left" w:pos="360"/>
                <w:tab w:val="center" w:pos="465"/>
                <w:tab w:val="center" w:pos="1682"/>
                <w:tab w:val="center" w:pos="2324"/>
              </w:tabs>
              <w:spacing w:after="0" w:line="259" w:lineRule="auto"/>
              <w:ind w:left="0" w:right="0" w:firstLine="0"/>
            </w:pPr>
            <w:r>
              <w:rPr>
                <w:color w:val="314924"/>
                <w:sz w:val="20"/>
              </w:rPr>
              <w:tab/>
            </w:r>
            <w:r>
              <w:rPr>
                <w:color w:val="314924"/>
                <w:sz w:val="20"/>
              </w:rPr>
              <w:tab/>
            </w:r>
            <w:r>
              <w:rPr>
                <w:color w:val="314924"/>
                <w:sz w:val="20"/>
              </w:rPr>
              <w:tab/>
            </w:r>
            <w:r>
              <w:rPr>
                <w:color w:val="314924"/>
                <w:sz w:val="20"/>
              </w:rPr>
              <w:t>111</w:t>
            </w:r>
            <w:r>
              <w:rPr>
                <w:color w:val="314924"/>
                <w:sz w:val="20"/>
              </w:rPr>
              <w:tab/>
              <w:t>Known Email Address</w:t>
            </w:r>
          </w:p>
        </w:tc>
      </w:tr>
    </w:tbl>
    <w:p w:rsidR="007A6D18" w:rsidRDefault="007A6D18">
      <w:pPr>
        <w:ind w:firstLine="540"/>
      </w:pPr>
      <w:r>
        <w:rPr>
          <w:rFonts w:ascii="Open Sans" w:hAnsi="Open Sans"/>
          <w:b/>
          <w:bCs/>
          <w:color w:val="2E3D49"/>
          <w:sz w:val="30"/>
          <w:szCs w:val="30"/>
          <w:shd w:val="clear" w:color="auto" w:fill="FAFBFC"/>
        </w:rPr>
        <w:t>Identify Fraud from Enron Email</w:t>
      </w:r>
      <w:r>
        <w:t xml:space="preserve"> </w:t>
      </w:r>
    </w:p>
    <w:p w:rsidR="00A9235B" w:rsidRDefault="00CA028C">
      <w:pPr>
        <w:ind w:firstLine="540"/>
      </w:pPr>
      <w:r>
        <w:t xml:space="preserve">In 2002, the Harvard’s Ig Nobel Prize for the ’Most Creative Use of Imaginary Numbers’ went to a company that two years prior had received </w:t>
      </w:r>
      <w:r w:rsidR="00F32DBA">
        <w:t>its</w:t>
      </w:r>
      <w:r>
        <w:t xml:space="preserve"> sixth, ‘America’s Most Innovative Company’ award from Fortune magazine</w:t>
      </w:r>
      <w:r>
        <w:rPr>
          <w:vertAlign w:val="superscript"/>
        </w:rPr>
        <w:footnoteReference w:id="1"/>
      </w:r>
      <w:r>
        <w:t xml:space="preserve">. In 2000, Enron was the seventh-largest </w:t>
      </w:r>
      <w:r>
        <w:t>company in America with over $100 Billion in revenue.</w:t>
      </w:r>
      <w:r>
        <w:rPr>
          <w:vertAlign w:val="superscript"/>
        </w:rPr>
        <w:footnoteReference w:id="2"/>
      </w:r>
      <w:r>
        <w:t xml:space="preserve"> The next year as the result of fraudulent accounting practices, they were bankrupt.</w:t>
      </w:r>
      <w:r>
        <w:rPr>
          <w:vertAlign w:val="superscript"/>
        </w:rPr>
        <w:footnoteReference w:id="3"/>
      </w:r>
      <w:r>
        <w:t xml:space="preserve"> During the Federal Energy Regulatory Commission’s investigation, internal company emails were released to the genera</w:t>
      </w:r>
      <w:r>
        <w:t>l public.</w:t>
      </w:r>
      <w:r>
        <w:rPr>
          <w:vertAlign w:val="superscript"/>
        </w:rPr>
        <w:footnoteReference w:id="4"/>
      </w:r>
      <w:r>
        <w:t xml:space="preserve"> Combining this dataset with the Securities and Exchange Commission financial data, along with Persons of Interest derived </w:t>
      </w:r>
    </w:p>
    <w:p w:rsidR="00A9235B" w:rsidRDefault="003014FD" w:rsidP="003014FD">
      <w:pPr>
        <w:spacing w:after="0" w:line="345" w:lineRule="auto"/>
        <w:ind w:right="0"/>
      </w:pPr>
      <w:r>
        <w:t>We</w:t>
      </w:r>
      <w:r w:rsidR="00CA028C">
        <w:t xml:space="preserve"> wi</w:t>
      </w:r>
      <w:r w:rsidR="00CA028C">
        <w:t>ll answer the question</w:t>
      </w:r>
      <w:r>
        <w:t xml:space="preserve"> from newspaper</w:t>
      </w:r>
      <w:r w:rsidR="00CA028C">
        <w:t>, ‘</w:t>
      </w:r>
      <w:r w:rsidR="00CA028C">
        <w:rPr>
          <w:b/>
        </w:rPr>
        <w:t xml:space="preserve">Can we identify Persons </w:t>
      </w:r>
      <w:proofErr w:type="gramStart"/>
      <w:r w:rsidR="00CA028C">
        <w:rPr>
          <w:b/>
        </w:rPr>
        <w:t>Of</w:t>
      </w:r>
      <w:proofErr w:type="gramEnd"/>
      <w:r w:rsidR="00CA028C">
        <w:rPr>
          <w:b/>
        </w:rPr>
        <w:t xml:space="preserve"> Interest (POI) solely from this dataset?</w:t>
      </w:r>
      <w:r w:rsidR="00CA028C">
        <w:t xml:space="preserve">’ </w:t>
      </w:r>
    </w:p>
    <w:p w:rsidR="003014FD" w:rsidRDefault="003014FD" w:rsidP="003014FD">
      <w:pPr>
        <w:spacing w:after="0" w:line="345" w:lineRule="auto"/>
        <w:ind w:right="0"/>
      </w:pPr>
      <w:r>
        <w:rPr>
          <w:noProof/>
        </w:rPr>
        <mc:AlternateContent>
          <mc:Choice Requires="wps">
            <w:drawing>
              <wp:anchor distT="45720" distB="45720" distL="114300" distR="114300" simplePos="0" relativeHeight="251659264" behindDoc="0" locked="0" layoutInCell="1" allowOverlap="1">
                <wp:simplePos x="0" y="0"/>
                <wp:positionH relativeFrom="column">
                  <wp:posOffset>3001645</wp:posOffset>
                </wp:positionH>
                <wp:positionV relativeFrom="paragraph">
                  <wp:posOffset>7620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14FD" w:rsidRDefault="003014FD" w:rsidP="003014FD">
                            <w:pPr>
                              <w:spacing w:after="0" w:line="259" w:lineRule="auto"/>
                              <w:ind w:left="0" w:right="4" w:firstLine="0"/>
                              <w:suppressOverlap/>
                              <w:jc w:val="center"/>
                            </w:pPr>
                            <w:r>
                              <w:rPr>
                                <w:b/>
                              </w:rPr>
                              <w:t xml:space="preserve">Features with Many Missing Values </w:t>
                            </w:r>
                          </w:p>
                          <w:p w:rsidR="003014FD" w:rsidRDefault="003014FD" w:rsidP="003014FD">
                            <w:pPr>
                              <w:spacing w:after="0" w:line="259" w:lineRule="auto"/>
                              <w:ind w:left="0" w:right="4" w:firstLine="0"/>
                              <w:suppressOverlap/>
                              <w:jc w:val="center"/>
                            </w:pPr>
                            <w:r>
                              <w:t xml:space="preserve">Loan Advances </w:t>
                            </w:r>
                          </w:p>
                          <w:p w:rsidR="003014FD" w:rsidRDefault="003014FD" w:rsidP="003014FD">
                            <w:pPr>
                              <w:spacing w:after="0" w:line="259" w:lineRule="auto"/>
                              <w:ind w:left="0" w:right="4" w:firstLine="0"/>
                              <w:suppressOverlap/>
                              <w:jc w:val="center"/>
                            </w:pPr>
                            <w:r>
                              <w:t xml:space="preserve">Director Fees </w:t>
                            </w:r>
                          </w:p>
                          <w:p w:rsidR="003014FD" w:rsidRDefault="003014FD" w:rsidP="003014FD">
                            <w:r>
                              <w:t>Restricted Stock Deferred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35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">
                <v:textbox style="mso-fit-shape-to-text:t">
                  <w:txbxContent>
                    <w:p w:rsidR="003014FD" w:rsidRDefault="003014FD" w:rsidP="003014FD">
                      <w:pPr>
                        <w:spacing w:after="0" w:line="259" w:lineRule="auto"/>
                        <w:ind w:left="0" w:right="4" w:firstLine="0"/>
                        <w:suppressOverlap/>
                        <w:jc w:val="center"/>
                      </w:pPr>
                      <w:r>
                        <w:rPr>
                          <w:b/>
                        </w:rPr>
                        <w:t xml:space="preserve">Features with Many Missing Values </w:t>
                      </w:r>
                    </w:p>
                    <w:p w:rsidR="003014FD" w:rsidRDefault="003014FD" w:rsidP="003014FD">
                      <w:pPr>
                        <w:spacing w:after="0" w:line="259" w:lineRule="auto"/>
                        <w:ind w:left="0" w:right="4" w:firstLine="0"/>
                        <w:suppressOverlap/>
                        <w:jc w:val="center"/>
                      </w:pPr>
                      <w:r>
                        <w:t xml:space="preserve">Loan Advances </w:t>
                      </w:r>
                    </w:p>
                    <w:p w:rsidR="003014FD" w:rsidRDefault="003014FD" w:rsidP="003014FD">
                      <w:pPr>
                        <w:spacing w:after="0" w:line="259" w:lineRule="auto"/>
                        <w:ind w:left="0" w:right="4" w:firstLine="0"/>
                        <w:suppressOverlap/>
                        <w:jc w:val="center"/>
                      </w:pPr>
                      <w:r>
                        <w:t xml:space="preserve">Director Fees </w:t>
                      </w:r>
                    </w:p>
                    <w:p w:rsidR="003014FD" w:rsidRDefault="003014FD" w:rsidP="003014FD">
                      <w:r>
                        <w:t>Restricted Stock Deferred</w:t>
                      </w:r>
                    </w:p>
                  </w:txbxContent>
                </v:textbox>
                <w10:wrap type="square"/>
              </v:shape>
            </w:pict>
          </mc:Fallback>
        </mc:AlternateContent>
      </w:r>
    </w:p>
    <w:p w:rsidR="003014FD" w:rsidRDefault="003014FD" w:rsidP="003014FD">
      <w:pPr>
        <w:spacing w:after="0" w:line="345" w:lineRule="auto"/>
        <w:ind w:right="0"/>
      </w:pPr>
    </w:p>
    <w:p w:rsidR="003014FD" w:rsidRDefault="003014FD" w:rsidP="003014FD">
      <w:pPr>
        <w:spacing w:after="0" w:line="345" w:lineRule="auto"/>
        <w:ind w:right="0"/>
      </w:pPr>
    </w:p>
    <w:p w:rsidR="003014FD" w:rsidRDefault="003014FD" w:rsidP="003014FD">
      <w:pPr>
        <w:spacing w:after="0" w:line="345" w:lineRule="auto"/>
        <w:ind w:right="0"/>
      </w:pPr>
    </w:p>
    <w:p w:rsidR="003014FD" w:rsidRDefault="003014FD" w:rsidP="003014FD">
      <w:pPr>
        <w:spacing w:after="0" w:line="345" w:lineRule="auto"/>
        <w:ind w:right="0"/>
      </w:pPr>
    </w:p>
    <w:p w:rsidR="00A9235B" w:rsidRDefault="00CA028C">
      <w:pPr>
        <w:pStyle w:val="Heading1"/>
        <w:ind w:left="15"/>
      </w:pPr>
      <w:r>
        <w:lastRenderedPageBreak/>
        <w:t xml:space="preserve">OUTLIER INVESTIGATION </w:t>
      </w:r>
    </w:p>
    <w:tbl>
      <w:tblPr>
        <w:tblStyle w:val="TableGrid"/>
        <w:tblpPr w:vertAnchor="text" w:horzAnchor="margin" w:tblpXSpec="right" w:tblpY="103"/>
        <w:tblOverlap w:val="never"/>
        <w:tblW w:w="2728" w:type="dxa"/>
        <w:tblInd w:w="0" w:type="dxa"/>
        <w:tblCellMar>
          <w:top w:w="81" w:type="dxa"/>
          <w:left w:w="80" w:type="dxa"/>
          <w:bottom w:w="0" w:type="dxa"/>
          <w:right w:w="32" w:type="dxa"/>
        </w:tblCellMar>
        <w:tblLook w:val="04A0" w:firstRow="1" w:lastRow="0" w:firstColumn="1" w:lastColumn="0" w:noHBand="0" w:noVBand="1"/>
      </w:tblPr>
      <w:tblGrid>
        <w:gridCol w:w="2728"/>
      </w:tblGrid>
      <w:tr w:rsidR="005E3CD7" w:rsidTr="005E3CD7">
        <w:trPr>
          <w:trHeight w:val="701"/>
        </w:trPr>
        <w:tc>
          <w:tcPr>
            <w:tcW w:w="2728" w:type="dxa"/>
            <w:tcBorders>
              <w:top w:val="nil"/>
              <w:left w:val="nil"/>
              <w:bottom w:val="nil"/>
              <w:right w:val="nil"/>
            </w:tcBorders>
            <w:shd w:val="clear" w:color="auto" w:fill="DEEAF6" w:themeFill="accent1" w:themeFillTint="33"/>
          </w:tcPr>
          <w:p w:rsidR="005E3CD7" w:rsidRDefault="005E3CD7" w:rsidP="005E3CD7">
            <w:pPr>
              <w:spacing w:after="0" w:line="259" w:lineRule="auto"/>
              <w:ind w:left="0" w:right="15" w:firstLine="0"/>
            </w:pPr>
            <w:r>
              <w:rPr>
                <w:color w:val="434343"/>
              </w:rPr>
              <w:t>The financial dataset are missing some POIs.</w:t>
            </w:r>
          </w:p>
        </w:tc>
      </w:tr>
    </w:tbl>
    <w:p w:rsidR="005E3CD7" w:rsidRDefault="005E3CD7" w:rsidP="005E3CD7">
      <w:pPr>
        <w:ind w:right="213" w:firstLine="540"/>
      </w:pPr>
      <w:r>
        <w:t xml:space="preserve"> </w:t>
      </w:r>
      <w:r w:rsidR="00CA028C">
        <w:t>Machine learning algorithms were</w:t>
      </w:r>
      <w:r w:rsidR="003014FD">
        <w:t xml:space="preserve"> performed</w:t>
      </w:r>
      <w:r w:rsidR="00CA028C">
        <w:t xml:space="preserve"> to make </w:t>
      </w:r>
      <w:r>
        <w:t xml:space="preserve">some </w:t>
      </w:r>
      <w:r w:rsidR="00CA028C">
        <w:t xml:space="preserve">predictions and calculate </w:t>
      </w:r>
      <w:r>
        <w:t>its accuracy.</w:t>
      </w:r>
      <w:r w:rsidR="00CA028C">
        <w:t xml:space="preserve"> The worst case of outliers uncovered was due to a TOTAL in the financial sta</w:t>
      </w:r>
      <w:r w:rsidR="00CA028C">
        <w:t xml:space="preserve">tement which </w:t>
      </w:r>
      <w:r>
        <w:t>was read in as a line item. It</w:t>
      </w:r>
      <w:r w:rsidR="00CA028C">
        <w:t xml:space="preserve"> was removed by hand. Four other outliers</w:t>
      </w:r>
      <w:r>
        <w:t xml:space="preserve"> </w:t>
      </w:r>
      <w:r>
        <w:t>were considered to be valid</w:t>
      </w:r>
      <w:r>
        <w:t xml:space="preserve"> data points so they were left in.</w:t>
      </w:r>
    </w:p>
    <w:p w:rsidR="00A9235B" w:rsidRDefault="005E3CD7" w:rsidP="005E3CD7">
      <w:pPr>
        <w:ind w:right="213" w:firstLine="0"/>
      </w:pPr>
      <w:r>
        <w:t xml:space="preserve"> A technique to remove outliers was to discard </w:t>
      </w:r>
      <w:r w:rsidR="00CA028C">
        <w:t>10% of the points with the largest errors</w:t>
      </w:r>
      <w:r>
        <w:t xml:space="preserve"> which</w:t>
      </w:r>
      <w:r w:rsidR="00CA028C">
        <w:t xml:space="preserve"> was introduced and used </w:t>
      </w:r>
      <w:r>
        <w:t xml:space="preserve"> </w:t>
      </w:r>
      <w:r w:rsidR="00CA028C">
        <w:t>to help identify additional potential outliers, howe</w:t>
      </w:r>
      <w:r>
        <w:t>ver it was determined that these</w:t>
      </w:r>
      <w:r w:rsidR="00CA028C">
        <w:t xml:space="preserve"> points were valid.  A careful</w:t>
      </w:r>
      <w:r w:rsidR="00CA028C">
        <w:t xml:space="preserve"> reading of the field names revealed, ‘THE TRAVEL AGENCY IN THE PARK’ which, not being an individual, was removed. </w:t>
      </w: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rsidP="005E3CD7"/>
    <w:p w:rsidR="005E3CD7" w:rsidRDefault="005E3CD7" w:rsidP="005E3CD7"/>
    <w:p w:rsidR="005E3CD7" w:rsidRDefault="005E3CD7" w:rsidP="005E3CD7"/>
    <w:p w:rsidR="005E3CD7" w:rsidRPr="005E3CD7" w:rsidRDefault="005E3CD7" w:rsidP="005E3CD7"/>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Default="005E3CD7">
      <w:pPr>
        <w:pStyle w:val="Heading1"/>
        <w:ind w:left="15"/>
      </w:pPr>
    </w:p>
    <w:p w:rsidR="005E3CD7" w:rsidRPr="005E3CD7" w:rsidRDefault="005E3CD7" w:rsidP="005E3CD7"/>
    <w:p w:rsidR="00A9235B" w:rsidRDefault="00CA028C" w:rsidP="006D7978">
      <w:pPr>
        <w:pStyle w:val="Heading1"/>
        <w:ind w:left="15"/>
      </w:pPr>
      <w:r>
        <w:lastRenderedPageBreak/>
        <w:t>OPTIMIZE FEATURE SELECTION</w:t>
      </w:r>
      <w:r>
        <w:t xml:space="preserve"> </w:t>
      </w:r>
    </w:p>
    <w:p w:rsidR="00A9235B" w:rsidRDefault="006D7978" w:rsidP="006D7978">
      <w:pPr>
        <w:spacing w:after="104" w:line="259" w:lineRule="auto"/>
        <w:ind w:left="550" w:right="10"/>
      </w:pPr>
      <w:r>
        <w:t>S</w:t>
      </w:r>
      <w:r w:rsidR="00CA028C">
        <w:t>upervised M</w:t>
      </w:r>
      <w:r>
        <w:t xml:space="preserve">achine </w:t>
      </w:r>
      <w:r w:rsidR="00CA028C">
        <w:t>L</w:t>
      </w:r>
      <w:r>
        <w:t>earning</w:t>
      </w:r>
      <w:r w:rsidR="00CA028C">
        <w:t xml:space="preserve"> algorithms </w:t>
      </w:r>
      <w:r>
        <w:t>needs</w:t>
      </w:r>
      <w:r w:rsidR="00CA028C">
        <w:t xml:space="preserve"> re-training at periodic intervals. The</w:t>
      </w:r>
      <w:r>
        <w:t xml:space="preserve"> Netflix prize which was </w:t>
      </w:r>
      <w:r w:rsidR="00CA028C">
        <w:t xml:space="preserve"> </w:t>
      </w:r>
    </w:p>
    <w:p w:rsidR="00A9235B" w:rsidRDefault="00CA028C" w:rsidP="006D7978">
      <w:pPr>
        <w:ind w:left="20" w:right="10"/>
      </w:pPr>
      <w:r>
        <w:t>“</w:t>
      </w:r>
      <w:r w:rsidR="006D7978">
        <w:t>Best</w:t>
      </w:r>
      <w:r>
        <w:t xml:space="preserve">” algorithm </w:t>
      </w:r>
      <w:r>
        <w:t xml:space="preserve">was presented with $1 Million, though it wasn’t used in production because of the engineering effort required for </w:t>
      </w:r>
      <w:r w:rsidR="006D7978">
        <w:t>its</w:t>
      </w:r>
      <w:r>
        <w:t xml:space="preserve"> minimal gains.</w:t>
      </w:r>
      <w:r>
        <w:rPr>
          <w:vertAlign w:val="superscript"/>
        </w:rPr>
        <w:footnoteReference w:id="5"/>
      </w:r>
      <w:r w:rsidR="006D7978">
        <w:t xml:space="preserve"> The goal in this case was to accomplish</w:t>
      </w:r>
      <w:r>
        <w:t xml:space="preserve"> recall and precision values of 0.3+. In an effort to simulate a real-world scenario and utilize</w:t>
      </w:r>
      <w:r w:rsidR="006D7978">
        <w:t xml:space="preserve"> as few resources as possible, </w:t>
      </w:r>
      <w:r>
        <w:t xml:space="preserve">minimum </w:t>
      </w:r>
      <w:r>
        <w:t xml:space="preserve">features were selected.  </w:t>
      </w:r>
    </w:p>
    <w:p w:rsidR="00A9235B" w:rsidRDefault="00CA028C">
      <w:pPr>
        <w:ind w:right="10" w:firstLine="540"/>
      </w:pPr>
      <w:r>
        <w:t>Exercised Stock Options, Total Stock Value and B</w:t>
      </w:r>
      <w:r>
        <w:t xml:space="preserve">onus were chosen in combination with </w:t>
      </w:r>
      <w:proofErr w:type="spellStart"/>
      <w:r>
        <w:t>sklearn’s</w:t>
      </w:r>
      <w:proofErr w:type="spellEnd"/>
      <w:r>
        <w:t xml:space="preserve"> </w:t>
      </w:r>
    </w:p>
    <w:tbl>
      <w:tblPr>
        <w:tblStyle w:val="TableGrid"/>
        <w:tblpPr w:vertAnchor="text" w:horzAnchor="margin" w:tblpXSpec="right" w:tblpY="922"/>
        <w:tblOverlap w:val="never"/>
        <w:tblW w:w="4348" w:type="dxa"/>
        <w:tblInd w:w="0" w:type="dxa"/>
        <w:tblCellMar>
          <w:top w:w="81" w:type="dxa"/>
          <w:left w:w="105" w:type="dxa"/>
          <w:bottom w:w="0" w:type="dxa"/>
          <w:right w:w="115" w:type="dxa"/>
        </w:tblCellMar>
        <w:tblLook w:val="04A0" w:firstRow="1" w:lastRow="0" w:firstColumn="1" w:lastColumn="0" w:noHBand="0" w:noVBand="1"/>
      </w:tblPr>
      <w:tblGrid>
        <w:gridCol w:w="4348"/>
      </w:tblGrid>
      <w:tr w:rsidR="007F1FE6" w:rsidTr="007F1FE6">
        <w:trPr>
          <w:trHeight w:val="3310"/>
        </w:trPr>
        <w:tc>
          <w:tcPr>
            <w:tcW w:w="434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7F1FE6" w:rsidRDefault="007F1FE6" w:rsidP="007F1FE6">
            <w:pPr>
              <w:spacing w:after="131" w:line="259" w:lineRule="auto"/>
              <w:ind w:left="0" w:right="0" w:firstLine="0"/>
            </w:pPr>
            <w:r>
              <w:rPr>
                <w:b/>
                <w:color w:val="434343"/>
                <w:sz w:val="20"/>
              </w:rPr>
              <w:t xml:space="preserve">Sample </w:t>
            </w:r>
            <w:proofErr w:type="spellStart"/>
            <w:r>
              <w:rPr>
                <w:b/>
                <w:color w:val="434343"/>
                <w:sz w:val="20"/>
              </w:rPr>
              <w:t>SelectPercentage</w:t>
            </w:r>
            <w:proofErr w:type="spellEnd"/>
            <w:r>
              <w:rPr>
                <w:b/>
                <w:color w:val="434343"/>
                <w:sz w:val="20"/>
              </w:rPr>
              <w:t xml:space="preserve"> Results </w:t>
            </w:r>
          </w:p>
          <w:p w:rsidR="007F1FE6" w:rsidRDefault="007F1FE6" w:rsidP="007F1FE6">
            <w:pPr>
              <w:spacing w:after="100" w:line="259" w:lineRule="auto"/>
              <w:ind w:left="0" w:right="0" w:firstLine="0"/>
            </w:pPr>
            <w:r>
              <w:rPr>
                <w:color w:val="434343"/>
              </w:rPr>
              <w:t xml:space="preserve">Percentage: 15 </w:t>
            </w:r>
          </w:p>
          <w:p w:rsidR="007F1FE6" w:rsidRDefault="007F1FE6" w:rsidP="007F1FE6">
            <w:pPr>
              <w:spacing w:after="100" w:line="259" w:lineRule="auto"/>
              <w:ind w:left="0" w:right="0" w:firstLine="0"/>
            </w:pPr>
            <w:r>
              <w:rPr>
                <w:color w:val="434343"/>
              </w:rPr>
              <w:t xml:space="preserve">Precision: 0.36 </w:t>
            </w:r>
          </w:p>
          <w:p w:rsidR="007F1FE6" w:rsidRDefault="007F1FE6" w:rsidP="007F1FE6">
            <w:pPr>
              <w:spacing w:after="0" w:line="341" w:lineRule="auto"/>
              <w:ind w:left="0" w:right="1186" w:firstLine="0"/>
              <w:rPr>
                <w:color w:val="434343"/>
              </w:rPr>
            </w:pPr>
            <w:r>
              <w:rPr>
                <w:color w:val="434343"/>
              </w:rPr>
              <w:t xml:space="preserve">Recall: 0.38 </w:t>
            </w:r>
          </w:p>
          <w:p w:rsidR="007F1FE6" w:rsidRDefault="007F1FE6" w:rsidP="007F1FE6">
            <w:pPr>
              <w:spacing w:after="0" w:line="341" w:lineRule="auto"/>
              <w:ind w:left="0" w:right="1186" w:firstLine="0"/>
            </w:pPr>
            <w:proofErr w:type="spellStart"/>
            <w:r>
              <w:rPr>
                <w:color w:val="434343"/>
              </w:rPr>
              <w:t>The</w:t>
            </w:r>
            <w:r>
              <w:rPr>
                <w:color w:val="434343"/>
              </w:rPr>
              <w:t>Features</w:t>
            </w:r>
            <w:proofErr w:type="spellEnd"/>
            <w:r>
              <w:rPr>
                <w:color w:val="434343"/>
              </w:rPr>
              <w:t xml:space="preserve">: </w:t>
            </w:r>
          </w:p>
          <w:p w:rsidR="007F1FE6" w:rsidRDefault="007F1FE6" w:rsidP="007F1FE6">
            <w:pPr>
              <w:numPr>
                <w:ilvl w:val="0"/>
                <w:numId w:val="1"/>
              </w:numPr>
              <w:spacing w:after="100" w:line="259" w:lineRule="auto"/>
              <w:ind w:right="0" w:hanging="240"/>
            </w:pPr>
            <w:proofErr w:type="spellStart"/>
            <w:r>
              <w:rPr>
                <w:color w:val="434343"/>
              </w:rPr>
              <w:t>exercised_stock</w:t>
            </w:r>
            <w:proofErr w:type="spellEnd"/>
            <w:r>
              <w:rPr>
                <w:color w:val="434343"/>
              </w:rPr>
              <w:t xml:space="preserve"> </w:t>
            </w:r>
          </w:p>
          <w:p w:rsidR="007F1FE6" w:rsidRDefault="007F1FE6" w:rsidP="007F1FE6">
            <w:pPr>
              <w:numPr>
                <w:ilvl w:val="0"/>
                <w:numId w:val="1"/>
              </w:numPr>
              <w:spacing w:after="100" w:line="259" w:lineRule="auto"/>
              <w:ind w:right="0" w:hanging="240"/>
            </w:pPr>
            <w:proofErr w:type="spellStart"/>
            <w:r>
              <w:rPr>
                <w:color w:val="434343"/>
              </w:rPr>
              <w:t>total_stock</w:t>
            </w:r>
            <w:proofErr w:type="spellEnd"/>
            <w:r>
              <w:rPr>
                <w:color w:val="434343"/>
              </w:rPr>
              <w:t xml:space="preserve"> </w:t>
            </w:r>
          </w:p>
          <w:p w:rsidR="007F1FE6" w:rsidRDefault="007F1FE6" w:rsidP="007F1FE6">
            <w:pPr>
              <w:numPr>
                <w:ilvl w:val="0"/>
                <w:numId w:val="1"/>
              </w:numPr>
              <w:spacing w:after="0" w:line="259" w:lineRule="auto"/>
              <w:ind w:right="0" w:hanging="240"/>
            </w:pPr>
            <w:r>
              <w:rPr>
                <w:color w:val="434343"/>
              </w:rPr>
              <w:t>bonus</w:t>
            </w:r>
          </w:p>
        </w:tc>
      </w:tr>
    </w:tbl>
    <w:p w:rsidR="00A9235B" w:rsidRDefault="006D7978" w:rsidP="006D7978">
      <w:pPr>
        <w:ind w:left="20" w:right="10"/>
      </w:pPr>
      <w:r>
        <w:t>Univariate</w:t>
      </w:r>
      <w:r w:rsidR="00CA028C">
        <w:t xml:space="preserve"> feature selection </w:t>
      </w:r>
      <w:proofErr w:type="spellStart"/>
      <w:r w:rsidR="00CA028C">
        <w:rPr>
          <w:b/>
        </w:rPr>
        <w:t>SelectPercentile</w:t>
      </w:r>
      <w:proofErr w:type="spellEnd"/>
      <w:r w:rsidR="00CA028C">
        <w:rPr>
          <w:b/>
        </w:rPr>
        <w:t xml:space="preserve">, </w:t>
      </w:r>
      <w:r w:rsidR="00CA028C">
        <w:t>which selects fea</w:t>
      </w:r>
      <w:r>
        <w:t>tures based on the highest score percentage.</w:t>
      </w: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6D7978">
      <w:pPr>
        <w:ind w:left="20" w:right="10"/>
      </w:pPr>
    </w:p>
    <w:p w:rsidR="00790EC8" w:rsidRDefault="00790EC8" w:rsidP="00790EC8">
      <w:pPr>
        <w:spacing w:after="0" w:line="262" w:lineRule="auto"/>
        <w:ind w:left="0" w:right="3996" w:firstLine="0"/>
        <w:rPr>
          <w:color w:val="5A5754"/>
          <w:sz w:val="36"/>
        </w:rPr>
      </w:pPr>
    </w:p>
    <w:p w:rsidR="00790EC8" w:rsidRDefault="00790EC8">
      <w:pPr>
        <w:spacing w:after="0" w:line="262" w:lineRule="auto"/>
        <w:ind w:left="264" w:right="3996" w:firstLine="0"/>
        <w:jc w:val="center"/>
        <w:rPr>
          <w:color w:val="5A5754"/>
          <w:sz w:val="36"/>
        </w:rPr>
      </w:pPr>
    </w:p>
    <w:tbl>
      <w:tblPr>
        <w:tblStyle w:val="TableGrid"/>
        <w:tblpPr w:vertAnchor="text" w:horzAnchor="page" w:tblpX="8233" w:tblpY="74"/>
        <w:tblOverlap w:val="never"/>
        <w:tblW w:w="3616" w:type="dxa"/>
        <w:tblInd w:w="0" w:type="dxa"/>
        <w:tblCellMar>
          <w:top w:w="71" w:type="dxa"/>
          <w:left w:w="80" w:type="dxa"/>
          <w:bottom w:w="0" w:type="dxa"/>
          <w:right w:w="40" w:type="dxa"/>
        </w:tblCellMar>
        <w:tblLook w:val="04A0" w:firstRow="1" w:lastRow="0" w:firstColumn="1" w:lastColumn="0" w:noHBand="0" w:noVBand="1"/>
      </w:tblPr>
      <w:tblGrid>
        <w:gridCol w:w="3616"/>
      </w:tblGrid>
      <w:tr w:rsidR="00790EC8" w:rsidTr="007660DE">
        <w:trPr>
          <w:trHeight w:val="970"/>
        </w:trPr>
        <w:tc>
          <w:tcPr>
            <w:tcW w:w="3616" w:type="dxa"/>
            <w:tcBorders>
              <w:top w:val="nil"/>
              <w:left w:val="nil"/>
              <w:bottom w:val="single" w:sz="8" w:space="0" w:color="314924"/>
              <w:right w:val="nil"/>
            </w:tcBorders>
            <w:shd w:val="clear" w:color="auto" w:fill="DEEAF6" w:themeFill="accent1" w:themeFillTint="33"/>
          </w:tcPr>
          <w:p w:rsidR="00790EC8" w:rsidRDefault="00790EC8" w:rsidP="00790EC8">
            <w:pPr>
              <w:spacing w:after="210" w:line="221" w:lineRule="auto"/>
              <w:ind w:left="0" w:right="0" w:firstLine="0"/>
              <w:jc w:val="both"/>
            </w:pPr>
            <w:r>
              <w:rPr>
                <w:b/>
                <w:i/>
                <w:color w:val="314924"/>
                <w:sz w:val="16"/>
              </w:rPr>
              <w:lastRenderedPageBreak/>
              <w:t>sample impact of new features using final algorithm (Decision Tree)</w:t>
            </w:r>
          </w:p>
          <w:p w:rsidR="00790EC8" w:rsidRDefault="00790EC8" w:rsidP="00790EC8">
            <w:pPr>
              <w:tabs>
                <w:tab w:val="center" w:pos="2271"/>
                <w:tab w:val="right" w:pos="3496"/>
              </w:tabs>
              <w:spacing w:after="0" w:line="259" w:lineRule="auto"/>
              <w:ind w:left="0" w:right="0" w:firstLine="0"/>
            </w:pPr>
            <w:r>
              <w:rPr>
                <w:b/>
                <w:color w:val="314924"/>
                <w:sz w:val="20"/>
              </w:rPr>
              <w:t>Feature</w:t>
            </w:r>
            <w:r>
              <w:rPr>
                <w:b/>
                <w:color w:val="314924"/>
                <w:sz w:val="20"/>
              </w:rPr>
              <w:tab/>
              <w:t>Precision</w:t>
            </w:r>
            <w:r>
              <w:rPr>
                <w:b/>
                <w:color w:val="314924"/>
                <w:sz w:val="20"/>
              </w:rPr>
              <w:tab/>
              <w:t>Recall</w:t>
            </w:r>
          </w:p>
        </w:tc>
      </w:tr>
      <w:tr w:rsidR="00790EC8" w:rsidTr="007660DE">
        <w:trPr>
          <w:trHeight w:val="440"/>
        </w:trPr>
        <w:tc>
          <w:tcPr>
            <w:tcW w:w="3616" w:type="dxa"/>
            <w:tcBorders>
              <w:top w:val="single" w:sz="8" w:space="0" w:color="314924"/>
              <w:left w:val="nil"/>
              <w:bottom w:val="nil"/>
              <w:right w:val="nil"/>
            </w:tcBorders>
            <w:shd w:val="clear" w:color="auto" w:fill="DEEAF6" w:themeFill="accent1" w:themeFillTint="33"/>
          </w:tcPr>
          <w:p w:rsidR="00790EC8" w:rsidRDefault="00790EC8" w:rsidP="00790EC8">
            <w:pPr>
              <w:tabs>
                <w:tab w:val="center" w:pos="2541"/>
                <w:tab w:val="right" w:pos="3496"/>
              </w:tabs>
              <w:spacing w:after="0" w:line="259" w:lineRule="auto"/>
              <w:ind w:left="0" w:right="0" w:firstLine="0"/>
            </w:pPr>
            <w:r>
              <w:rPr>
                <w:color w:val="314924"/>
                <w:sz w:val="20"/>
              </w:rPr>
              <w:t>neither feature</w:t>
            </w:r>
            <w:r>
              <w:rPr>
                <w:color w:val="314924"/>
                <w:sz w:val="20"/>
              </w:rPr>
              <w:tab/>
              <w:t>0.37</w:t>
            </w:r>
            <w:r>
              <w:rPr>
                <w:color w:val="314924"/>
                <w:sz w:val="20"/>
              </w:rPr>
              <w:tab/>
              <w:t>0.38</w:t>
            </w:r>
          </w:p>
        </w:tc>
      </w:tr>
      <w:tr w:rsidR="00790EC8" w:rsidTr="007660DE">
        <w:trPr>
          <w:trHeight w:val="21"/>
        </w:trPr>
        <w:tc>
          <w:tcPr>
            <w:tcW w:w="3616" w:type="dxa"/>
            <w:tcBorders>
              <w:top w:val="nil"/>
              <w:left w:val="nil"/>
              <w:bottom w:val="nil"/>
              <w:right w:val="nil"/>
            </w:tcBorders>
            <w:shd w:val="clear" w:color="auto" w:fill="DEEAF6" w:themeFill="accent1" w:themeFillTint="33"/>
          </w:tcPr>
          <w:p w:rsidR="00790EC8" w:rsidRDefault="00790EC8" w:rsidP="00790EC8">
            <w:pPr>
              <w:tabs>
                <w:tab w:val="center" w:pos="2541"/>
                <w:tab w:val="right" w:pos="3496"/>
              </w:tabs>
              <w:spacing w:after="0" w:line="259" w:lineRule="auto"/>
              <w:ind w:left="0" w:right="0" w:firstLine="0"/>
            </w:pPr>
            <w:r>
              <w:rPr>
                <w:color w:val="314924"/>
                <w:sz w:val="20"/>
              </w:rPr>
              <w:t>milk</w:t>
            </w:r>
            <w:r>
              <w:rPr>
                <w:color w:val="314924"/>
                <w:sz w:val="20"/>
              </w:rPr>
              <w:tab/>
              <w:t>0.38</w:t>
            </w:r>
            <w:r>
              <w:rPr>
                <w:color w:val="314924"/>
                <w:sz w:val="20"/>
              </w:rPr>
              <w:tab/>
              <w:t>0.40</w:t>
            </w:r>
          </w:p>
        </w:tc>
      </w:tr>
      <w:tr w:rsidR="00790EC8" w:rsidTr="007660DE">
        <w:trPr>
          <w:trHeight w:val="820"/>
        </w:trPr>
        <w:tc>
          <w:tcPr>
            <w:tcW w:w="3616" w:type="dxa"/>
            <w:tcBorders>
              <w:top w:val="nil"/>
              <w:left w:val="nil"/>
              <w:bottom w:val="nil"/>
              <w:right w:val="nil"/>
            </w:tcBorders>
            <w:shd w:val="clear" w:color="auto" w:fill="DEEAF6" w:themeFill="accent1" w:themeFillTint="33"/>
          </w:tcPr>
          <w:p w:rsidR="00790EC8" w:rsidRDefault="00790EC8" w:rsidP="00790EC8">
            <w:pPr>
              <w:spacing w:after="0" w:line="259" w:lineRule="auto"/>
              <w:ind w:left="0" w:right="40" w:firstLine="0"/>
            </w:pPr>
            <w:r>
              <w:rPr>
                <w:color w:val="314924"/>
                <w:sz w:val="20"/>
              </w:rPr>
              <w:t xml:space="preserve">fraction of deferred </w:t>
            </w:r>
            <w:r>
              <w:rPr>
                <w:color w:val="314924"/>
                <w:sz w:val="20"/>
              </w:rPr>
              <w:tab/>
              <w:t>0.40</w:t>
            </w:r>
            <w:r>
              <w:rPr>
                <w:color w:val="314924"/>
                <w:sz w:val="20"/>
              </w:rPr>
              <w:tab/>
              <w:t>0.39 income to total payments</w:t>
            </w:r>
          </w:p>
        </w:tc>
      </w:tr>
      <w:tr w:rsidR="00790EC8" w:rsidTr="007660DE">
        <w:trPr>
          <w:trHeight w:val="440"/>
        </w:trPr>
        <w:tc>
          <w:tcPr>
            <w:tcW w:w="3616" w:type="dxa"/>
            <w:tcBorders>
              <w:top w:val="nil"/>
              <w:left w:val="nil"/>
              <w:bottom w:val="nil"/>
              <w:right w:val="nil"/>
            </w:tcBorders>
            <w:shd w:val="clear" w:color="auto" w:fill="DEEAF6" w:themeFill="accent1" w:themeFillTint="33"/>
          </w:tcPr>
          <w:p w:rsidR="00790EC8" w:rsidRDefault="00790EC8" w:rsidP="00790EC8">
            <w:pPr>
              <w:tabs>
                <w:tab w:val="center" w:pos="2541"/>
                <w:tab w:val="right" w:pos="3496"/>
              </w:tabs>
              <w:spacing w:after="0" w:line="259" w:lineRule="auto"/>
              <w:ind w:left="0" w:right="0" w:firstLine="0"/>
            </w:pPr>
            <w:r>
              <w:rPr>
                <w:color w:val="314924"/>
                <w:sz w:val="20"/>
              </w:rPr>
              <w:t>combined features</w:t>
            </w:r>
            <w:r>
              <w:rPr>
                <w:color w:val="314924"/>
                <w:sz w:val="20"/>
              </w:rPr>
              <w:tab/>
              <w:t>0.40</w:t>
            </w:r>
            <w:r>
              <w:rPr>
                <w:color w:val="314924"/>
                <w:sz w:val="20"/>
              </w:rPr>
              <w:tab/>
              <w:t>0.41</w:t>
            </w:r>
          </w:p>
        </w:tc>
      </w:tr>
    </w:tbl>
    <w:p w:rsidR="00A9235B" w:rsidRPr="00790EC8" w:rsidRDefault="00CA028C" w:rsidP="00790EC8">
      <w:pPr>
        <w:pStyle w:val="Heading1"/>
      </w:pPr>
      <w:r w:rsidRPr="00790EC8">
        <w:t xml:space="preserve">New Features </w:t>
      </w:r>
      <w:r w:rsidRPr="00790EC8">
        <w:t xml:space="preserve">fraction of deferred income to total payments </w:t>
      </w:r>
    </w:p>
    <w:p w:rsidR="00A9235B" w:rsidRDefault="00CA028C" w:rsidP="00790EC8">
      <w:pPr>
        <w:ind w:right="10" w:firstLine="540"/>
      </w:pPr>
      <w:r>
        <w:t>This feature assumes that non-POIs</w:t>
      </w:r>
      <w:r>
        <w:t xml:space="preserve"> believe</w:t>
      </w:r>
      <w:r w:rsidR="00790EC8">
        <w:t>d</w:t>
      </w:r>
      <w:r>
        <w:t xml:space="preserve"> that the company would </w:t>
      </w:r>
      <w:r w:rsidR="00790EC8">
        <w:t>keep growing</w:t>
      </w:r>
      <w:r>
        <w:t xml:space="preserve"> and be in a better </w:t>
      </w:r>
      <w:r w:rsidR="00790EC8">
        <w:t>place</w:t>
      </w:r>
      <w:r>
        <w:t xml:space="preserve"> to make those payments.  POIs </w:t>
      </w:r>
      <w:r w:rsidR="00790EC8">
        <w:t>knew</w:t>
      </w:r>
      <w:r>
        <w:t xml:space="preserve"> that the foundations were </w:t>
      </w:r>
      <w:r w:rsidR="00790EC8">
        <w:t>falling down and should</w:t>
      </w:r>
      <w:r>
        <w:t xml:space="preserve"> be paid before the company ran out of funds. </w:t>
      </w:r>
    </w:p>
    <w:p w:rsidR="00790EC8" w:rsidRDefault="00790EC8">
      <w:pPr>
        <w:ind w:right="10" w:firstLine="540"/>
      </w:pPr>
    </w:p>
    <w:p w:rsidR="00790EC8" w:rsidRDefault="00790EC8">
      <w:pPr>
        <w:ind w:right="10" w:firstLine="540"/>
      </w:pPr>
    </w:p>
    <w:p w:rsidR="00790EC8" w:rsidRDefault="00790EC8">
      <w:pPr>
        <w:ind w:right="10" w:firstLine="540"/>
      </w:pPr>
    </w:p>
    <w:p w:rsidR="00790EC8" w:rsidRDefault="00790EC8">
      <w:pPr>
        <w:ind w:right="10" w:firstLine="540"/>
      </w:pPr>
    </w:p>
    <w:p w:rsidR="00A9235B" w:rsidRDefault="00CA028C" w:rsidP="007660DE">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524" w:line="259" w:lineRule="auto"/>
        <w:ind w:left="1872" w:right="0" w:firstLine="0"/>
      </w:pPr>
      <w:r>
        <w:rPr>
          <w:b/>
        </w:rPr>
        <w:t xml:space="preserve">The value “milk” was scaled using the following ratio. </w:t>
      </w:r>
    </w:p>
    <w:p w:rsidR="00A9235B" w:rsidRPr="007660DE" w:rsidRDefault="007660DE" w:rsidP="007660DE">
      <w:pPr>
        <w:pBdr>
          <w:top w:val="single" w:sz="8" w:space="0" w:color="000000"/>
          <w:left w:val="single" w:sz="8" w:space="0" w:color="000000"/>
          <w:bottom w:val="single" w:sz="8" w:space="0" w:color="000000"/>
          <w:right w:val="single" w:sz="8" w:space="0" w:color="000000"/>
        </w:pBdr>
        <w:shd w:val="clear" w:color="auto" w:fill="DEEAF6" w:themeFill="accent1" w:themeFillTint="33"/>
        <w:tabs>
          <w:tab w:val="center" w:pos="5614"/>
          <w:tab w:val="left" w:pos="7872"/>
        </w:tabs>
        <w:spacing w:after="104" w:line="259" w:lineRule="auto"/>
        <w:ind w:left="1872" w:right="0" w:firstLine="0"/>
        <w:rPr>
          <w:color w:val="BDD6EE" w:themeColor="accent1" w:themeTint="66"/>
        </w:rPr>
      </w:pPr>
      <w:r>
        <w:tab/>
      </w:r>
      <w:r w:rsidR="00CA028C">
        <w:t xml:space="preserve">(Expenses + Deferral Payments) </w:t>
      </w:r>
      <w:r>
        <w:tab/>
      </w:r>
    </w:p>
    <w:p w:rsidR="00A9235B" w:rsidRDefault="00CA028C" w:rsidP="007660DE">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98" w:line="265" w:lineRule="auto"/>
        <w:ind w:left="1882" w:right="0"/>
      </w:pPr>
      <w:r>
        <w:t xml:space="preserve">————————————————————————— </w:t>
      </w:r>
    </w:p>
    <w:p w:rsidR="00A9235B" w:rsidRDefault="00CA028C" w:rsidP="007660DE">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508" w:line="265" w:lineRule="auto"/>
        <w:ind w:left="1882" w:right="0"/>
      </w:pPr>
      <w:r>
        <w:t xml:space="preserve">1 + (Loan Advances + Long Term Incentive + Deferred Income) </w:t>
      </w:r>
    </w:p>
    <w:p w:rsidR="00A9235B" w:rsidRDefault="007660DE" w:rsidP="00D831C9">
      <w:pPr>
        <w:spacing w:after="90"/>
        <w:ind w:right="10" w:firstLine="540"/>
      </w:pPr>
      <w:r>
        <w:t>They believed</w:t>
      </w:r>
      <w:r w:rsidR="00CA028C">
        <w:t xml:space="preserve"> that POIs have an incentive to get as much out of the company as quickly as possible since they don’t see a long-term future in the company, drove the decision to create a </w:t>
      </w:r>
      <w:r w:rsidR="00D831C9">
        <w:t xml:space="preserve">new </w:t>
      </w:r>
      <w:r w:rsidR="00CA028C">
        <w:t xml:space="preserve">label </w:t>
      </w:r>
      <w:proofErr w:type="spellStart"/>
      <w:r w:rsidR="00D831C9">
        <w:t>called</w:t>
      </w:r>
      <w:r w:rsidR="00CA028C">
        <w:t>“milk</w:t>
      </w:r>
      <w:proofErr w:type="spellEnd"/>
      <w:r w:rsidR="00CA028C">
        <w:t>”</w:t>
      </w:r>
      <w:r w:rsidR="00CA028C">
        <w:t>. Expenses include consulting, re</w:t>
      </w:r>
      <w:r w:rsidR="00CA028C">
        <w:t>imbursements from the company and deferral payments are distributions from deferred compensation. The company must pay these now whereas loan advances, long term incentives and deferred income are future payments. If employees believe that the company won’</w:t>
      </w:r>
      <w:r w:rsidR="00CA028C">
        <w:t xml:space="preserve">t have the money to pay them in the future, they will want to collect what they can now. </w:t>
      </w:r>
    </w:p>
    <w:tbl>
      <w:tblPr>
        <w:tblStyle w:val="TableGrid"/>
        <w:tblpPr w:vertAnchor="text" w:horzAnchor="margin" w:tblpXSpec="right" w:tblpY="230"/>
        <w:tblOverlap w:val="never"/>
        <w:tblW w:w="2720" w:type="dxa"/>
        <w:tblInd w:w="0" w:type="dxa"/>
        <w:tblCellMar>
          <w:top w:w="97" w:type="dxa"/>
          <w:left w:w="100" w:type="dxa"/>
          <w:bottom w:w="0" w:type="dxa"/>
          <w:right w:w="110" w:type="dxa"/>
        </w:tblCellMar>
        <w:tblLook w:val="04A0" w:firstRow="1" w:lastRow="0" w:firstColumn="1" w:lastColumn="0" w:noHBand="0" w:noVBand="1"/>
      </w:tblPr>
      <w:tblGrid>
        <w:gridCol w:w="2720"/>
      </w:tblGrid>
      <w:tr w:rsidR="00D831C9" w:rsidTr="00D831C9">
        <w:trPr>
          <w:trHeight w:val="3860"/>
        </w:trPr>
        <w:tc>
          <w:tcPr>
            <w:tcW w:w="2720"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D831C9" w:rsidRDefault="00D831C9" w:rsidP="00D831C9">
            <w:pPr>
              <w:spacing w:after="53" w:line="259" w:lineRule="auto"/>
              <w:ind w:left="2" w:right="0" w:firstLine="0"/>
              <w:jc w:val="center"/>
            </w:pPr>
            <w:r>
              <w:rPr>
                <w:b/>
                <w:color w:val="434343"/>
                <w:sz w:val="18"/>
              </w:rPr>
              <w:lastRenderedPageBreak/>
              <w:t xml:space="preserve">Feature Importance </w:t>
            </w:r>
          </w:p>
          <w:p w:rsidR="00D831C9" w:rsidRDefault="00D831C9" w:rsidP="00D831C9">
            <w:pPr>
              <w:spacing w:after="183" w:line="259" w:lineRule="auto"/>
              <w:ind w:left="2" w:right="0" w:firstLine="0"/>
              <w:jc w:val="center"/>
            </w:pPr>
            <w:r>
              <w:rPr>
                <w:b/>
                <w:color w:val="434343"/>
                <w:sz w:val="14"/>
              </w:rPr>
              <w:t xml:space="preserve">with sample algorithm performance </w:t>
            </w:r>
          </w:p>
          <w:p w:rsidR="00D831C9" w:rsidRDefault="00D831C9" w:rsidP="00D831C9">
            <w:pPr>
              <w:numPr>
                <w:ilvl w:val="0"/>
                <w:numId w:val="2"/>
              </w:numPr>
              <w:spacing w:after="80" w:line="276" w:lineRule="auto"/>
              <w:ind w:right="0" w:hanging="180"/>
            </w:pPr>
            <w:r>
              <w:rPr>
                <w:b/>
                <w:color w:val="434343"/>
              </w:rPr>
              <w:t>.30</w:t>
            </w:r>
            <w:r>
              <w:rPr>
                <w:color w:val="434343"/>
              </w:rPr>
              <w:t xml:space="preserve"> Exercised Stock Options </w:t>
            </w:r>
          </w:p>
          <w:p w:rsidR="00D831C9" w:rsidRDefault="00D831C9" w:rsidP="00D831C9">
            <w:pPr>
              <w:numPr>
                <w:ilvl w:val="0"/>
                <w:numId w:val="2"/>
              </w:numPr>
              <w:spacing w:after="100" w:line="259" w:lineRule="auto"/>
              <w:ind w:right="0" w:hanging="180"/>
            </w:pPr>
            <w:r>
              <w:rPr>
                <w:b/>
                <w:color w:val="434343"/>
              </w:rPr>
              <w:t>.27</w:t>
            </w:r>
            <w:r>
              <w:rPr>
                <w:color w:val="434343"/>
              </w:rPr>
              <w:t xml:space="preserve"> Bonus </w:t>
            </w:r>
          </w:p>
          <w:p w:rsidR="00D831C9" w:rsidRDefault="00D831C9" w:rsidP="00D831C9">
            <w:pPr>
              <w:numPr>
                <w:ilvl w:val="0"/>
                <w:numId w:val="2"/>
              </w:numPr>
              <w:spacing w:after="100" w:line="259" w:lineRule="auto"/>
              <w:ind w:right="0" w:hanging="180"/>
            </w:pPr>
            <w:r>
              <w:rPr>
                <w:b/>
                <w:color w:val="434343"/>
              </w:rPr>
              <w:t>.19</w:t>
            </w:r>
            <w:r>
              <w:rPr>
                <w:color w:val="434343"/>
              </w:rPr>
              <w:t xml:space="preserve"> Total Stock Value </w:t>
            </w:r>
          </w:p>
          <w:p w:rsidR="00D831C9" w:rsidRDefault="00D831C9" w:rsidP="00D831C9">
            <w:pPr>
              <w:numPr>
                <w:ilvl w:val="0"/>
                <w:numId w:val="2"/>
              </w:numPr>
              <w:spacing w:after="20" w:line="259" w:lineRule="auto"/>
              <w:ind w:right="0" w:hanging="180"/>
            </w:pPr>
            <w:r>
              <w:rPr>
                <w:b/>
                <w:color w:val="434343"/>
              </w:rPr>
              <w:t>.14</w:t>
            </w:r>
            <w:r>
              <w:rPr>
                <w:color w:val="434343"/>
              </w:rPr>
              <w:t xml:space="preserve"> </w:t>
            </w:r>
            <w:r>
              <w:rPr>
                <w:color w:val="FF2600"/>
              </w:rPr>
              <w:t xml:space="preserve">Fraction of </w:t>
            </w:r>
          </w:p>
          <w:p w:rsidR="00D831C9" w:rsidRDefault="00D831C9" w:rsidP="00D831C9">
            <w:pPr>
              <w:spacing w:after="20" w:line="259" w:lineRule="auto"/>
              <w:ind w:left="180" w:right="0" w:firstLine="0"/>
            </w:pPr>
            <w:r>
              <w:rPr>
                <w:color w:val="FF2600"/>
              </w:rPr>
              <w:t xml:space="preserve">Deferred Income to </w:t>
            </w:r>
          </w:p>
          <w:p w:rsidR="00D831C9" w:rsidRDefault="00D831C9" w:rsidP="00D831C9">
            <w:pPr>
              <w:spacing w:after="100" w:line="259" w:lineRule="auto"/>
              <w:ind w:left="180" w:right="0" w:firstLine="0"/>
            </w:pPr>
            <w:r>
              <w:rPr>
                <w:color w:val="FF2600"/>
              </w:rPr>
              <w:t>Total Payments</w:t>
            </w:r>
            <w:r>
              <w:rPr>
                <w:color w:val="434343"/>
              </w:rPr>
              <w:t xml:space="preserve"> </w:t>
            </w:r>
          </w:p>
          <w:p w:rsidR="00D831C9" w:rsidRDefault="00D831C9" w:rsidP="00D831C9">
            <w:pPr>
              <w:numPr>
                <w:ilvl w:val="0"/>
                <w:numId w:val="2"/>
              </w:numPr>
              <w:spacing w:after="0" w:line="259" w:lineRule="auto"/>
              <w:ind w:right="0" w:hanging="180"/>
            </w:pPr>
            <w:r>
              <w:rPr>
                <w:b/>
                <w:color w:val="434343"/>
              </w:rPr>
              <w:t>.11</w:t>
            </w:r>
            <w:r>
              <w:rPr>
                <w:color w:val="434343"/>
              </w:rPr>
              <w:t xml:space="preserve"> </w:t>
            </w:r>
            <w:r>
              <w:rPr>
                <w:color w:val="FF2600"/>
              </w:rPr>
              <w:t xml:space="preserve">Milk </w:t>
            </w:r>
          </w:p>
        </w:tc>
      </w:tr>
    </w:tbl>
    <w:p w:rsidR="00A9235B" w:rsidRDefault="00D831C9">
      <w:pPr>
        <w:pStyle w:val="Heading1"/>
        <w:ind w:left="20"/>
        <w:jc w:val="left"/>
      </w:pPr>
      <w:r>
        <w:t xml:space="preserve"> </w:t>
      </w:r>
      <w:r w:rsidR="00CA028C">
        <w:t xml:space="preserve">FEATURE IMPORTANCE </w:t>
      </w:r>
    </w:p>
    <w:p w:rsidR="00A9235B" w:rsidRDefault="00CA028C" w:rsidP="00D831C9">
      <w:pPr>
        <w:spacing w:after="90"/>
        <w:ind w:left="20" w:right="10"/>
      </w:pPr>
      <w:r>
        <w:t xml:space="preserve">As seen in the table to the left, each feature adds to the final result. They are sorted by their </w:t>
      </w:r>
      <w:r>
        <w:t>value</w:t>
      </w:r>
      <w:r w:rsidR="00D831C9">
        <w:t>s respectively</w:t>
      </w:r>
      <w:r>
        <w:t>. Though these values change</w:t>
      </w:r>
      <w:r w:rsidR="00D831C9">
        <w:t>s</w:t>
      </w:r>
      <w:r>
        <w:t xml:space="preserve"> with each iteration, you can count on Exercised Stock Options always </w:t>
      </w:r>
      <w:r w:rsidR="00D831C9">
        <w:t>provide</w:t>
      </w:r>
      <w:r>
        <w:t xml:space="preserve"> more weight to the final algorithm</w:t>
      </w:r>
      <w:r>
        <w:t xml:space="preserve"> than that of our created features. </w:t>
      </w:r>
    </w:p>
    <w:p w:rsidR="00A9235B" w:rsidRDefault="00CA028C">
      <w:pPr>
        <w:pStyle w:val="Heading1"/>
        <w:ind w:left="20"/>
        <w:jc w:val="left"/>
      </w:pPr>
      <w:r>
        <w:t xml:space="preserve">PICK AN ALGORITHM </w:t>
      </w:r>
    </w:p>
    <w:p w:rsidR="00A9235B" w:rsidRDefault="00CA028C" w:rsidP="00D831C9">
      <w:pPr>
        <w:ind w:left="20" w:right="10"/>
      </w:pPr>
      <w:r>
        <w:t xml:space="preserve">The goal is to classify individuals as either a POI or non-POI.  </w:t>
      </w:r>
      <w:r>
        <w:t xml:space="preserve">Further to this, it’s not a “Big Data” </w:t>
      </w:r>
    </w:p>
    <w:p w:rsidR="00A9235B" w:rsidRDefault="00D831C9" w:rsidP="00D831C9">
      <w:pPr>
        <w:spacing w:line="259" w:lineRule="auto"/>
        <w:ind w:left="20" w:right="10"/>
      </w:pPr>
      <w:r>
        <w:t>Issue</w:t>
      </w:r>
      <w:r w:rsidR="00CA028C">
        <w:t xml:space="preserve"> as there are less than 100,000 samples, so there was no need to </w:t>
      </w:r>
      <w:r>
        <w:t>apply</w:t>
      </w:r>
      <w:r w:rsidR="00CA028C">
        <w:t xml:space="preserve"> an SGD Classifier or kernel approximation.  This required testing of the following </w:t>
      </w:r>
      <w:r w:rsidR="00CA028C">
        <w:t xml:space="preserve">algorithms: </w:t>
      </w:r>
    </w:p>
    <w:tbl>
      <w:tblPr>
        <w:tblStyle w:val="TableGrid"/>
        <w:tblW w:w="7560" w:type="dxa"/>
        <w:tblInd w:w="900" w:type="dxa"/>
        <w:tblCellMar>
          <w:top w:w="80" w:type="dxa"/>
          <w:left w:w="0" w:type="dxa"/>
          <w:bottom w:w="0" w:type="dxa"/>
          <w:right w:w="115" w:type="dxa"/>
        </w:tblCellMar>
        <w:tblLook w:val="04A0" w:firstRow="1" w:lastRow="0" w:firstColumn="1" w:lastColumn="0" w:noHBand="0" w:noVBand="1"/>
      </w:tblPr>
      <w:tblGrid>
        <w:gridCol w:w="4505"/>
        <w:gridCol w:w="3055"/>
      </w:tblGrid>
      <w:tr w:rsidR="00A9235B" w:rsidTr="00D831C9">
        <w:trPr>
          <w:trHeight w:val="1340"/>
        </w:trPr>
        <w:tc>
          <w:tcPr>
            <w:tcW w:w="4505" w:type="dxa"/>
            <w:tcBorders>
              <w:top w:val="nil"/>
              <w:left w:val="nil"/>
              <w:bottom w:val="nil"/>
              <w:right w:val="nil"/>
            </w:tcBorders>
            <w:shd w:val="clear" w:color="auto" w:fill="DEEAF6" w:themeFill="accent1" w:themeFillTint="33"/>
          </w:tcPr>
          <w:p w:rsidR="00A9235B" w:rsidRDefault="00CA028C">
            <w:pPr>
              <w:numPr>
                <w:ilvl w:val="0"/>
                <w:numId w:val="3"/>
              </w:numPr>
              <w:spacing w:after="104" w:line="259" w:lineRule="auto"/>
              <w:ind w:right="0" w:hanging="180"/>
            </w:pPr>
            <w:r>
              <w:t>Naive Bayes (</w:t>
            </w:r>
            <w:proofErr w:type="spellStart"/>
            <w:r>
              <w:t>GaussianNB</w:t>
            </w:r>
            <w:proofErr w:type="spellEnd"/>
            <w:r>
              <w:t xml:space="preserve">) </w:t>
            </w:r>
          </w:p>
          <w:p w:rsidR="00A9235B" w:rsidRDefault="00CA028C">
            <w:pPr>
              <w:numPr>
                <w:ilvl w:val="0"/>
                <w:numId w:val="3"/>
              </w:numPr>
              <w:spacing w:after="104" w:line="259" w:lineRule="auto"/>
              <w:ind w:right="0" w:hanging="180"/>
            </w:pPr>
            <w:r>
              <w:t xml:space="preserve">Support Vector Machines </w:t>
            </w:r>
          </w:p>
          <w:p w:rsidR="00A9235B" w:rsidRDefault="00CA028C">
            <w:pPr>
              <w:numPr>
                <w:ilvl w:val="0"/>
                <w:numId w:val="3"/>
              </w:numPr>
              <w:spacing w:after="0" w:line="259" w:lineRule="auto"/>
              <w:ind w:right="0" w:hanging="180"/>
            </w:pPr>
            <w:proofErr w:type="spellStart"/>
            <w:r>
              <w:t>LinearSVC</w:t>
            </w:r>
            <w:proofErr w:type="spellEnd"/>
            <w:r>
              <w:t xml:space="preserve"> </w:t>
            </w:r>
          </w:p>
        </w:tc>
        <w:tc>
          <w:tcPr>
            <w:tcW w:w="3055" w:type="dxa"/>
            <w:tcBorders>
              <w:top w:val="nil"/>
              <w:left w:val="nil"/>
              <w:bottom w:val="nil"/>
              <w:right w:val="nil"/>
            </w:tcBorders>
            <w:shd w:val="clear" w:color="auto" w:fill="DEEAF6" w:themeFill="accent1" w:themeFillTint="33"/>
          </w:tcPr>
          <w:p w:rsidR="00A9235B" w:rsidRDefault="00CA028C" w:rsidP="00D831C9">
            <w:pPr>
              <w:spacing w:after="104" w:line="259" w:lineRule="auto"/>
              <w:ind w:left="180" w:right="0" w:firstLine="0"/>
            </w:pPr>
            <w:r>
              <w:t xml:space="preserve"> </w:t>
            </w:r>
          </w:p>
          <w:p w:rsidR="00A9235B" w:rsidRDefault="00CA028C" w:rsidP="007662F0">
            <w:pPr>
              <w:pStyle w:val="ListParagraph"/>
              <w:numPr>
                <w:ilvl w:val="0"/>
                <w:numId w:val="3"/>
              </w:numPr>
              <w:spacing w:after="0" w:line="259" w:lineRule="auto"/>
              <w:ind w:right="0"/>
            </w:pPr>
            <w:r>
              <w:t>Decision Trees</w:t>
            </w:r>
          </w:p>
        </w:tc>
      </w:tr>
    </w:tbl>
    <w:tbl>
      <w:tblPr>
        <w:tblStyle w:val="TableGrid"/>
        <w:tblpPr w:vertAnchor="text" w:horzAnchor="margin" w:tblpXSpec="right" w:tblpY="105"/>
        <w:tblOverlap w:val="never"/>
        <w:tblW w:w="3860" w:type="dxa"/>
        <w:tblInd w:w="0" w:type="dxa"/>
        <w:tblCellMar>
          <w:top w:w="71" w:type="dxa"/>
          <w:left w:w="0" w:type="dxa"/>
          <w:bottom w:w="0" w:type="dxa"/>
          <w:right w:w="80" w:type="dxa"/>
        </w:tblCellMar>
        <w:tblLook w:val="04A0" w:firstRow="1" w:lastRow="0" w:firstColumn="1" w:lastColumn="0" w:noHBand="0" w:noVBand="1"/>
      </w:tblPr>
      <w:tblGrid>
        <w:gridCol w:w="2160"/>
        <w:gridCol w:w="1040"/>
        <w:gridCol w:w="660"/>
      </w:tblGrid>
      <w:tr w:rsidR="00D831C9" w:rsidTr="007662F0">
        <w:trPr>
          <w:trHeight w:val="440"/>
        </w:trPr>
        <w:tc>
          <w:tcPr>
            <w:tcW w:w="2160" w:type="dxa"/>
            <w:tcBorders>
              <w:top w:val="nil"/>
              <w:left w:val="nil"/>
              <w:bottom w:val="single" w:sz="8" w:space="0" w:color="314924"/>
              <w:right w:val="nil"/>
            </w:tcBorders>
            <w:shd w:val="clear" w:color="auto" w:fill="DEEAF6" w:themeFill="accent1" w:themeFillTint="33"/>
          </w:tcPr>
          <w:p w:rsidR="00D831C9" w:rsidRDefault="00D831C9" w:rsidP="007662F0">
            <w:pPr>
              <w:spacing w:after="0" w:line="259" w:lineRule="auto"/>
              <w:ind w:left="80" w:right="0" w:firstLine="0"/>
            </w:pPr>
            <w:r>
              <w:rPr>
                <w:b/>
                <w:color w:val="314924"/>
                <w:sz w:val="20"/>
              </w:rPr>
              <w:t>Algorithm</w:t>
            </w:r>
          </w:p>
        </w:tc>
        <w:tc>
          <w:tcPr>
            <w:tcW w:w="1040" w:type="dxa"/>
            <w:tcBorders>
              <w:top w:val="nil"/>
              <w:left w:val="nil"/>
              <w:bottom w:val="single" w:sz="8" w:space="0" w:color="314924"/>
              <w:right w:val="nil"/>
            </w:tcBorders>
            <w:shd w:val="clear" w:color="auto" w:fill="DEEAF6" w:themeFill="accent1" w:themeFillTint="33"/>
          </w:tcPr>
          <w:p w:rsidR="00D831C9" w:rsidRDefault="00D831C9" w:rsidP="007662F0">
            <w:pPr>
              <w:spacing w:after="0" w:line="259" w:lineRule="auto"/>
              <w:ind w:left="0" w:right="0" w:firstLine="0"/>
            </w:pPr>
            <w:r>
              <w:rPr>
                <w:b/>
                <w:color w:val="314924"/>
                <w:sz w:val="20"/>
              </w:rPr>
              <w:t>Precision</w:t>
            </w:r>
          </w:p>
        </w:tc>
        <w:tc>
          <w:tcPr>
            <w:tcW w:w="660" w:type="dxa"/>
            <w:tcBorders>
              <w:top w:val="nil"/>
              <w:left w:val="nil"/>
              <w:bottom w:val="single" w:sz="8" w:space="0" w:color="314924"/>
              <w:right w:val="nil"/>
            </w:tcBorders>
            <w:shd w:val="clear" w:color="auto" w:fill="DEEAF6" w:themeFill="accent1" w:themeFillTint="33"/>
          </w:tcPr>
          <w:p w:rsidR="00D831C9" w:rsidRDefault="00D831C9" w:rsidP="007662F0">
            <w:pPr>
              <w:spacing w:after="0" w:line="259" w:lineRule="auto"/>
              <w:ind w:left="0" w:right="0" w:firstLine="0"/>
              <w:jc w:val="both"/>
            </w:pPr>
            <w:r>
              <w:rPr>
                <w:b/>
                <w:color w:val="314924"/>
                <w:sz w:val="20"/>
              </w:rPr>
              <w:t>Recall</w:t>
            </w:r>
          </w:p>
        </w:tc>
      </w:tr>
      <w:tr w:rsidR="00D831C9" w:rsidTr="007662F0">
        <w:trPr>
          <w:trHeight w:val="440"/>
        </w:trPr>
        <w:tc>
          <w:tcPr>
            <w:tcW w:w="2160" w:type="dxa"/>
            <w:tcBorders>
              <w:top w:val="single" w:sz="8" w:space="0" w:color="314924"/>
              <w:left w:val="nil"/>
              <w:bottom w:val="nil"/>
              <w:right w:val="nil"/>
            </w:tcBorders>
            <w:shd w:val="clear" w:color="auto" w:fill="DEEAF6" w:themeFill="accent1" w:themeFillTint="33"/>
          </w:tcPr>
          <w:p w:rsidR="00D831C9" w:rsidRDefault="00D831C9" w:rsidP="007662F0">
            <w:pPr>
              <w:spacing w:after="0" w:line="259" w:lineRule="auto"/>
              <w:ind w:left="80" w:right="0" w:firstLine="0"/>
            </w:pPr>
            <w:proofErr w:type="spellStart"/>
            <w:r>
              <w:rPr>
                <w:color w:val="314924"/>
                <w:sz w:val="20"/>
              </w:rPr>
              <w:t>GaussianNB</w:t>
            </w:r>
            <w:proofErr w:type="spellEnd"/>
          </w:p>
        </w:tc>
        <w:tc>
          <w:tcPr>
            <w:tcW w:w="1040" w:type="dxa"/>
            <w:tcBorders>
              <w:top w:val="single" w:sz="8" w:space="0" w:color="314924"/>
              <w:left w:val="nil"/>
              <w:bottom w:val="nil"/>
              <w:right w:val="nil"/>
            </w:tcBorders>
            <w:shd w:val="clear" w:color="auto" w:fill="DEEAF6" w:themeFill="accent1" w:themeFillTint="33"/>
          </w:tcPr>
          <w:p w:rsidR="00D831C9" w:rsidRDefault="00D831C9" w:rsidP="007662F0">
            <w:pPr>
              <w:spacing w:after="0" w:line="259" w:lineRule="auto"/>
              <w:ind w:left="530" w:right="0" w:firstLine="0"/>
            </w:pPr>
            <w:r>
              <w:rPr>
                <w:color w:val="314924"/>
                <w:sz w:val="20"/>
              </w:rPr>
              <w:t>0.15</w:t>
            </w:r>
          </w:p>
        </w:tc>
        <w:tc>
          <w:tcPr>
            <w:tcW w:w="660" w:type="dxa"/>
            <w:tcBorders>
              <w:top w:val="single" w:sz="8" w:space="0" w:color="314924"/>
              <w:left w:val="nil"/>
              <w:bottom w:val="nil"/>
              <w:right w:val="nil"/>
            </w:tcBorders>
            <w:shd w:val="clear" w:color="auto" w:fill="DEEAF6" w:themeFill="accent1" w:themeFillTint="33"/>
          </w:tcPr>
          <w:p w:rsidR="00D831C9" w:rsidRDefault="00D831C9" w:rsidP="007662F0">
            <w:pPr>
              <w:spacing w:after="0" w:line="259" w:lineRule="auto"/>
              <w:ind w:left="0" w:right="0" w:firstLine="0"/>
              <w:jc w:val="right"/>
            </w:pPr>
            <w:r>
              <w:rPr>
                <w:color w:val="314924"/>
                <w:sz w:val="20"/>
              </w:rPr>
              <w:t>0.75</w:t>
            </w:r>
          </w:p>
        </w:tc>
      </w:tr>
      <w:tr w:rsidR="00D831C9" w:rsidTr="007662F0">
        <w:trPr>
          <w:trHeight w:val="440"/>
        </w:trPr>
        <w:tc>
          <w:tcPr>
            <w:tcW w:w="21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80" w:right="0" w:firstLine="0"/>
            </w:pPr>
            <w:r>
              <w:rPr>
                <w:color w:val="314924"/>
                <w:sz w:val="20"/>
              </w:rPr>
              <w:t>SVC</w:t>
            </w:r>
          </w:p>
        </w:tc>
        <w:tc>
          <w:tcPr>
            <w:tcW w:w="104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530" w:right="0" w:firstLine="0"/>
            </w:pPr>
            <w:r>
              <w:rPr>
                <w:color w:val="314924"/>
                <w:sz w:val="20"/>
              </w:rPr>
              <w:t>0.71</w:t>
            </w:r>
          </w:p>
        </w:tc>
        <w:tc>
          <w:tcPr>
            <w:tcW w:w="6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0" w:right="0" w:firstLine="0"/>
              <w:jc w:val="right"/>
            </w:pPr>
            <w:r>
              <w:rPr>
                <w:color w:val="314924"/>
                <w:sz w:val="20"/>
              </w:rPr>
              <w:t>0.00</w:t>
            </w:r>
          </w:p>
        </w:tc>
      </w:tr>
      <w:tr w:rsidR="00D831C9" w:rsidTr="007662F0">
        <w:trPr>
          <w:trHeight w:val="440"/>
        </w:trPr>
        <w:tc>
          <w:tcPr>
            <w:tcW w:w="21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80" w:right="0" w:firstLine="0"/>
            </w:pPr>
            <w:proofErr w:type="spellStart"/>
            <w:r>
              <w:rPr>
                <w:color w:val="314924"/>
                <w:sz w:val="20"/>
              </w:rPr>
              <w:t>LinearSVC</w:t>
            </w:r>
            <w:proofErr w:type="spellEnd"/>
          </w:p>
        </w:tc>
        <w:tc>
          <w:tcPr>
            <w:tcW w:w="104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530" w:right="0" w:firstLine="0"/>
            </w:pPr>
            <w:r>
              <w:rPr>
                <w:color w:val="314924"/>
                <w:sz w:val="20"/>
              </w:rPr>
              <w:t>0.20</w:t>
            </w:r>
          </w:p>
        </w:tc>
        <w:tc>
          <w:tcPr>
            <w:tcW w:w="6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0" w:right="0" w:firstLine="0"/>
              <w:jc w:val="right"/>
            </w:pPr>
            <w:r>
              <w:rPr>
                <w:color w:val="314924"/>
                <w:sz w:val="20"/>
              </w:rPr>
              <w:t>0.30</w:t>
            </w:r>
          </w:p>
        </w:tc>
      </w:tr>
      <w:tr w:rsidR="00D831C9" w:rsidTr="007662F0">
        <w:trPr>
          <w:trHeight w:val="440"/>
        </w:trPr>
        <w:tc>
          <w:tcPr>
            <w:tcW w:w="21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80" w:right="0" w:firstLine="0"/>
            </w:pPr>
            <w:proofErr w:type="spellStart"/>
            <w:r>
              <w:rPr>
                <w:color w:val="314924"/>
                <w:sz w:val="20"/>
              </w:rPr>
              <w:t>Decision</w:t>
            </w:r>
            <w:r>
              <w:rPr>
                <w:color w:val="314924"/>
                <w:sz w:val="20"/>
              </w:rPr>
              <w:t>tree</w:t>
            </w:r>
            <w:proofErr w:type="spellEnd"/>
          </w:p>
        </w:tc>
        <w:tc>
          <w:tcPr>
            <w:tcW w:w="104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530" w:right="0" w:firstLine="0"/>
            </w:pPr>
            <w:r>
              <w:rPr>
                <w:color w:val="314924"/>
                <w:sz w:val="20"/>
              </w:rPr>
              <w:t>0.33</w:t>
            </w:r>
          </w:p>
        </w:tc>
        <w:tc>
          <w:tcPr>
            <w:tcW w:w="660" w:type="dxa"/>
            <w:tcBorders>
              <w:top w:val="nil"/>
              <w:left w:val="nil"/>
              <w:bottom w:val="nil"/>
              <w:right w:val="nil"/>
            </w:tcBorders>
            <w:shd w:val="clear" w:color="auto" w:fill="DEEAF6" w:themeFill="accent1" w:themeFillTint="33"/>
          </w:tcPr>
          <w:p w:rsidR="00D831C9" w:rsidRDefault="00D831C9" w:rsidP="007662F0">
            <w:pPr>
              <w:spacing w:after="0" w:line="259" w:lineRule="auto"/>
              <w:ind w:left="0" w:right="0" w:firstLine="0"/>
              <w:jc w:val="right"/>
            </w:pPr>
            <w:r>
              <w:rPr>
                <w:color w:val="314924"/>
                <w:sz w:val="20"/>
              </w:rPr>
              <w:t>0.34</w:t>
            </w:r>
          </w:p>
        </w:tc>
      </w:tr>
    </w:tbl>
    <w:p w:rsidR="007662F0" w:rsidRDefault="00D831C9" w:rsidP="007662F0">
      <w:pPr>
        <w:ind w:right="10" w:firstLine="540"/>
      </w:pPr>
      <w:r>
        <w:t xml:space="preserve"> </w:t>
      </w:r>
      <w:r w:rsidR="007662F0">
        <w:rPr>
          <w:b/>
          <w:bCs/>
        </w:rPr>
        <w:t xml:space="preserve">A </w:t>
      </w:r>
      <w:r w:rsidRPr="00D831C9">
        <w:rPr>
          <w:b/>
          <w:bCs/>
        </w:rPr>
        <w:t>.</w:t>
      </w:r>
      <w:proofErr w:type="spellStart"/>
      <w:r w:rsidR="00CA028C" w:rsidRPr="00D831C9">
        <w:rPr>
          <w:b/>
          <w:bCs/>
        </w:rPr>
        <w:t>GaussianNB</w:t>
      </w:r>
      <w:proofErr w:type="spellEnd"/>
      <w:r w:rsidR="007662F0">
        <w:t xml:space="preserve">: </w:t>
      </w:r>
      <w:r w:rsidR="00CA028C">
        <w:t>was simple to implement but even with excellent recall numbers, no amount of tuning afforded respectable precision results.</w:t>
      </w:r>
    </w:p>
    <w:p w:rsidR="007662F0" w:rsidRDefault="00CA028C" w:rsidP="007662F0">
      <w:pPr>
        <w:ind w:right="10" w:firstLine="540"/>
        <w:rPr>
          <w:b/>
          <w:bCs/>
        </w:rPr>
      </w:pPr>
      <w:r>
        <w:t xml:space="preserve"> </w:t>
      </w:r>
      <w:r w:rsidR="007662F0" w:rsidRPr="007662F0">
        <w:rPr>
          <w:b/>
          <w:bCs/>
        </w:rPr>
        <w:t>B</w:t>
      </w:r>
      <w:r w:rsidR="007662F0">
        <w:rPr>
          <w:b/>
          <w:bCs/>
        </w:rPr>
        <w:t xml:space="preserve"> </w:t>
      </w:r>
      <w:r w:rsidR="007662F0" w:rsidRPr="007662F0">
        <w:rPr>
          <w:b/>
          <w:bCs/>
        </w:rPr>
        <w:t>.</w:t>
      </w:r>
      <w:r w:rsidRPr="007662F0">
        <w:rPr>
          <w:b/>
          <w:bCs/>
        </w:rPr>
        <w:t>Support Vector Machines</w:t>
      </w:r>
      <w:r w:rsidR="007662F0">
        <w:rPr>
          <w:b/>
          <w:bCs/>
        </w:rPr>
        <w:t>:</w:t>
      </w:r>
      <w:r>
        <w:t xml:space="preserve"> </w:t>
      </w:r>
      <w:r w:rsidR="007662F0">
        <w:t>gave us</w:t>
      </w:r>
      <w:r>
        <w:t xml:space="preserve"> great precision values and only 0.0025 for recall.  </w:t>
      </w:r>
    </w:p>
    <w:p w:rsidR="007662F0" w:rsidRDefault="007662F0" w:rsidP="007662F0">
      <w:pPr>
        <w:ind w:right="10" w:firstLine="540"/>
      </w:pPr>
      <w:r>
        <w:rPr>
          <w:b/>
          <w:bCs/>
        </w:rPr>
        <w:t>C</w:t>
      </w:r>
      <w:r w:rsidRPr="007662F0">
        <w:rPr>
          <w:b/>
          <w:bCs/>
        </w:rPr>
        <w:t>.</w:t>
      </w:r>
      <w:r>
        <w:rPr>
          <w:b/>
          <w:bCs/>
        </w:rPr>
        <w:t xml:space="preserve"> </w:t>
      </w:r>
      <w:proofErr w:type="spellStart"/>
      <w:r w:rsidR="00CA028C" w:rsidRPr="007662F0">
        <w:rPr>
          <w:b/>
          <w:bCs/>
        </w:rPr>
        <w:t>LinearSVC</w:t>
      </w:r>
      <w:proofErr w:type="spellEnd"/>
      <w:r>
        <w:t>:</w:t>
      </w:r>
      <w:r w:rsidR="00CA028C">
        <w:t xml:space="preserve"> returned both precision </w:t>
      </w:r>
      <w:r w:rsidR="00CA028C">
        <w:t xml:space="preserve">and recall numbers that looked more even, but didn’t </w:t>
      </w:r>
      <w:r>
        <w:t xml:space="preserve">reach </w:t>
      </w:r>
      <w:r w:rsidR="00CA028C">
        <w:t xml:space="preserve">the desired results. </w:t>
      </w:r>
    </w:p>
    <w:p w:rsidR="007662F0" w:rsidRDefault="007662F0" w:rsidP="007662F0">
      <w:pPr>
        <w:ind w:right="10" w:firstLine="540"/>
      </w:pPr>
      <w:r>
        <w:rPr>
          <w:b/>
          <w:bCs/>
        </w:rPr>
        <w:t>D</w:t>
      </w:r>
      <w:r w:rsidRPr="007662F0">
        <w:t>.</w:t>
      </w:r>
      <w:r w:rsidR="00CA028C" w:rsidRPr="007662F0">
        <w:rPr>
          <w:b/>
          <w:bCs/>
        </w:rPr>
        <w:t>SVM algorithms</w:t>
      </w:r>
      <w:r>
        <w:t>:</w:t>
      </w:r>
      <w:r w:rsidR="00CA028C">
        <w:t xml:space="preserve"> are not scale invariant and therefore required scaling as they deal with Euclidian distances</w:t>
      </w:r>
    </w:p>
    <w:p w:rsidR="00A9235B" w:rsidRDefault="00CA028C">
      <w:pPr>
        <w:spacing w:after="510"/>
        <w:ind w:left="20" w:right="10"/>
      </w:pPr>
      <w:r w:rsidRPr="007662F0">
        <w:rPr>
          <w:b/>
          <w:bCs/>
        </w:rPr>
        <w:t xml:space="preserve"> </w:t>
      </w:r>
      <w:r w:rsidR="007662F0">
        <w:rPr>
          <w:b/>
          <w:bCs/>
        </w:rPr>
        <w:t xml:space="preserve">E. </w:t>
      </w:r>
      <w:r w:rsidRPr="007662F0">
        <w:rPr>
          <w:b/>
          <w:bCs/>
        </w:rPr>
        <w:t>Decision Trees</w:t>
      </w:r>
      <w:r w:rsidR="007662F0">
        <w:rPr>
          <w:b/>
          <w:bCs/>
        </w:rPr>
        <w:t>:</w:t>
      </w:r>
      <w:r>
        <w:t xml:space="preserve"> gave back very fast results and the defaults were very close to the desired precision and recall targets. </w:t>
      </w:r>
    </w:p>
    <w:p w:rsidR="00A9235B" w:rsidRDefault="00CA028C">
      <w:pPr>
        <w:pStyle w:val="Heading1"/>
        <w:ind w:left="15"/>
      </w:pPr>
      <w:r>
        <w:lastRenderedPageBreak/>
        <w:t xml:space="preserve">TUNE AN ALGORITHM </w:t>
      </w:r>
    </w:p>
    <w:p w:rsidR="00A9235B" w:rsidRDefault="00CA028C" w:rsidP="007662F0">
      <w:pPr>
        <w:spacing w:after="420"/>
        <w:ind w:right="10" w:firstLine="540"/>
      </w:pPr>
      <w:r>
        <w:t xml:space="preserve">Algorithm tuning is vital to improving performance as the attributes for a </w:t>
      </w:r>
      <w:r>
        <w:t xml:space="preserve">given method help to refine how that algorithm is processed. After tuning the algorithms above, the </w:t>
      </w:r>
      <w:proofErr w:type="spellStart"/>
      <w:r>
        <w:t>DecisionTree</w:t>
      </w:r>
      <w:proofErr w:type="spellEnd"/>
      <w:r>
        <w:t xml:space="preserve"> was chosen and tuned using the following parameters: </w:t>
      </w:r>
    </w:p>
    <w:p w:rsidR="00A9235B" w:rsidRPr="007662F0" w:rsidRDefault="00CA028C" w:rsidP="007662F0">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100" w:line="259" w:lineRule="auto"/>
        <w:ind w:left="183" w:right="190" w:firstLine="0"/>
        <w:jc w:val="center"/>
        <w:rPr>
          <w:color w:val="000000" w:themeColor="text1"/>
        </w:rPr>
      </w:pPr>
      <w:proofErr w:type="spellStart"/>
      <w:r w:rsidRPr="007662F0">
        <w:rPr>
          <w:b/>
          <w:color w:val="000000" w:themeColor="text1"/>
        </w:rPr>
        <w:t>GridCV</w:t>
      </w:r>
      <w:proofErr w:type="spellEnd"/>
      <w:r w:rsidRPr="007662F0">
        <w:rPr>
          <w:b/>
          <w:color w:val="000000" w:themeColor="text1"/>
        </w:rPr>
        <w:t xml:space="preserve"> Trials of Tuning Settings on </w:t>
      </w:r>
      <w:proofErr w:type="spellStart"/>
      <w:r w:rsidRPr="007662F0">
        <w:rPr>
          <w:b/>
          <w:color w:val="000000" w:themeColor="text1"/>
        </w:rPr>
        <w:t>DecisionTreeClassifier</w:t>
      </w:r>
      <w:proofErr w:type="spellEnd"/>
      <w:r w:rsidRPr="007662F0">
        <w:rPr>
          <w:b/>
          <w:color w:val="000000" w:themeColor="text1"/>
        </w:rPr>
        <w:t xml:space="preserve"> </w:t>
      </w:r>
    </w:p>
    <w:p w:rsidR="00A9235B" w:rsidRPr="007662F0" w:rsidRDefault="00CA028C" w:rsidP="007662F0">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100" w:line="259" w:lineRule="auto"/>
        <w:ind w:left="183" w:right="190" w:firstLine="0"/>
        <w:jc w:val="center"/>
        <w:rPr>
          <w:color w:val="000000" w:themeColor="text1"/>
        </w:rPr>
      </w:pPr>
      <w:proofErr w:type="gramStart"/>
      <w:r w:rsidRPr="007662F0">
        <w:rPr>
          <w:i/>
          <w:color w:val="000000" w:themeColor="text1"/>
        </w:rPr>
        <w:t>several</w:t>
      </w:r>
      <w:proofErr w:type="gramEnd"/>
      <w:r w:rsidRPr="007662F0">
        <w:rPr>
          <w:i/>
          <w:color w:val="000000" w:themeColor="text1"/>
        </w:rPr>
        <w:t xml:space="preserve"> parameters were tuned and included the following… </w:t>
      </w:r>
    </w:p>
    <w:p w:rsidR="00A9235B" w:rsidRPr="007662F0" w:rsidRDefault="00CA028C" w:rsidP="007662F0">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0" w:line="341" w:lineRule="auto"/>
        <w:ind w:left="193" w:right="190"/>
        <w:jc w:val="both"/>
        <w:rPr>
          <w:color w:val="000000" w:themeColor="text1"/>
        </w:rPr>
      </w:pPr>
      <w:proofErr w:type="gramStart"/>
      <w:r w:rsidRPr="007662F0">
        <w:rPr>
          <w:b/>
          <w:color w:val="000000" w:themeColor="text1"/>
        </w:rPr>
        <w:t>criterion</w:t>
      </w:r>
      <w:proofErr w:type="gramEnd"/>
      <w:r w:rsidRPr="007662F0">
        <w:rPr>
          <w:b/>
          <w:color w:val="000000" w:themeColor="text1"/>
        </w:rPr>
        <w:t xml:space="preserve"> </w:t>
      </w:r>
      <w:proofErr w:type="spellStart"/>
      <w:r w:rsidRPr="007662F0">
        <w:rPr>
          <w:color w:val="000000" w:themeColor="text1"/>
        </w:rPr>
        <w:t>gini</w:t>
      </w:r>
      <w:proofErr w:type="spellEnd"/>
      <w:r w:rsidRPr="007662F0">
        <w:rPr>
          <w:color w:val="000000" w:themeColor="text1"/>
        </w:rPr>
        <w:t>, entropy</w:t>
      </w:r>
      <w:r w:rsidRPr="007662F0">
        <w:rPr>
          <w:b/>
          <w:color w:val="000000" w:themeColor="text1"/>
        </w:rPr>
        <w:t xml:space="preserve"> splitter  </w:t>
      </w:r>
      <w:r w:rsidRPr="007662F0">
        <w:rPr>
          <w:color w:val="000000" w:themeColor="text1"/>
        </w:rPr>
        <w:t xml:space="preserve">best, random </w:t>
      </w:r>
      <w:proofErr w:type="spellStart"/>
      <w:r w:rsidRPr="007662F0">
        <w:rPr>
          <w:b/>
          <w:color w:val="000000" w:themeColor="text1"/>
        </w:rPr>
        <w:t>max_features</w:t>
      </w:r>
      <w:proofErr w:type="spellEnd"/>
      <w:r w:rsidRPr="007662F0">
        <w:rPr>
          <w:b/>
          <w:color w:val="000000" w:themeColor="text1"/>
        </w:rPr>
        <w:t xml:space="preserve"> </w:t>
      </w:r>
      <w:r w:rsidRPr="007662F0">
        <w:rPr>
          <w:color w:val="000000" w:themeColor="text1"/>
        </w:rPr>
        <w:t xml:space="preserve">1, 2, 3, 5, 9, 0.1, 0.2, 0.25, 0.5, 0.75, 0.8, 0.9, 0.99, auto, </w:t>
      </w:r>
      <w:proofErr w:type="spellStart"/>
      <w:r w:rsidRPr="007662F0">
        <w:rPr>
          <w:color w:val="000000" w:themeColor="text1"/>
        </w:rPr>
        <w:t>sqrt</w:t>
      </w:r>
      <w:proofErr w:type="spellEnd"/>
      <w:r w:rsidRPr="007662F0">
        <w:rPr>
          <w:color w:val="000000" w:themeColor="text1"/>
        </w:rPr>
        <w:t xml:space="preserve">, log2, None </w:t>
      </w:r>
      <w:proofErr w:type="spellStart"/>
      <w:r w:rsidRPr="007662F0">
        <w:rPr>
          <w:b/>
          <w:color w:val="000000" w:themeColor="text1"/>
        </w:rPr>
        <w:t>max_features</w:t>
      </w:r>
      <w:proofErr w:type="spellEnd"/>
      <w:r w:rsidRPr="007662F0">
        <w:rPr>
          <w:b/>
          <w:color w:val="000000" w:themeColor="text1"/>
        </w:rPr>
        <w:t xml:space="preserve"> </w:t>
      </w:r>
      <w:r w:rsidRPr="007662F0">
        <w:rPr>
          <w:color w:val="000000" w:themeColor="text1"/>
        </w:rPr>
        <w:t xml:space="preserve">0.1, 0.2, 0.25, 0.5, 0.75, 0.8, 0.9, 0.95 </w:t>
      </w:r>
      <w:proofErr w:type="spellStart"/>
      <w:r w:rsidRPr="007662F0">
        <w:rPr>
          <w:b/>
          <w:color w:val="000000" w:themeColor="text1"/>
        </w:rPr>
        <w:t>class_weight</w:t>
      </w:r>
      <w:proofErr w:type="spellEnd"/>
      <w:r w:rsidRPr="007662F0">
        <w:rPr>
          <w:b/>
          <w:color w:val="000000" w:themeColor="text1"/>
        </w:rPr>
        <w:t xml:space="preserve"> </w:t>
      </w:r>
      <w:r w:rsidRPr="007662F0">
        <w:rPr>
          <w:color w:val="000000" w:themeColor="text1"/>
        </w:rPr>
        <w:t xml:space="preserve">None, auto </w:t>
      </w:r>
    </w:p>
    <w:p w:rsidR="00A9235B" w:rsidRPr="007662F0" w:rsidRDefault="00CA028C" w:rsidP="007662F0">
      <w:pPr>
        <w:pBdr>
          <w:top w:val="single" w:sz="8" w:space="0" w:color="000000"/>
          <w:left w:val="single" w:sz="8" w:space="0" w:color="000000"/>
          <w:bottom w:val="single" w:sz="8" w:space="0" w:color="000000"/>
          <w:right w:val="single" w:sz="8" w:space="0" w:color="000000"/>
        </w:pBdr>
        <w:shd w:val="clear" w:color="auto" w:fill="DEEAF6" w:themeFill="accent1" w:themeFillTint="33"/>
        <w:spacing w:after="370" w:line="259" w:lineRule="auto"/>
        <w:ind w:left="193" w:right="190"/>
        <w:jc w:val="both"/>
        <w:rPr>
          <w:color w:val="000000" w:themeColor="text1"/>
        </w:rPr>
      </w:pPr>
      <w:proofErr w:type="spellStart"/>
      <w:proofErr w:type="gramStart"/>
      <w:r w:rsidRPr="007662F0">
        <w:rPr>
          <w:b/>
          <w:color w:val="000000" w:themeColor="text1"/>
        </w:rPr>
        <w:t>max_leaf_nodes</w:t>
      </w:r>
      <w:proofErr w:type="spellEnd"/>
      <w:proofErr w:type="gramEnd"/>
      <w:r w:rsidRPr="007662F0">
        <w:rPr>
          <w:b/>
          <w:color w:val="000000" w:themeColor="text1"/>
        </w:rPr>
        <w:t xml:space="preserve"> </w:t>
      </w:r>
      <w:r w:rsidRPr="007662F0">
        <w:rPr>
          <w:color w:val="000000" w:themeColor="text1"/>
        </w:rPr>
        <w:t>None, 2, 3, 4, 5, 6, 7, 8, 9, 10</w:t>
      </w:r>
    </w:p>
    <w:p w:rsidR="00A9235B" w:rsidRDefault="00514AED">
      <w:pPr>
        <w:ind w:right="10" w:firstLine="540"/>
      </w:pPr>
      <w:r>
        <w:t xml:space="preserve">After starting with </w:t>
      </w:r>
      <w:r w:rsidR="00CA028C">
        <w:t>grid search (</w:t>
      </w:r>
      <w:proofErr w:type="spellStart"/>
      <w:r w:rsidR="00CA028C">
        <w:t>GridCV</w:t>
      </w:r>
      <w:proofErr w:type="spellEnd"/>
      <w:r w:rsidR="00CA028C">
        <w:t xml:space="preserve">) the parameters were manually tuned for the decision tree. Interestingly, adding </w:t>
      </w:r>
      <w:proofErr w:type="spellStart"/>
      <w:r w:rsidR="00CA028C">
        <w:rPr>
          <w:i/>
        </w:rPr>
        <w:t>max_leaf_nodes</w:t>
      </w:r>
      <w:proofErr w:type="spellEnd"/>
      <w:r>
        <w:t xml:space="preserve"> as a parameter lead to </w:t>
      </w:r>
      <w:r w:rsidR="00CA028C">
        <w:t>wor</w:t>
      </w:r>
      <w:r w:rsidR="00CA028C">
        <w:t>se results</w:t>
      </w:r>
      <w:r w:rsidR="00CA028C">
        <w:rPr>
          <w:b/>
        </w:rPr>
        <w:t>.</w:t>
      </w:r>
      <w:r w:rsidR="00CA028C">
        <w:t xml:space="preserve"> In this case, the default parameters gave the best results, with the exception of changing the </w:t>
      </w:r>
      <w:r w:rsidR="00CA028C">
        <w:rPr>
          <w:b/>
        </w:rPr>
        <w:t>splitter</w:t>
      </w:r>
      <w:r w:rsidR="00CA028C">
        <w:t xml:space="preserve"> attribute from </w:t>
      </w:r>
      <w:r w:rsidR="00CA028C">
        <w:rPr>
          <w:i/>
        </w:rPr>
        <w:t>best</w:t>
      </w:r>
      <w:r w:rsidR="00CA028C">
        <w:t xml:space="preserve"> to </w:t>
      </w:r>
      <w:r w:rsidR="00CA028C">
        <w:rPr>
          <w:i/>
        </w:rPr>
        <w:t>random</w:t>
      </w:r>
      <w:r w:rsidR="00CA028C">
        <w:t xml:space="preserve">. The best algorithm-tune combination from these results were selected for the final analysis. </w:t>
      </w:r>
    </w:p>
    <w:p w:rsidR="00A9235B" w:rsidRDefault="00CA028C">
      <w:pPr>
        <w:pStyle w:val="Heading1"/>
        <w:ind w:left="15"/>
      </w:pPr>
      <w:r>
        <w:t xml:space="preserve">CLASSIFIER </w:t>
      </w:r>
    </w:p>
    <w:p w:rsidR="00A9235B" w:rsidRDefault="00CA028C" w:rsidP="00514AED">
      <w:pPr>
        <w:spacing w:after="510"/>
        <w:ind w:right="10" w:firstLine="540"/>
      </w:pPr>
      <w:r>
        <w:t>A decision tree classifier was used in the final produ</w:t>
      </w:r>
      <w:r w:rsidR="00514AED">
        <w:t>ct. This decision depends on the</w:t>
      </w:r>
      <w:r>
        <w:t xml:space="preserve"> balance between precision and recall values. For instance, though the </w:t>
      </w:r>
      <w:r w:rsidRPr="00514AED">
        <w:rPr>
          <w:b/>
          <w:bCs/>
        </w:rPr>
        <w:t xml:space="preserve">SVC </w:t>
      </w:r>
      <w:r w:rsidR="00514AED">
        <w:t>algorithm</w:t>
      </w:r>
      <w:r>
        <w:t xml:space="preserve"> returned great precision results their recall values were </w:t>
      </w:r>
      <w:r w:rsidR="00514AED">
        <w:t>terrible</w:t>
      </w:r>
      <w:r>
        <w:t>,</w:t>
      </w:r>
      <w:r>
        <w:t xml:space="preserve"> on the other hand </w:t>
      </w:r>
      <w:proofErr w:type="spellStart"/>
      <w:r w:rsidRPr="00514AED">
        <w:rPr>
          <w:b/>
          <w:bCs/>
        </w:rPr>
        <w:t>GaussianNB</w:t>
      </w:r>
      <w:proofErr w:type="spellEnd"/>
      <w:r>
        <w:t xml:space="preserve"> returned great recall but limited precision values</w:t>
      </w:r>
      <w:r w:rsidRPr="00514AED">
        <w:rPr>
          <w:b/>
          <w:bCs/>
        </w:rPr>
        <w:t xml:space="preserve">. </w:t>
      </w:r>
      <w:proofErr w:type="spellStart"/>
      <w:r w:rsidRPr="00514AED">
        <w:rPr>
          <w:b/>
          <w:bCs/>
        </w:rPr>
        <w:t>LinearSVC</w:t>
      </w:r>
      <w:proofErr w:type="spellEnd"/>
      <w:r>
        <w:t xml:space="preserve"> was tested and removed because t</w:t>
      </w:r>
      <w:r w:rsidR="00514AED">
        <w:t>he overall numbers were too low.</w:t>
      </w:r>
    </w:p>
    <w:p w:rsidR="00A9235B" w:rsidRDefault="00CA028C">
      <w:pPr>
        <w:pStyle w:val="Heading1"/>
        <w:ind w:left="15"/>
      </w:pPr>
      <w:r>
        <w:t xml:space="preserve">EVALUATION MATRICS </w:t>
      </w:r>
    </w:p>
    <w:p w:rsidR="00A9235B" w:rsidRDefault="00CA028C">
      <w:pPr>
        <w:spacing w:after="510"/>
        <w:ind w:right="10" w:firstLine="540"/>
      </w:pPr>
      <w:r>
        <w:t>Recall that the goal was to achieve higher</w:t>
      </w:r>
      <w:r>
        <w:t xml:space="preserve"> than 0.3 for both precision and recall. In this case the av</w:t>
      </w:r>
      <w:r w:rsidR="00514AED">
        <w:t xml:space="preserve">erage precision value was 0.39. </w:t>
      </w:r>
      <w:r>
        <w:t xml:space="preserve">which translates to mean that 39% of the time we don’t label a POI as a Non-POI. Recall looks at the other side of the equation and in plain English means that 40% </w:t>
      </w:r>
      <w:r>
        <w:t xml:space="preserve">of the time we correctly classify POIs. </w:t>
      </w:r>
    </w:p>
    <w:tbl>
      <w:tblPr>
        <w:tblStyle w:val="TableGrid"/>
        <w:tblpPr w:vertAnchor="text" w:horzAnchor="page" w:tblpX="7993" w:tblpY="146"/>
        <w:tblOverlap w:val="never"/>
        <w:tblW w:w="3461" w:type="dxa"/>
        <w:tblInd w:w="0" w:type="dxa"/>
        <w:tblCellMar>
          <w:top w:w="71" w:type="dxa"/>
          <w:left w:w="83" w:type="dxa"/>
          <w:bottom w:w="0" w:type="dxa"/>
          <w:right w:w="42" w:type="dxa"/>
        </w:tblCellMar>
        <w:tblLook w:val="04A0" w:firstRow="1" w:lastRow="0" w:firstColumn="1" w:lastColumn="0" w:noHBand="0" w:noVBand="1"/>
      </w:tblPr>
      <w:tblGrid>
        <w:gridCol w:w="3461"/>
      </w:tblGrid>
      <w:tr w:rsidR="007E6534" w:rsidTr="007E6534">
        <w:trPr>
          <w:trHeight w:val="440"/>
        </w:trPr>
        <w:tc>
          <w:tcPr>
            <w:tcW w:w="3461" w:type="dxa"/>
            <w:tcBorders>
              <w:top w:val="single" w:sz="2" w:space="0" w:color="BFBFBF"/>
              <w:left w:val="single" w:sz="2" w:space="0" w:color="BFBFBF"/>
              <w:bottom w:val="single" w:sz="8" w:space="0" w:color="314924"/>
              <w:right w:val="single" w:sz="2" w:space="0" w:color="BFBFBF"/>
            </w:tcBorders>
            <w:shd w:val="clear" w:color="auto" w:fill="DEEAF6" w:themeFill="accent1" w:themeFillTint="33"/>
          </w:tcPr>
          <w:p w:rsidR="007E6534" w:rsidRPr="00514AED" w:rsidRDefault="007E6534" w:rsidP="007E6534">
            <w:pPr>
              <w:spacing w:after="0" w:line="259" w:lineRule="auto"/>
              <w:ind w:left="0" w:right="41" w:firstLine="0"/>
              <w:jc w:val="center"/>
              <w:rPr>
                <w:color w:val="000000" w:themeColor="text1"/>
              </w:rPr>
            </w:pPr>
            <w:r w:rsidRPr="00514AED">
              <w:rPr>
                <w:b/>
                <w:color w:val="000000" w:themeColor="text1"/>
                <w:sz w:val="20"/>
              </w:rPr>
              <w:lastRenderedPageBreak/>
              <w:t>Precision and Recall Values</w:t>
            </w:r>
          </w:p>
        </w:tc>
      </w:tr>
      <w:tr w:rsidR="007E6534" w:rsidTr="007E6534">
        <w:trPr>
          <w:trHeight w:val="440"/>
        </w:trPr>
        <w:tc>
          <w:tcPr>
            <w:tcW w:w="3461" w:type="dxa"/>
            <w:tcBorders>
              <w:top w:val="single" w:sz="8" w:space="0" w:color="314924"/>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012"/>
                <w:tab w:val="right" w:pos="3337"/>
              </w:tabs>
              <w:spacing w:after="0" w:line="259" w:lineRule="auto"/>
              <w:ind w:left="0" w:right="0" w:firstLine="0"/>
              <w:rPr>
                <w:color w:val="000000" w:themeColor="text1"/>
              </w:rPr>
            </w:pPr>
            <w:r w:rsidRPr="00514AED">
              <w:rPr>
                <w:color w:val="000000" w:themeColor="text1"/>
                <w:sz w:val="22"/>
              </w:rPr>
              <w:tab/>
            </w:r>
            <w:r w:rsidRPr="00514AED">
              <w:rPr>
                <w:b/>
                <w:color w:val="000000" w:themeColor="text1"/>
                <w:sz w:val="20"/>
              </w:rPr>
              <w:t>Precision</w:t>
            </w:r>
            <w:r w:rsidRPr="00514AED">
              <w:rPr>
                <w:b/>
                <w:color w:val="000000" w:themeColor="text1"/>
                <w:sz w:val="20"/>
              </w:rPr>
              <w:tab/>
              <w:t>Recall</w:t>
            </w:r>
          </w:p>
        </w:tc>
      </w:tr>
      <w:tr w:rsidR="007E6534" w:rsidTr="007E6534">
        <w:trPr>
          <w:trHeight w:val="440"/>
        </w:trPr>
        <w:tc>
          <w:tcPr>
            <w:tcW w:w="3461" w:type="dxa"/>
            <w:tcBorders>
              <w:top w:val="nil"/>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292"/>
                <w:tab w:val="right" w:pos="3337"/>
              </w:tabs>
              <w:spacing w:after="0" w:line="259" w:lineRule="auto"/>
              <w:ind w:left="0" w:right="0" w:firstLine="0"/>
              <w:rPr>
                <w:color w:val="000000" w:themeColor="text1"/>
              </w:rPr>
            </w:pPr>
            <w:r w:rsidRPr="00514AED">
              <w:rPr>
                <w:b/>
                <w:color w:val="000000" w:themeColor="text1"/>
                <w:sz w:val="20"/>
              </w:rPr>
              <w:t>mean</w:t>
            </w:r>
            <w:r w:rsidRPr="00514AED">
              <w:rPr>
                <w:b/>
                <w:color w:val="000000" w:themeColor="text1"/>
                <w:sz w:val="20"/>
              </w:rPr>
              <w:tab/>
              <w:t>0.39</w:t>
            </w:r>
            <w:r w:rsidRPr="00514AED">
              <w:rPr>
                <w:b/>
                <w:color w:val="000000" w:themeColor="text1"/>
                <w:sz w:val="20"/>
              </w:rPr>
              <w:tab/>
              <w:t>0.40</w:t>
            </w:r>
          </w:p>
        </w:tc>
      </w:tr>
      <w:tr w:rsidR="007E6534" w:rsidTr="007E6534">
        <w:trPr>
          <w:trHeight w:val="440"/>
        </w:trPr>
        <w:tc>
          <w:tcPr>
            <w:tcW w:w="3461" w:type="dxa"/>
            <w:tcBorders>
              <w:top w:val="nil"/>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295"/>
                <w:tab w:val="right" w:pos="3337"/>
              </w:tabs>
              <w:spacing w:after="0" w:line="259" w:lineRule="auto"/>
              <w:ind w:left="0" w:right="0" w:firstLine="0"/>
              <w:rPr>
                <w:color w:val="000000" w:themeColor="text1"/>
              </w:rPr>
            </w:pPr>
            <w:r w:rsidRPr="00514AED">
              <w:rPr>
                <w:color w:val="000000" w:themeColor="text1"/>
                <w:sz w:val="20"/>
              </w:rPr>
              <w:t>median</w:t>
            </w:r>
            <w:r w:rsidRPr="00514AED">
              <w:rPr>
                <w:color w:val="000000" w:themeColor="text1"/>
                <w:sz w:val="20"/>
              </w:rPr>
              <w:tab/>
              <w:t>0.39</w:t>
            </w:r>
            <w:r w:rsidRPr="00514AED">
              <w:rPr>
                <w:color w:val="000000" w:themeColor="text1"/>
                <w:sz w:val="20"/>
              </w:rPr>
              <w:tab/>
              <w:t>0.40</w:t>
            </w:r>
          </w:p>
        </w:tc>
      </w:tr>
      <w:tr w:rsidR="007E6534" w:rsidTr="007E6534">
        <w:trPr>
          <w:trHeight w:val="440"/>
        </w:trPr>
        <w:tc>
          <w:tcPr>
            <w:tcW w:w="3461" w:type="dxa"/>
            <w:tcBorders>
              <w:top w:val="nil"/>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295"/>
                <w:tab w:val="right" w:pos="3337"/>
              </w:tabs>
              <w:spacing w:after="0" w:line="259" w:lineRule="auto"/>
              <w:ind w:left="0" w:right="0" w:firstLine="0"/>
              <w:rPr>
                <w:color w:val="000000" w:themeColor="text1"/>
              </w:rPr>
            </w:pPr>
            <w:r w:rsidRPr="00514AED">
              <w:rPr>
                <w:color w:val="000000" w:themeColor="text1"/>
                <w:sz w:val="20"/>
              </w:rPr>
              <w:t>max</w:t>
            </w:r>
            <w:r>
              <w:rPr>
                <w:color w:val="000000" w:themeColor="text1"/>
                <w:sz w:val="20"/>
              </w:rPr>
              <w:t>imum</w:t>
            </w:r>
            <w:r w:rsidRPr="00514AED">
              <w:rPr>
                <w:color w:val="000000" w:themeColor="text1"/>
                <w:sz w:val="20"/>
              </w:rPr>
              <w:tab/>
              <w:t>0.42</w:t>
            </w:r>
            <w:r w:rsidRPr="00514AED">
              <w:rPr>
                <w:color w:val="000000" w:themeColor="text1"/>
                <w:sz w:val="20"/>
              </w:rPr>
              <w:tab/>
              <w:t>0.42</w:t>
            </w:r>
          </w:p>
        </w:tc>
      </w:tr>
      <w:tr w:rsidR="007E6534" w:rsidTr="007E6534">
        <w:trPr>
          <w:trHeight w:val="440"/>
        </w:trPr>
        <w:tc>
          <w:tcPr>
            <w:tcW w:w="3461" w:type="dxa"/>
            <w:tcBorders>
              <w:top w:val="nil"/>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295"/>
                <w:tab w:val="right" w:pos="3337"/>
              </w:tabs>
              <w:spacing w:after="0" w:line="259" w:lineRule="auto"/>
              <w:ind w:left="0" w:right="0" w:firstLine="0"/>
              <w:rPr>
                <w:color w:val="000000" w:themeColor="text1"/>
              </w:rPr>
            </w:pPr>
            <w:r w:rsidRPr="00514AED">
              <w:rPr>
                <w:color w:val="000000" w:themeColor="text1"/>
                <w:sz w:val="20"/>
              </w:rPr>
              <w:t>min</w:t>
            </w:r>
            <w:r>
              <w:rPr>
                <w:color w:val="000000" w:themeColor="text1"/>
                <w:sz w:val="20"/>
              </w:rPr>
              <w:t>imum</w:t>
            </w:r>
            <w:r w:rsidRPr="00514AED">
              <w:rPr>
                <w:color w:val="000000" w:themeColor="text1"/>
                <w:sz w:val="20"/>
              </w:rPr>
              <w:tab/>
              <w:t>0.38</w:t>
            </w:r>
            <w:r w:rsidRPr="00514AED">
              <w:rPr>
                <w:color w:val="000000" w:themeColor="text1"/>
                <w:sz w:val="20"/>
              </w:rPr>
              <w:tab/>
              <w:t>0.38</w:t>
            </w:r>
          </w:p>
        </w:tc>
      </w:tr>
      <w:tr w:rsidR="007E6534" w:rsidTr="007E6534">
        <w:trPr>
          <w:trHeight w:val="440"/>
        </w:trPr>
        <w:tc>
          <w:tcPr>
            <w:tcW w:w="3461" w:type="dxa"/>
            <w:tcBorders>
              <w:top w:val="nil"/>
              <w:left w:val="single" w:sz="2" w:space="0" w:color="BFBFBF"/>
              <w:bottom w:val="nil"/>
              <w:right w:val="single" w:sz="2" w:space="0" w:color="BFBFBF"/>
            </w:tcBorders>
            <w:shd w:val="clear" w:color="auto" w:fill="DEEAF6" w:themeFill="accent1" w:themeFillTint="33"/>
          </w:tcPr>
          <w:p w:rsidR="007E6534" w:rsidRPr="00514AED" w:rsidRDefault="007E6534" w:rsidP="007E6534">
            <w:pPr>
              <w:tabs>
                <w:tab w:val="center" w:pos="2295"/>
                <w:tab w:val="right" w:pos="3337"/>
              </w:tabs>
              <w:spacing w:after="0" w:line="259" w:lineRule="auto"/>
              <w:ind w:left="0" w:right="0" w:firstLine="0"/>
              <w:rPr>
                <w:color w:val="000000" w:themeColor="text1"/>
              </w:rPr>
            </w:pPr>
            <w:r>
              <w:rPr>
                <w:color w:val="000000" w:themeColor="text1"/>
                <w:sz w:val="20"/>
              </w:rPr>
              <w:t>first quart</w:t>
            </w:r>
            <w:r w:rsidRPr="00514AED">
              <w:rPr>
                <w:color w:val="000000" w:themeColor="text1"/>
                <w:sz w:val="20"/>
              </w:rPr>
              <w:tab/>
              <w:t>0.39</w:t>
            </w:r>
            <w:r w:rsidRPr="00514AED">
              <w:rPr>
                <w:color w:val="000000" w:themeColor="text1"/>
                <w:sz w:val="20"/>
              </w:rPr>
              <w:tab/>
              <w:t>0.39</w:t>
            </w:r>
          </w:p>
        </w:tc>
      </w:tr>
      <w:tr w:rsidR="007E6534" w:rsidTr="007E6534">
        <w:trPr>
          <w:trHeight w:val="440"/>
        </w:trPr>
        <w:tc>
          <w:tcPr>
            <w:tcW w:w="3461" w:type="dxa"/>
            <w:tcBorders>
              <w:top w:val="nil"/>
              <w:left w:val="single" w:sz="2" w:space="0" w:color="BFBFBF"/>
              <w:bottom w:val="single" w:sz="8" w:space="0" w:color="314924"/>
              <w:right w:val="single" w:sz="2" w:space="0" w:color="BFBFBF"/>
            </w:tcBorders>
            <w:shd w:val="clear" w:color="auto" w:fill="DEEAF6" w:themeFill="accent1" w:themeFillTint="33"/>
          </w:tcPr>
          <w:p w:rsidR="007E6534" w:rsidRPr="00514AED" w:rsidRDefault="007E6534" w:rsidP="007E6534">
            <w:pPr>
              <w:tabs>
                <w:tab w:val="center" w:pos="2295"/>
                <w:tab w:val="right" w:pos="3337"/>
              </w:tabs>
              <w:spacing w:after="0" w:line="259" w:lineRule="auto"/>
              <w:ind w:left="0" w:right="0" w:firstLine="0"/>
              <w:rPr>
                <w:color w:val="000000" w:themeColor="text1"/>
              </w:rPr>
            </w:pPr>
            <w:r>
              <w:rPr>
                <w:color w:val="000000" w:themeColor="text1"/>
                <w:sz w:val="20"/>
              </w:rPr>
              <w:t>third quart</w:t>
            </w:r>
            <w:r w:rsidRPr="00514AED">
              <w:rPr>
                <w:color w:val="000000" w:themeColor="text1"/>
                <w:sz w:val="20"/>
              </w:rPr>
              <w:tab/>
              <w:t>0.40</w:t>
            </w:r>
            <w:r w:rsidRPr="00514AED">
              <w:rPr>
                <w:color w:val="000000" w:themeColor="text1"/>
                <w:sz w:val="20"/>
              </w:rPr>
              <w:tab/>
              <w:t>0.40</w:t>
            </w:r>
          </w:p>
        </w:tc>
      </w:tr>
      <w:tr w:rsidR="007E6534" w:rsidTr="007E6534">
        <w:trPr>
          <w:trHeight w:val="1273"/>
        </w:trPr>
        <w:tc>
          <w:tcPr>
            <w:tcW w:w="3461" w:type="dxa"/>
            <w:tcBorders>
              <w:top w:val="single" w:sz="8" w:space="0" w:color="314924"/>
              <w:left w:val="single" w:sz="2" w:space="0" w:color="BFBFBF"/>
              <w:bottom w:val="single" w:sz="2" w:space="0" w:color="BFBFBF"/>
              <w:right w:val="single" w:sz="2" w:space="0" w:color="BFBFBF"/>
            </w:tcBorders>
            <w:shd w:val="clear" w:color="auto" w:fill="DEEAF6" w:themeFill="accent1" w:themeFillTint="33"/>
          </w:tcPr>
          <w:p w:rsidR="007E6534" w:rsidRPr="00514AED" w:rsidRDefault="007E6534" w:rsidP="007E6534">
            <w:pPr>
              <w:spacing w:after="0" w:line="259" w:lineRule="auto"/>
              <w:ind w:left="0" w:right="0" w:firstLine="0"/>
              <w:rPr>
                <w:color w:val="000000" w:themeColor="text1"/>
              </w:rPr>
            </w:pPr>
            <w:r w:rsidRPr="00514AED">
              <w:rPr>
                <w:b/>
                <w:color w:val="000000" w:themeColor="text1"/>
                <w:sz w:val="20"/>
              </w:rPr>
              <w:t xml:space="preserve"> The </w:t>
            </w:r>
            <w:proofErr w:type="spellStart"/>
            <w:r w:rsidRPr="00514AED">
              <w:rPr>
                <w:b/>
                <w:color w:val="000000" w:themeColor="text1"/>
                <w:sz w:val="20"/>
              </w:rPr>
              <w:t>DecisionTreeClassifier</w:t>
            </w:r>
            <w:proofErr w:type="spellEnd"/>
            <w:r w:rsidRPr="00514AED">
              <w:rPr>
                <w:b/>
                <w:color w:val="000000" w:themeColor="text1"/>
                <w:sz w:val="20"/>
              </w:rPr>
              <w:t xml:space="preserve"> was run 1,000 times where it recorded the precision and recall values each time. These statistics were generated using this data.</w:t>
            </w:r>
          </w:p>
        </w:tc>
      </w:tr>
    </w:tbl>
    <w:p w:rsidR="00A9235B" w:rsidRDefault="007E6534">
      <w:pPr>
        <w:pStyle w:val="Heading1"/>
        <w:ind w:left="15"/>
      </w:pPr>
      <w:r>
        <w:t xml:space="preserve"> </w:t>
      </w:r>
      <w:r w:rsidR="00CA028C">
        <w:t xml:space="preserve">VALIDATION STRATEGY </w:t>
      </w:r>
    </w:p>
    <w:p w:rsidR="009944F4" w:rsidRDefault="00514AED" w:rsidP="009944F4">
      <w:pPr>
        <w:spacing w:after="90"/>
        <w:ind w:right="10" w:firstLine="540"/>
      </w:pPr>
      <w:r>
        <w:t xml:space="preserve"> </w:t>
      </w:r>
      <w:r w:rsidR="009944F4">
        <w:t>To validate the data which was</w:t>
      </w:r>
      <w:r w:rsidR="00CA028C">
        <w:t xml:space="preserve"> split into two groups which were labeled as training and testing</w:t>
      </w:r>
      <w:r w:rsidR="009944F4">
        <w:t xml:space="preserve"> sets</w:t>
      </w:r>
      <w:r w:rsidR="00CA028C">
        <w:t>. The</w:t>
      </w:r>
      <w:r w:rsidR="009944F4">
        <w:t xml:space="preserve"> algorithm was</w:t>
      </w:r>
      <w:r w:rsidR="00CA028C">
        <w:t xml:space="preserve"> used to train the data and </w:t>
      </w:r>
      <w:r w:rsidR="009944F4">
        <w:t>validate</w:t>
      </w:r>
      <w:r w:rsidR="00CA028C">
        <w:t xml:space="preserve"> using the testing data. A </w:t>
      </w:r>
      <w:r w:rsidR="006E6584">
        <w:t>trivial mistake</w:t>
      </w:r>
      <w:r w:rsidR="00CA028C">
        <w:t xml:space="preserve"> would be to use the testing data to train, because even though it will generate great results in a simulated environment, those results will not translate to a</w:t>
      </w:r>
      <w:r w:rsidR="00CA028C">
        <w:t xml:space="preserve"> real-world environment. </w:t>
      </w:r>
    </w:p>
    <w:p w:rsidR="00A9235B" w:rsidRDefault="00CA028C" w:rsidP="00BA242E">
      <w:pPr>
        <w:spacing w:after="90"/>
        <w:ind w:right="10" w:firstLine="540"/>
      </w:pPr>
      <w:r>
        <w:t xml:space="preserve">Since the dataset is small, a </w:t>
      </w:r>
      <w:proofErr w:type="spellStart"/>
      <w:r>
        <w:rPr>
          <w:b/>
        </w:rPr>
        <w:t>StratifiedShuffleSplit</w:t>
      </w:r>
      <w:proofErr w:type="spellEnd"/>
      <w:r>
        <w:t xml:space="preserve"> as part of the </w:t>
      </w:r>
      <w:proofErr w:type="spellStart"/>
      <w:r w:rsidR="009944F4" w:rsidRPr="009944F4">
        <w:t>model_selection</w:t>
      </w:r>
      <w:proofErr w:type="spellEnd"/>
      <w:r w:rsidR="009944F4" w:rsidRPr="009944F4">
        <w:t xml:space="preserve"> </w:t>
      </w:r>
      <w:r w:rsidR="00250882">
        <w:t>package (</w:t>
      </w:r>
      <w:proofErr w:type="spellStart"/>
      <w:r w:rsidR="00250882">
        <w:t>sklearn</w:t>
      </w:r>
      <w:proofErr w:type="spellEnd"/>
      <w:r w:rsidR="00250882">
        <w:t>)</w:t>
      </w:r>
      <w:r w:rsidR="0042227C">
        <w:t xml:space="preserve"> </w:t>
      </w:r>
      <w:r>
        <w:t>is the best choice. It will return stratified r</w:t>
      </w:r>
      <w:r w:rsidR="00BA242E">
        <w:t>andomized folds (1,000</w:t>
      </w:r>
      <w:r>
        <w:t>) which are produced by preserving the perc</w:t>
      </w:r>
      <w:r>
        <w:t xml:space="preserve">entage of samples </w:t>
      </w:r>
      <w:r w:rsidR="00BA242E">
        <w:t>of</w:t>
      </w:r>
      <w:r>
        <w:t xml:space="preserve"> each class. </w:t>
      </w:r>
    </w:p>
    <w:p w:rsidR="00A9235B" w:rsidRDefault="00CA028C">
      <w:pPr>
        <w:pStyle w:val="Heading1"/>
        <w:ind w:left="0" w:right="296" w:firstLine="0"/>
        <w:jc w:val="right"/>
      </w:pPr>
      <w:r>
        <w:t xml:space="preserve">ALGORITHM PERFORMANCE </w:t>
      </w:r>
    </w:p>
    <w:p w:rsidR="00E06D87" w:rsidRDefault="00CA028C" w:rsidP="00E06D87">
      <w:pPr>
        <w:ind w:left="20" w:right="10"/>
      </w:pPr>
      <w:r>
        <w:t xml:space="preserve">Code was added to the </w:t>
      </w:r>
      <w:r>
        <w:rPr>
          <w:i/>
        </w:rPr>
        <w:t>poi_id.py</w:t>
      </w:r>
      <w:r>
        <w:t xml:space="preserve"> script to run the algorithm with the tuning parameters 1,000 times</w:t>
      </w:r>
      <w:r w:rsidR="00E06D87">
        <w:t>.</w:t>
      </w:r>
    </w:p>
    <w:p w:rsidR="00A9235B" w:rsidRDefault="00CA028C" w:rsidP="00E06D87">
      <w:pPr>
        <w:ind w:left="20" w:right="10"/>
      </w:pPr>
      <w:r>
        <w:t xml:space="preserve">The table to the left clearly shows that precision and recall results above 0.3 for each iteration were achieved. </w:t>
      </w:r>
    </w:p>
    <w:p w:rsidR="00A9235B" w:rsidRDefault="00CA028C">
      <w:pPr>
        <w:pStyle w:val="Heading1"/>
        <w:ind w:left="15"/>
      </w:pPr>
      <w:r>
        <w:t xml:space="preserve">PERSONAL INSIGHTS </w:t>
      </w:r>
    </w:p>
    <w:p w:rsidR="00A9235B" w:rsidRDefault="00CA028C" w:rsidP="00E07920">
      <w:pPr>
        <w:ind w:right="10" w:firstLine="540"/>
      </w:pPr>
      <w:r>
        <w:t>Enron’s upper management didn’t write their own emails. In fact, according</w:t>
      </w:r>
      <w:r w:rsidR="00E06D87">
        <w:t xml:space="preserve"> to this dataset, Ken Lay didn’t write </w:t>
      </w:r>
      <w:r>
        <w:t>a sing</w:t>
      </w:r>
      <w:r>
        <w:t xml:space="preserve">le email as he had a personal assistant write and send </w:t>
      </w:r>
      <w:r w:rsidR="00E07920">
        <w:t>the mails</w:t>
      </w:r>
      <w:r>
        <w:t xml:space="preserve"> on his behalf. This means that we should not use word choice as part of our analysis, as it would only be analyzing his assistant’s vocabulary. The metadata, “to” information is slightly more us</w:t>
      </w:r>
      <w:r>
        <w:t>eful as we can assume that management gave direction as to where their emails were sent. Though limited information could be garnered from the emails under the assumption that non-POIs emailed each other more than they emailed POIs, it proved possible to m</w:t>
      </w:r>
      <w:r>
        <w:t xml:space="preserve">anipulate the financial dataset with enough insight to make that analysis </w:t>
      </w:r>
      <w:r w:rsidR="00E07920" w:rsidRPr="00E07920">
        <w:t>outdated</w:t>
      </w:r>
      <w:r>
        <w:t>. This is why I dr</w:t>
      </w:r>
      <w:r w:rsidR="00E07920">
        <w:t>opped the email metadata from this</w:t>
      </w:r>
      <w:r>
        <w:t xml:space="preserve"> an</w:t>
      </w:r>
      <w:r>
        <w:t xml:space="preserve">alysis. </w:t>
      </w:r>
    </w:p>
    <w:p w:rsidR="00A9235B" w:rsidRDefault="00CA028C" w:rsidP="00E07920">
      <w:pPr>
        <w:spacing w:after="0" w:line="351" w:lineRule="auto"/>
        <w:ind w:left="0" w:right="42" w:firstLine="540"/>
        <w:jc w:val="both"/>
      </w:pPr>
      <w:r>
        <w:t>I did run across a video</w:t>
      </w:r>
      <w:r>
        <w:rPr>
          <w:vertAlign w:val="superscript"/>
        </w:rPr>
        <w:footnoteReference w:id="6"/>
      </w:r>
      <w:r>
        <w:t xml:space="preserve"> the other day that claimed that you can tell who a director is at Enron by comparing t</w:t>
      </w:r>
      <w:r>
        <w:t xml:space="preserve">he number of the emails they sent to the number of nodes. </w:t>
      </w:r>
    </w:p>
    <w:sectPr w:rsidR="00A9235B" w:rsidSect="005E3CD7">
      <w:headerReference w:type="default" r:id="rId8"/>
      <w:footerReference w:type="even" r:id="rId9"/>
      <w:footerReference w:type="default" r:id="rId10"/>
      <w:footerReference w:type="first" r:id="rId11"/>
      <w:pgSz w:w="12240" w:h="15840"/>
      <w:pgMar w:top="1428" w:right="1444" w:bottom="1440" w:left="144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28C" w:rsidRDefault="00CA028C">
      <w:pPr>
        <w:spacing w:after="0" w:line="240" w:lineRule="auto"/>
      </w:pPr>
      <w:r>
        <w:separator/>
      </w:r>
    </w:p>
  </w:endnote>
  <w:endnote w:type="continuationSeparator" w:id="0">
    <w:p w:rsidR="00CA028C" w:rsidRDefault="00CA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35B" w:rsidRDefault="00CA028C">
    <w:pPr>
      <w:tabs>
        <w:tab w:val="right" w:pos="9356"/>
      </w:tabs>
      <w:spacing w:after="0" w:line="259" w:lineRule="auto"/>
      <w:ind w:left="0" w:right="-4" w:firstLine="0"/>
    </w:pPr>
    <w:r>
      <w:rPr>
        <w:sz w:val="20"/>
      </w:rPr>
      <w:t>UDACITY: MACHINE LEARNING</w:t>
    </w:r>
    <w:r>
      <w:rPr>
        <w:sz w:val="20"/>
      </w:rPr>
      <w:tab/>
    </w:r>
    <w:r>
      <w:rPr>
        <w:sz w:val="20"/>
      </w:rPr>
      <w:t>!</w:t>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35B" w:rsidRDefault="00CA028C">
    <w:pPr>
      <w:tabs>
        <w:tab w:val="right" w:pos="9356"/>
      </w:tabs>
      <w:spacing w:after="0" w:line="259" w:lineRule="auto"/>
      <w:ind w:left="0" w:right="-4" w:firstLine="0"/>
    </w:pPr>
    <w:r>
      <w:rPr>
        <w:sz w:val="20"/>
      </w:rPr>
      <w:tab/>
    </w:r>
    <w:r>
      <w:fldChar w:fldCharType="begin"/>
    </w:r>
    <w:r>
      <w:instrText xml:space="preserve"> PAGE   \* MERGEFORMAT </w:instrText>
    </w:r>
    <w:r>
      <w:fldChar w:fldCharType="separate"/>
    </w:r>
    <w:r w:rsidR="00D16724" w:rsidRPr="00D16724">
      <w:rPr>
        <w:noProof/>
        <w:sz w:val="20"/>
      </w:rPr>
      <w:t>vii</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35B" w:rsidRDefault="00CA028C">
    <w:pPr>
      <w:tabs>
        <w:tab w:val="right" w:pos="9356"/>
      </w:tabs>
      <w:spacing w:after="0" w:line="259" w:lineRule="auto"/>
      <w:ind w:left="0" w:right="-4" w:firstLine="0"/>
    </w:pPr>
    <w:r>
      <w:rPr>
        <w:sz w:val="20"/>
      </w:rPr>
      <w:t>UDACITY: MACHINE LEARNING</w:t>
    </w:r>
    <w:r>
      <w:rPr>
        <w:sz w:val="20"/>
      </w:rPr>
      <w:tab/>
    </w:r>
    <w:r>
      <w:rPr>
        <w:sz w:val="20"/>
      </w:rPr>
      <w:t>!</w:t>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28C" w:rsidRDefault="00CA028C">
      <w:pPr>
        <w:spacing w:after="158" w:line="259" w:lineRule="auto"/>
        <w:ind w:left="0" w:right="0" w:firstLine="0"/>
      </w:pPr>
      <w:r>
        <w:separator/>
      </w:r>
    </w:p>
  </w:footnote>
  <w:footnote w:type="continuationSeparator" w:id="0">
    <w:p w:rsidR="00CA028C" w:rsidRDefault="00CA028C">
      <w:pPr>
        <w:spacing w:after="158" w:line="259" w:lineRule="auto"/>
        <w:ind w:left="0" w:right="0" w:firstLine="0"/>
      </w:pPr>
      <w:r>
        <w:continuationSeparator/>
      </w:r>
    </w:p>
  </w:footnote>
  <w:footnote w:id="1">
    <w:p w:rsidR="00A9235B" w:rsidRDefault="00CA028C">
      <w:pPr>
        <w:pStyle w:val="footnotedescription"/>
        <w:spacing w:after="158"/>
      </w:pPr>
      <w:r>
        <w:rPr>
          <w:rStyle w:val="footnotemark"/>
        </w:rPr>
        <w:footnoteRef/>
      </w:r>
      <w:r>
        <w:t xml:space="preserve"> </w:t>
      </w:r>
      <w:hyperlink r:id="rId1">
        <w:r>
          <w:t>https://en.wikipedia.org/wiki/</w:t>
        </w:r>
        <w:r>
          <w:t>Enron</w:t>
        </w:r>
      </w:hyperlink>
    </w:p>
  </w:footnote>
  <w:footnote w:id="2">
    <w:p w:rsidR="00A9235B" w:rsidRDefault="00CA028C">
      <w:pPr>
        <w:pStyle w:val="footnotedescription"/>
        <w:spacing w:after="157"/>
      </w:pPr>
      <w:r>
        <w:rPr>
          <w:rStyle w:val="footnotemark"/>
        </w:rPr>
        <w:footnoteRef/>
      </w:r>
      <w:r>
        <w:t xml:space="preserve"> </w:t>
      </w:r>
      <w:hyperlink r:id="rId2">
        <w:r>
          <w:t>http://www.forbes.com/2002/01/15/0115enron.html</w:t>
        </w:r>
      </w:hyperlink>
    </w:p>
  </w:footnote>
  <w:footnote w:id="3">
    <w:p w:rsidR="00A9235B" w:rsidRDefault="00CA028C">
      <w:pPr>
        <w:pStyle w:val="footnotedescription"/>
        <w:spacing w:after="158"/>
      </w:pPr>
      <w:r>
        <w:rPr>
          <w:rStyle w:val="footnotemark"/>
        </w:rPr>
        <w:footnoteRef/>
      </w:r>
      <w:r>
        <w:t xml:space="preserve"> </w:t>
      </w:r>
      <w:hyperlink r:id="rId3">
        <w:r>
          <w:t>https://en.wikipedia.org/wiki/Enron_scandal</w:t>
        </w:r>
      </w:hyperlink>
    </w:p>
  </w:footnote>
  <w:footnote w:id="4">
    <w:p w:rsidR="00A9235B" w:rsidRDefault="00CA028C">
      <w:pPr>
        <w:pStyle w:val="footnotedescription"/>
        <w:spacing w:after="0"/>
      </w:pPr>
      <w:r>
        <w:rPr>
          <w:rStyle w:val="footnotemark"/>
        </w:rPr>
        <w:footnoteRef/>
      </w:r>
      <w:r>
        <w:t xml:space="preserve"> </w:t>
      </w:r>
      <w:hyperlink r:id="rId4">
        <w:r>
          <w:t>https://www.cs.cmu.edu/~./enron/</w:t>
        </w:r>
      </w:hyperlink>
    </w:p>
  </w:footnote>
  <w:footnote w:id="5">
    <w:p w:rsidR="00A9235B" w:rsidRDefault="00CA028C">
      <w:pPr>
        <w:pStyle w:val="footnotedescription"/>
        <w:spacing w:after="0" w:line="232" w:lineRule="auto"/>
        <w:jc w:val="both"/>
      </w:pPr>
      <w:r>
        <w:rPr>
          <w:rStyle w:val="footnotemark"/>
        </w:rPr>
        <w:footnoteRef/>
      </w:r>
      <w:r>
        <w:t xml:space="preserve"> </w:t>
      </w:r>
      <w:hyperlink r:id="rId5">
        <w:r>
          <w:t>http://www.forbes.com/sites/ryanholiday/2012/04/16/what-</w:t>
        </w:r>
        <w:r>
          <w:t>the-failed-1m-netflix-prize-tells-us-about-businessadvice/</w:t>
        </w:r>
      </w:hyperlink>
    </w:p>
  </w:footnote>
  <w:footnote w:id="6">
    <w:p w:rsidR="00A9235B" w:rsidRDefault="00CA028C">
      <w:pPr>
        <w:pStyle w:val="footnotedescription"/>
        <w:spacing w:after="0"/>
      </w:pPr>
      <w:r>
        <w:rPr>
          <w:rStyle w:val="footnotemark"/>
        </w:rPr>
        <w:footnoteRef/>
      </w:r>
      <w:r>
        <w:t xml:space="preserve"> </w:t>
      </w:r>
      <w:hyperlink r:id="rId6">
        <w:r>
          <w:t>https://www.youtube.com/watch?v=GBzoNgqF-gQ&amp;t=38m17s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CD7" w:rsidRDefault="005E3CD7">
    <w:pPr>
      <w:pStyle w:val="Header"/>
    </w:pPr>
  </w:p>
  <w:p w:rsidR="005E3CD7" w:rsidRDefault="005E3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7CA"/>
    <w:multiLevelType w:val="hybridMultilevel"/>
    <w:tmpl w:val="854E5FE2"/>
    <w:lvl w:ilvl="0" w:tplc="0409000F">
      <w:start w:val="1"/>
      <w:numFmt w:val="decimal"/>
      <w:lvlText w:val="%1."/>
      <w:lvlJc w:val="left"/>
      <w:pPr>
        <w:ind w:left="600"/>
      </w:pPr>
      <w:rPr>
        <w:b w:val="0"/>
        <w:i w:val="0"/>
        <w:strike w:val="0"/>
        <w:dstrike w:val="0"/>
        <w:color w:val="434343"/>
        <w:sz w:val="24"/>
        <w:szCs w:val="24"/>
        <w:u w:val="none" w:color="000000"/>
        <w:bdr w:val="none" w:sz="0" w:space="0" w:color="auto"/>
        <w:shd w:val="clear" w:color="auto" w:fill="auto"/>
        <w:vertAlign w:val="baseline"/>
      </w:rPr>
    </w:lvl>
    <w:lvl w:ilvl="1" w:tplc="CA62994E">
      <w:start w:val="1"/>
      <w:numFmt w:val="bullet"/>
      <w:lvlText w:val="o"/>
      <w:lvlJc w:val="left"/>
      <w:pPr>
        <w:ind w:left="154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2" w:tplc="AAD6621A">
      <w:start w:val="1"/>
      <w:numFmt w:val="bullet"/>
      <w:lvlText w:val="▪"/>
      <w:lvlJc w:val="left"/>
      <w:pPr>
        <w:ind w:left="226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3" w:tplc="F0241F9E">
      <w:start w:val="1"/>
      <w:numFmt w:val="bullet"/>
      <w:lvlText w:val="•"/>
      <w:lvlJc w:val="left"/>
      <w:pPr>
        <w:ind w:left="298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4" w:tplc="3990B91E">
      <w:start w:val="1"/>
      <w:numFmt w:val="bullet"/>
      <w:lvlText w:val="o"/>
      <w:lvlJc w:val="left"/>
      <w:pPr>
        <w:ind w:left="370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5" w:tplc="2DFC798C">
      <w:start w:val="1"/>
      <w:numFmt w:val="bullet"/>
      <w:lvlText w:val="▪"/>
      <w:lvlJc w:val="left"/>
      <w:pPr>
        <w:ind w:left="442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6" w:tplc="69345F1A">
      <w:start w:val="1"/>
      <w:numFmt w:val="bullet"/>
      <w:lvlText w:val="•"/>
      <w:lvlJc w:val="left"/>
      <w:pPr>
        <w:ind w:left="514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7" w:tplc="F98E7266">
      <w:start w:val="1"/>
      <w:numFmt w:val="bullet"/>
      <w:lvlText w:val="o"/>
      <w:lvlJc w:val="left"/>
      <w:pPr>
        <w:ind w:left="586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8" w:tplc="2BEED708">
      <w:start w:val="1"/>
      <w:numFmt w:val="bullet"/>
      <w:lvlText w:val="▪"/>
      <w:lvlJc w:val="left"/>
      <w:pPr>
        <w:ind w:left="6585"/>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abstractNum>
  <w:abstractNum w:abstractNumId="1" w15:restartNumberingAfterBreak="0">
    <w:nsid w:val="18C44EF2"/>
    <w:multiLevelType w:val="hybridMultilevel"/>
    <w:tmpl w:val="38DC99D2"/>
    <w:lvl w:ilvl="0" w:tplc="04090019">
      <w:start w:val="1"/>
      <w:numFmt w:val="lowerLetter"/>
      <w:lvlText w:val="%1."/>
      <w:lvlJc w:val="left"/>
      <w:pPr>
        <w:ind w:left="794"/>
      </w:pPr>
      <w:rPr>
        <w:b w:val="0"/>
        <w:i w:val="0"/>
        <w:strike w:val="0"/>
        <w:dstrike w:val="0"/>
        <w:color w:val="000000"/>
        <w:sz w:val="24"/>
        <w:szCs w:val="24"/>
        <w:u w:val="none" w:color="000000"/>
        <w:bdr w:val="none" w:sz="0" w:space="0" w:color="auto"/>
        <w:shd w:val="clear" w:color="auto" w:fill="auto"/>
        <w:vertAlign w:val="baseline"/>
      </w:rPr>
    </w:lvl>
    <w:lvl w:ilvl="1" w:tplc="FFE0C432">
      <w:start w:val="1"/>
      <w:numFmt w:val="bullet"/>
      <w:lvlText w:val="o"/>
      <w:lvlJc w:val="left"/>
      <w:pPr>
        <w:ind w:left="1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D042E4">
      <w:start w:val="1"/>
      <w:numFmt w:val="bullet"/>
      <w:lvlText w:val="▪"/>
      <w:lvlJc w:val="left"/>
      <w:pPr>
        <w:ind w:left="2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AE95B6">
      <w:start w:val="1"/>
      <w:numFmt w:val="bullet"/>
      <w:lvlText w:val="•"/>
      <w:lvlJc w:val="left"/>
      <w:pPr>
        <w:ind w:left="3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9E200C">
      <w:start w:val="1"/>
      <w:numFmt w:val="bullet"/>
      <w:lvlText w:val="o"/>
      <w:lvlJc w:val="left"/>
      <w:pPr>
        <w:ind w:left="3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B6FFEC">
      <w:start w:val="1"/>
      <w:numFmt w:val="bullet"/>
      <w:lvlText w:val="▪"/>
      <w:lvlJc w:val="left"/>
      <w:pPr>
        <w:ind w:left="4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32CFF0">
      <w:start w:val="1"/>
      <w:numFmt w:val="bullet"/>
      <w:lvlText w:val="•"/>
      <w:lvlJc w:val="left"/>
      <w:pPr>
        <w:ind w:left="5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A061F2">
      <w:start w:val="1"/>
      <w:numFmt w:val="bullet"/>
      <w:lvlText w:val="o"/>
      <w:lvlJc w:val="left"/>
      <w:pPr>
        <w:ind w:left="60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26BAEC">
      <w:start w:val="1"/>
      <w:numFmt w:val="bullet"/>
      <w:lvlText w:val="▪"/>
      <w:lvlJc w:val="left"/>
      <w:pPr>
        <w:ind w:left="6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A35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CAA59F1"/>
    <w:multiLevelType w:val="hybridMultilevel"/>
    <w:tmpl w:val="849015A4"/>
    <w:lvl w:ilvl="0" w:tplc="9AD6935A">
      <w:start w:val="1"/>
      <w:numFmt w:val="bullet"/>
      <w:lvlText w:val="•"/>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6EEB0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40CB3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44F7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8A909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926E5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64AA5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CA044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8890E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F61328"/>
    <w:multiLevelType w:val="hybridMultilevel"/>
    <w:tmpl w:val="4052DA46"/>
    <w:lvl w:ilvl="0" w:tplc="71649810">
      <w:start w:val="1"/>
      <w:numFmt w:val="bullet"/>
      <w:lvlText w:val="•"/>
      <w:lvlJc w:val="left"/>
      <w:pPr>
        <w:ind w:left="1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1" w:tplc="3B907BB8">
      <w:start w:val="1"/>
      <w:numFmt w:val="bullet"/>
      <w:lvlText w:val="o"/>
      <w:lvlJc w:val="left"/>
      <w:pPr>
        <w:ind w:left="11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2" w:tplc="C2140958">
      <w:start w:val="1"/>
      <w:numFmt w:val="bullet"/>
      <w:lvlText w:val="▪"/>
      <w:lvlJc w:val="left"/>
      <w:pPr>
        <w:ind w:left="190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3" w:tplc="F756296E">
      <w:start w:val="1"/>
      <w:numFmt w:val="bullet"/>
      <w:lvlText w:val="•"/>
      <w:lvlJc w:val="left"/>
      <w:pPr>
        <w:ind w:left="26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4" w:tplc="C980AFAE">
      <w:start w:val="1"/>
      <w:numFmt w:val="bullet"/>
      <w:lvlText w:val="o"/>
      <w:lvlJc w:val="left"/>
      <w:pPr>
        <w:ind w:left="334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5" w:tplc="16AAD3FE">
      <w:start w:val="1"/>
      <w:numFmt w:val="bullet"/>
      <w:lvlText w:val="▪"/>
      <w:lvlJc w:val="left"/>
      <w:pPr>
        <w:ind w:left="406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6" w:tplc="772673DE">
      <w:start w:val="1"/>
      <w:numFmt w:val="bullet"/>
      <w:lvlText w:val="•"/>
      <w:lvlJc w:val="left"/>
      <w:pPr>
        <w:ind w:left="47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7" w:tplc="9738C7F6">
      <w:start w:val="1"/>
      <w:numFmt w:val="bullet"/>
      <w:lvlText w:val="o"/>
      <w:lvlJc w:val="left"/>
      <w:pPr>
        <w:ind w:left="550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8" w:tplc="C7661056">
      <w:start w:val="1"/>
      <w:numFmt w:val="bullet"/>
      <w:lvlText w:val="▪"/>
      <w:lvlJc w:val="left"/>
      <w:pPr>
        <w:ind w:left="62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5B"/>
    <w:rsid w:val="00250882"/>
    <w:rsid w:val="002C14C9"/>
    <w:rsid w:val="003014FD"/>
    <w:rsid w:val="0042227C"/>
    <w:rsid w:val="00514AED"/>
    <w:rsid w:val="00523FD9"/>
    <w:rsid w:val="005E3CD7"/>
    <w:rsid w:val="006D7978"/>
    <w:rsid w:val="006E6584"/>
    <w:rsid w:val="007660DE"/>
    <w:rsid w:val="007662F0"/>
    <w:rsid w:val="00790EC8"/>
    <w:rsid w:val="007A6D18"/>
    <w:rsid w:val="007E6534"/>
    <w:rsid w:val="007F1FE6"/>
    <w:rsid w:val="009944F4"/>
    <w:rsid w:val="00A9235B"/>
    <w:rsid w:val="00BA242E"/>
    <w:rsid w:val="00CA028C"/>
    <w:rsid w:val="00D16724"/>
    <w:rsid w:val="00D831C9"/>
    <w:rsid w:val="00E06D87"/>
    <w:rsid w:val="00E07920"/>
    <w:rsid w:val="00F32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E5A3"/>
  <w15:docId w15:val="{D3841345-71E3-470E-B657-EE14B01A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44" w:lineRule="auto"/>
      <w:ind w:left="10" w:right="206"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4" w:hanging="10"/>
      <w:jc w:val="center"/>
      <w:outlineLvl w:val="0"/>
    </w:pPr>
    <w:rPr>
      <w:rFonts w:ascii="Calibri" w:eastAsia="Calibri" w:hAnsi="Calibri" w:cs="Calibri"/>
      <w:color w:val="5A575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A5754"/>
      <w:sz w:val="36"/>
    </w:rPr>
  </w:style>
  <w:style w:type="paragraph" w:customStyle="1" w:styleId="footnotedescription">
    <w:name w:val="footnote description"/>
    <w:next w:val="Normal"/>
    <w:link w:val="footnotedescriptionChar"/>
    <w:hidden/>
    <w:pPr>
      <w:spacing w:after="79"/>
    </w:pPr>
    <w:rPr>
      <w:rFonts w:ascii="Calibri" w:eastAsia="Calibri" w:hAnsi="Calibri" w:cs="Calibri"/>
      <w:color w:val="434343"/>
      <w:sz w:val="20"/>
      <w:u w:val="single" w:color="434343"/>
    </w:rPr>
  </w:style>
  <w:style w:type="character" w:customStyle="1" w:styleId="footnotedescriptionChar">
    <w:name w:val="footnote description Char"/>
    <w:link w:val="footnotedescription"/>
    <w:rPr>
      <w:rFonts w:ascii="Calibri" w:eastAsia="Calibri" w:hAnsi="Calibri" w:cs="Calibri"/>
      <w:color w:val="434343"/>
      <w:sz w:val="20"/>
      <w:u w:val="single" w:color="434343"/>
    </w:rPr>
  </w:style>
  <w:style w:type="character" w:customStyle="1" w:styleId="footnotemark">
    <w:name w:val="footnote mark"/>
    <w:hidden/>
    <w:rPr>
      <w:rFonts w:ascii="Calibri" w:eastAsia="Calibri" w:hAnsi="Calibri" w:cs="Calibri"/>
      <w:color w:val="434343"/>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F32DB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32DB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1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FD"/>
    <w:rPr>
      <w:rFonts w:ascii="Calibri" w:eastAsia="Calibri" w:hAnsi="Calibri" w:cs="Calibri"/>
      <w:color w:val="000000"/>
      <w:sz w:val="24"/>
    </w:rPr>
  </w:style>
  <w:style w:type="paragraph" w:styleId="ListParagraph">
    <w:name w:val="List Paragraph"/>
    <w:basedOn w:val="Normal"/>
    <w:uiPriority w:val="34"/>
    <w:qFormat/>
    <w:rsid w:val="00766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341625">
      <w:bodyDiv w:val="1"/>
      <w:marLeft w:val="0"/>
      <w:marRight w:val="0"/>
      <w:marTop w:val="0"/>
      <w:marBottom w:val="0"/>
      <w:divBdr>
        <w:top w:val="none" w:sz="0" w:space="0" w:color="auto"/>
        <w:left w:val="none" w:sz="0" w:space="0" w:color="auto"/>
        <w:bottom w:val="none" w:sz="0" w:space="0" w:color="auto"/>
        <w:right w:val="none" w:sz="0" w:space="0" w:color="auto"/>
      </w:divBdr>
      <w:divsChild>
        <w:div w:id="2099594957">
          <w:marLeft w:val="0"/>
          <w:marRight w:val="0"/>
          <w:marTop w:val="0"/>
          <w:marBottom w:val="0"/>
          <w:divBdr>
            <w:top w:val="none" w:sz="0" w:space="0" w:color="auto"/>
            <w:left w:val="none" w:sz="0" w:space="0" w:color="auto"/>
            <w:bottom w:val="none" w:sz="0" w:space="0" w:color="auto"/>
            <w:right w:val="none" w:sz="0" w:space="0" w:color="auto"/>
          </w:divBdr>
          <w:divsChild>
            <w:div w:id="11373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Enron_scandal" TargetMode="External"/><Relationship Id="rId2" Type="http://schemas.openxmlformats.org/officeDocument/2006/relationships/hyperlink" Target="http://www.forbes.com/2002/01/15/0115enron.html" TargetMode="External"/><Relationship Id="rId1" Type="http://schemas.openxmlformats.org/officeDocument/2006/relationships/hyperlink" Target="https://en.wikipedia.org/wiki/Enron" TargetMode="External"/><Relationship Id="rId6" Type="http://schemas.openxmlformats.org/officeDocument/2006/relationships/hyperlink" Target="https://www.youtube.com/watch?v=GBzoNgqF-gQ&amp;t=38m17s" TargetMode="External"/><Relationship Id="rId5" Type="http://schemas.openxmlformats.org/officeDocument/2006/relationships/hyperlink" Target="http://www.forbes.com/sites/ryanholiday/2012/04/16/what-the-failed-1m-netflix-prize-tells-us-about-business-advice/" TargetMode="External"/><Relationship Id="rId4" Type="http://schemas.openxmlformats.org/officeDocument/2006/relationships/hyperlink" Target="https://www.cs.cmu.edu/~./en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706D-A7AC-40EC-A0CD-E8FCCFBD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AYA</dc:creator>
  <cp:keywords/>
  <cp:lastModifiedBy>AYA</cp:lastModifiedBy>
  <cp:revision>24</cp:revision>
  <dcterms:created xsi:type="dcterms:W3CDTF">2022-08-23T23:18:00Z</dcterms:created>
  <dcterms:modified xsi:type="dcterms:W3CDTF">2022-08-24T00:48:00Z</dcterms:modified>
</cp:coreProperties>
</file>