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491A" w14:textId="77777777" w:rsidR="00FB2F7E" w:rsidRDefault="00FB2F7E" w:rsidP="00FB2F7E">
      <w:pPr>
        <w:spacing w:line="276" w:lineRule="auto"/>
      </w:pPr>
    </w:p>
    <w:p w14:paraId="576B4FF9" w14:textId="77777777" w:rsidR="00FB2F7E" w:rsidRDefault="00FB2F7E" w:rsidP="00FB2F7E">
      <w:pPr>
        <w:spacing w:line="276" w:lineRule="auto"/>
      </w:pPr>
      <w:r>
        <w:rPr>
          <w:noProof/>
        </w:rPr>
        <mc:AlternateContent>
          <mc:Choice Requires="wps">
            <w:drawing>
              <wp:anchor distT="45720" distB="45720" distL="114300" distR="114300" simplePos="0" relativeHeight="251659264" behindDoc="0" locked="0" layoutInCell="1" allowOverlap="1" wp14:anchorId="7EC27086" wp14:editId="0463C795">
                <wp:simplePos x="0" y="0"/>
                <wp:positionH relativeFrom="margin">
                  <wp:posOffset>198120</wp:posOffset>
                </wp:positionH>
                <wp:positionV relativeFrom="paragraph">
                  <wp:posOffset>3487420</wp:posOffset>
                </wp:positionV>
                <wp:extent cx="5570220" cy="886460"/>
                <wp:effectExtent l="0" t="0" r="11430" b="279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886460"/>
                        </a:xfrm>
                        <a:prstGeom prst="rect">
                          <a:avLst/>
                        </a:prstGeom>
                        <a:solidFill>
                          <a:srgbClr val="FFFFFF"/>
                        </a:solidFill>
                        <a:ln w="9525">
                          <a:solidFill>
                            <a:srgbClr val="000000"/>
                          </a:solidFill>
                          <a:miter lim="800000"/>
                          <a:headEnd/>
                          <a:tailEnd/>
                        </a:ln>
                      </wps:spPr>
                      <wps:txbx>
                        <w:txbxContent>
                          <w:p w14:paraId="4B593A4A" w14:textId="77777777" w:rsidR="00FB2F7E" w:rsidRDefault="00FB2F7E" w:rsidP="00FB2F7E">
                            <w:r>
                              <w:t>Figure 1 showing volcano plots for DEA between a) Plaque and away regions for microglia in NLF mice b) Peri-plaque and away regions for astrocytes in NLF mice c)</w:t>
                            </w:r>
                            <w:r w:rsidRPr="00157B71">
                              <w:t xml:space="preserve"> </w:t>
                            </w:r>
                            <w:r>
                              <w:t>Plaque and away regions for microglia in NLFTrem2 mice d) Peri-plaque and away regions for astrocytes in NLFTrem2 mice.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27086" id="_x0000_t202" coordsize="21600,21600" o:spt="202" path="m,l,21600r21600,l21600,xe">
                <v:stroke joinstyle="miter"/>
                <v:path gradientshapeok="t" o:connecttype="rect"/>
              </v:shapetype>
              <v:shape id="Text Box 2" o:spid="_x0000_s1026" type="#_x0000_t202" style="position:absolute;margin-left:15.6pt;margin-top:274.6pt;width:438.6pt;height:6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P5EAIAAB8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pcLK7y2YxMkmzX18v5MlUlE8XTbYc+vFfQsbgoOVJRk7o4PPgQoxHFk0t8zIPR9VYbkza4&#10;qzYG2UFQA2zTSAm8cDOW9SW/WcwWI4C/SuRp/Emi04E62eiOsjg7iSJie2fr1GdBaDOuKWRjTxwj&#10;uhFiGKqBHCPPCuojEUUYO5Z+GC1awJ+c9dStJfc/9gIVZ+aDparcTOfz2N5pM19cRZ54aakuLcJK&#10;kip54GxcbkL6EhGYhTuqXqMT2OdITrFSFybepx8T2/xyn7ye//X6FwAAAP//AwBQSwMEFAAGAAgA&#10;AAAhAOb5ZnngAAAACgEAAA8AAABkcnMvZG93bnJldi54bWxMj8tOwzAQRfdI/IM1SGwQddqG4IQ4&#10;FUICwQ4Kgq0bT5MIP4LtpuHvGVawm9Ec3Tm33szWsAlDHLyTsFxkwNC1Xg+uk/D2en8pgMWknFbG&#10;O5TwjRE2zelJrSrtj+4Fp23qGIW4WCkJfUpjxXlse7QqLvyIjm57H6xKtIaO66COFG4NX2VZwa0a&#10;HH3o1Yh3Pbaf24OVIPLH6SM+rZ/f22JvynRxPT18BSnPz+bbG2AJ5/QHw68+qUNDTjt/cDoyI2G9&#10;XBEp4SovaSCgzEQObCehEEIAb2r+v0LzAwAA//8DAFBLAQItABQABgAIAAAAIQC2gziS/gAAAOEB&#10;AAATAAAAAAAAAAAAAAAAAAAAAABbQ29udGVudF9UeXBlc10ueG1sUEsBAi0AFAAGAAgAAAAhADj9&#10;If/WAAAAlAEAAAsAAAAAAAAAAAAAAAAALwEAAF9yZWxzLy5yZWxzUEsBAi0AFAAGAAgAAAAhACSO&#10;Q/kQAgAAHwQAAA4AAAAAAAAAAAAAAAAALgIAAGRycy9lMm9Eb2MueG1sUEsBAi0AFAAGAAgAAAAh&#10;AOb5ZnngAAAACgEAAA8AAAAAAAAAAAAAAAAAagQAAGRycy9kb3ducmV2LnhtbFBLBQYAAAAABAAE&#10;APMAAAB3BQAAAAA=&#10;">
                <v:textbox>
                  <w:txbxContent>
                    <w:p w14:paraId="4B593A4A" w14:textId="77777777" w:rsidR="00FB2F7E" w:rsidRDefault="00FB2F7E" w:rsidP="00FB2F7E">
                      <w:r>
                        <w:t>Figure 1 showing volcano plots for DEA between a) Plaque and away regions for microglia in NLF mice b) Peri-plaque and away regions for astrocytes in NLF mice c)</w:t>
                      </w:r>
                      <w:r w:rsidRPr="00157B71">
                        <w:t xml:space="preserve"> </w:t>
                      </w:r>
                      <w:r>
                        <w:t>Plaque and away regions for microglia in NLFTrem2 mice d) Peri-plaque and away regions for astrocytes in NLFTrem2 mice.</w:t>
                      </w:r>
                    </w:p>
                  </w:txbxContent>
                </v:textbox>
                <w10:wrap type="square" anchorx="margin"/>
              </v:shape>
            </w:pict>
          </mc:Fallback>
        </mc:AlternateContent>
      </w:r>
      <w:r>
        <w:rPr>
          <w:noProof/>
        </w:rPr>
        <w:drawing>
          <wp:inline distT="0" distB="0" distL="0" distR="0" wp14:anchorId="02EC5F32" wp14:editId="410CC041">
            <wp:extent cx="5943600" cy="3343275"/>
            <wp:effectExtent l="0" t="0" r="0" b="9525"/>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br/>
      </w:r>
    </w:p>
    <w:p w14:paraId="4AE7E204" w14:textId="77777777" w:rsidR="00FB2F7E" w:rsidRDefault="00FB2F7E" w:rsidP="00FB2F7E">
      <w:pPr>
        <w:spacing w:line="276" w:lineRule="auto"/>
      </w:pPr>
      <w:r>
        <w:rPr>
          <w:noProof/>
        </w:rPr>
        <w:t xml:space="preserve">                     </w:t>
      </w:r>
    </w:p>
    <w:p w14:paraId="3CD69622" w14:textId="77777777" w:rsidR="00FB2F7E" w:rsidRDefault="00FB2F7E" w:rsidP="00FB2F7E">
      <w:pPr>
        <w:spacing w:line="276" w:lineRule="auto"/>
      </w:pPr>
    </w:p>
    <w:p w14:paraId="0F4A78A9" w14:textId="77777777" w:rsidR="00FB2F7E" w:rsidRDefault="00FB2F7E" w:rsidP="00FB2F7E">
      <w:pPr>
        <w:spacing w:line="276" w:lineRule="auto"/>
      </w:pPr>
      <w:r>
        <w:rPr>
          <w:noProof/>
        </w:rPr>
        <w:t xml:space="preserve">     </w:t>
      </w:r>
    </w:p>
    <w:p w14:paraId="3703AADC" w14:textId="77777777" w:rsidR="00FB2F7E" w:rsidRDefault="00FB2F7E" w:rsidP="00FB2F7E">
      <w:pPr>
        <w:spacing w:line="276" w:lineRule="auto"/>
        <w:rPr>
          <w:noProof/>
        </w:rPr>
      </w:pPr>
      <w:r>
        <w:rPr>
          <w:noProof/>
        </w:rPr>
        <w:lastRenderedPageBreak/>
        <w:t xml:space="preserve">  </w:t>
      </w:r>
      <w:r>
        <w:br/>
      </w:r>
      <w:r>
        <w:rPr>
          <w:noProof/>
        </w:rPr>
        <w:drawing>
          <wp:inline distT="0" distB="0" distL="0" distR="0" wp14:anchorId="21385536" wp14:editId="0929A9B3">
            <wp:extent cx="5760720" cy="3460689"/>
            <wp:effectExtent l="0" t="0" r="0" b="698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5">
                      <a:extLst>
                        <a:ext uri="{28A0092B-C50C-407E-A947-70E740481C1C}">
                          <a14:useLocalDpi xmlns:a14="http://schemas.microsoft.com/office/drawing/2010/main" val="0"/>
                        </a:ext>
                      </a:extLst>
                    </a:blip>
                    <a:srcRect l="2710" t="3670" r="7094"/>
                    <a:stretch/>
                  </pic:blipFill>
                  <pic:spPr bwMode="auto">
                    <a:xfrm>
                      <a:off x="0" y="0"/>
                      <a:ext cx="5769834" cy="3466164"/>
                    </a:xfrm>
                    <a:prstGeom prst="rect">
                      <a:avLst/>
                    </a:prstGeom>
                    <a:ln>
                      <a:noFill/>
                    </a:ln>
                    <a:extLst>
                      <a:ext uri="{53640926-AAD7-44D8-BBD7-CCE9431645EC}">
                        <a14:shadowObscured xmlns:a14="http://schemas.microsoft.com/office/drawing/2010/main"/>
                      </a:ext>
                    </a:extLst>
                  </pic:spPr>
                </pic:pic>
              </a:graphicData>
            </a:graphic>
          </wp:inline>
        </w:drawing>
      </w:r>
    </w:p>
    <w:p w14:paraId="22BE8DFE" w14:textId="77777777" w:rsidR="00FB2F7E" w:rsidRDefault="00FB2F7E" w:rsidP="00FB2F7E">
      <w:pPr>
        <w:spacing w:line="276" w:lineRule="auto"/>
        <w:rPr>
          <w:noProof/>
        </w:rPr>
      </w:pPr>
      <w:r>
        <w:rPr>
          <w:noProof/>
        </w:rPr>
        <mc:AlternateContent>
          <mc:Choice Requires="wps">
            <w:drawing>
              <wp:anchor distT="45720" distB="45720" distL="114300" distR="114300" simplePos="0" relativeHeight="251660288" behindDoc="0" locked="0" layoutInCell="1" allowOverlap="1" wp14:anchorId="1E5FEA88" wp14:editId="60B52737">
                <wp:simplePos x="0" y="0"/>
                <wp:positionH relativeFrom="margin">
                  <wp:posOffset>0</wp:posOffset>
                </wp:positionH>
                <wp:positionV relativeFrom="paragraph">
                  <wp:posOffset>327660</wp:posOffset>
                </wp:positionV>
                <wp:extent cx="6050280" cy="807720"/>
                <wp:effectExtent l="0" t="0" r="2667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807720"/>
                        </a:xfrm>
                        <a:prstGeom prst="rect">
                          <a:avLst/>
                        </a:prstGeom>
                        <a:solidFill>
                          <a:srgbClr val="FFFFFF"/>
                        </a:solidFill>
                        <a:ln w="9525">
                          <a:solidFill>
                            <a:srgbClr val="000000"/>
                          </a:solidFill>
                          <a:miter lim="800000"/>
                          <a:headEnd/>
                          <a:tailEnd/>
                        </a:ln>
                      </wps:spPr>
                      <wps:txbx>
                        <w:txbxContent>
                          <w:p w14:paraId="4EE84A0D" w14:textId="77777777" w:rsidR="00FB2F7E" w:rsidRDefault="00FB2F7E" w:rsidP="00FB2F7E">
                            <w:r>
                              <w:t xml:space="preserve">(Figure 2) Heatmap showing DEGs in different comparisons with red showing upregulated genes and blue showing down regulated genes.  For NLF mice a) Showing Plaque vs away in microglial data, b) Showing Peri-plaque vs away in </w:t>
                            </w:r>
                            <w:proofErr w:type="spellStart"/>
                            <w:r>
                              <w:t>Asyrocyte</w:t>
                            </w:r>
                            <w:proofErr w:type="spellEnd"/>
                            <w:r>
                              <w:t xml:space="preserve">, and for NLFTrem2 mice in c) plaque vs away in microglia d) peri-plaque vs away in Astrocytes.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FEA88" id="_x0000_s1027" type="#_x0000_t202" style="position:absolute;margin-left:0;margin-top:25.8pt;width:476.4pt;height:6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d0EgIAACYEAAAOAAAAZHJzL2Uyb0RvYy54bWysk92O2yAQhe8r9R0Q942dKNnNWnFW22xT&#10;Vdr+SNs+AMY4RsUMHUjs9Ok74Gw22rY3VblA4MGHmW8Oq9uhM+yg0GuwJZ9Ocs6UlVBruyv5t6/b&#10;N0vOfBC2FgasKvlReX67fv1q1btCzaAFUytkJGJ90buStyG4Isu8bFUn/AScshRsADsRaIu7rEbR&#10;k3pnslmeX2U9YO0QpPKevt6PQb5O+k2jZPjcNF4FZkpOuYU0Y5qrOGfrlSh2KFyr5SkN8Q9ZdEJb&#10;uvQsdS+CYHvUv0l1WiJ4aMJEQpdB02ipUg1UzTR/Uc1jK5xKtRAc786Y/P+TlZ8Oj+4LsjC8hYEa&#10;mIrw7gHkd88sbFphd+oOEfpWiZounkZkWe98cfo1ovaFjyJV/xFqarLYB0hCQ4NdpEJ1MlKnBhzP&#10;0NUQmKSPV/kiny0pJCm2zK+vZ6krmSie/nbow3sFHYuLkiM1NamLw4MPMRtRPB2Jl3kwut5qY9IG&#10;d9XGIDsIMsA2jVTAi2PGsr7kN4vZYgTwV4k8jT9JdDqQk43uYhVxjN6K2N7ZOvksCG3GNaVs7Ilj&#10;RDdCDEM1MF2fIEesFdRHAoswGpceGi1awJ+c9WTakvsfe4GKM/PBUnNupvN5dHnazBcRJcPLSHUZ&#10;EVaSVMkDZ+NyE9LLiNws3FETG534PmdySpnMmLCfHk50++U+nXp+3utfAAAA//8DAFBLAwQUAAYA&#10;CAAAACEAPRoCWN0AAAAHAQAADwAAAGRycy9kb3ducmV2LnhtbEyPwU7DMBBE70j8g7VIXBB1Wmia&#10;hjgVQgLBDQqCqxtvkwh7HWw3DX/PcoLjaEYzb6rN5KwYMcTek4L5LAOB1HjTU6vg7fX+sgARkyaj&#10;rSdU8I0RNvXpSaVL44/0guM2tYJLKJZaQZfSUEoZmw6djjM/ILG398HpxDK00gR95HJn5SLLcul0&#10;T7zQ6QHvOmw+twenoLh+HD/i09Xze5Pv7TpdrMaHr6DU+dl0ewMi4ZT+wvCLz+hQM9POH8hEYRXw&#10;kaRgOc9BsLteLvjIjmOrogBZV/I/f/0DAAD//wMAUEsBAi0AFAAGAAgAAAAhALaDOJL+AAAA4QEA&#10;ABMAAAAAAAAAAAAAAAAAAAAAAFtDb250ZW50X1R5cGVzXS54bWxQSwECLQAUAAYACAAAACEAOP0h&#10;/9YAAACUAQAACwAAAAAAAAAAAAAAAAAvAQAAX3JlbHMvLnJlbHNQSwECLQAUAAYACAAAACEApjNn&#10;dBICAAAmBAAADgAAAAAAAAAAAAAAAAAuAgAAZHJzL2Uyb0RvYy54bWxQSwECLQAUAAYACAAAACEA&#10;PRoCWN0AAAAHAQAADwAAAAAAAAAAAAAAAABsBAAAZHJzL2Rvd25yZXYueG1sUEsFBgAAAAAEAAQA&#10;8wAAAHYFAAAAAA==&#10;">
                <v:textbox>
                  <w:txbxContent>
                    <w:p w14:paraId="4EE84A0D" w14:textId="77777777" w:rsidR="00FB2F7E" w:rsidRDefault="00FB2F7E" w:rsidP="00FB2F7E">
                      <w:r>
                        <w:t xml:space="preserve">(Figure 2) Heatmap showing DEGs in different comparisons with red showing upregulated genes and blue showing down regulated genes.  For NLF mice a) Showing Plaque vs away in microglial data, b) Showing Peri-plaque vs away in </w:t>
                      </w:r>
                      <w:proofErr w:type="spellStart"/>
                      <w:r>
                        <w:t>Asyrocyte</w:t>
                      </w:r>
                      <w:proofErr w:type="spellEnd"/>
                      <w:r>
                        <w:t xml:space="preserve">, and for NLFTrem2 mice in c) plaque vs away in microglia d) peri-plaque vs away in Astrocytes.  </w:t>
                      </w:r>
                    </w:p>
                  </w:txbxContent>
                </v:textbox>
                <w10:wrap type="square" anchorx="margin"/>
              </v:shape>
            </w:pict>
          </mc:Fallback>
        </mc:AlternateContent>
      </w:r>
    </w:p>
    <w:tbl>
      <w:tblPr>
        <w:tblStyle w:val="TableGrid"/>
        <w:tblpPr w:leftFromText="180" w:rightFromText="180" w:vertAnchor="text" w:horzAnchor="margin" w:tblpY="1444"/>
        <w:tblW w:w="0" w:type="auto"/>
        <w:tblLook w:val="04A0" w:firstRow="1" w:lastRow="0" w:firstColumn="1" w:lastColumn="0" w:noHBand="0" w:noVBand="1"/>
      </w:tblPr>
      <w:tblGrid>
        <w:gridCol w:w="3116"/>
        <w:gridCol w:w="3117"/>
        <w:gridCol w:w="3117"/>
      </w:tblGrid>
      <w:tr w:rsidR="00FB2F7E" w14:paraId="4EDD9E7C" w14:textId="77777777" w:rsidTr="00B22343">
        <w:tc>
          <w:tcPr>
            <w:tcW w:w="3116" w:type="dxa"/>
          </w:tcPr>
          <w:p w14:paraId="035A1B79" w14:textId="77777777" w:rsidR="00FB2F7E" w:rsidRPr="000650DE" w:rsidRDefault="00FB2F7E" w:rsidP="00B22343">
            <w:pPr>
              <w:spacing w:line="276" w:lineRule="auto"/>
              <w:rPr>
                <w:b/>
                <w:bCs/>
              </w:rPr>
            </w:pPr>
            <w:r w:rsidRPr="000650DE">
              <w:rPr>
                <w:b/>
                <w:bCs/>
              </w:rPr>
              <w:t>Regions in comparison</w:t>
            </w:r>
          </w:p>
        </w:tc>
        <w:tc>
          <w:tcPr>
            <w:tcW w:w="3117" w:type="dxa"/>
          </w:tcPr>
          <w:p w14:paraId="32DCAE66" w14:textId="77777777" w:rsidR="00FB2F7E" w:rsidRPr="00FC3ECF" w:rsidRDefault="00FB2F7E" w:rsidP="00B22343">
            <w:pPr>
              <w:spacing w:line="276" w:lineRule="auto"/>
              <w:rPr>
                <w:b/>
                <w:bCs/>
              </w:rPr>
            </w:pPr>
            <w:r w:rsidRPr="00FC3ECF">
              <w:rPr>
                <w:b/>
                <w:bCs/>
              </w:rPr>
              <w:t>NLF</w:t>
            </w:r>
          </w:p>
        </w:tc>
        <w:tc>
          <w:tcPr>
            <w:tcW w:w="3117" w:type="dxa"/>
          </w:tcPr>
          <w:p w14:paraId="571B56CB" w14:textId="77777777" w:rsidR="00FB2F7E" w:rsidRPr="00FC3ECF" w:rsidRDefault="00FB2F7E" w:rsidP="00B22343">
            <w:pPr>
              <w:spacing w:line="276" w:lineRule="auto"/>
              <w:rPr>
                <w:b/>
                <w:bCs/>
              </w:rPr>
            </w:pPr>
            <w:r w:rsidRPr="00FC3ECF">
              <w:rPr>
                <w:b/>
                <w:bCs/>
              </w:rPr>
              <w:t>NLF-Trem2</w:t>
            </w:r>
          </w:p>
        </w:tc>
      </w:tr>
      <w:tr w:rsidR="00FB2F7E" w14:paraId="3C6C1BA1" w14:textId="77777777" w:rsidTr="00B22343">
        <w:tc>
          <w:tcPr>
            <w:tcW w:w="3116" w:type="dxa"/>
          </w:tcPr>
          <w:p w14:paraId="2715D4BD" w14:textId="77777777" w:rsidR="00FB2F7E" w:rsidRDefault="00FB2F7E" w:rsidP="00B22343">
            <w:pPr>
              <w:spacing w:line="276" w:lineRule="auto"/>
            </w:pPr>
            <w:r>
              <w:t>TMEM119 Plaque vs Away</w:t>
            </w:r>
          </w:p>
        </w:tc>
        <w:tc>
          <w:tcPr>
            <w:tcW w:w="3117" w:type="dxa"/>
          </w:tcPr>
          <w:p w14:paraId="0B8F1A66" w14:textId="77777777" w:rsidR="00FB2F7E" w:rsidRDefault="00FB2F7E" w:rsidP="00B22343">
            <w:pPr>
              <w:spacing w:line="276" w:lineRule="auto"/>
            </w:pPr>
            <w:r>
              <w:t>155 Down, 72 Up</w:t>
            </w:r>
          </w:p>
        </w:tc>
        <w:tc>
          <w:tcPr>
            <w:tcW w:w="3117" w:type="dxa"/>
          </w:tcPr>
          <w:p w14:paraId="0BF47654" w14:textId="77777777" w:rsidR="00FB2F7E" w:rsidRDefault="00FB2F7E" w:rsidP="00B22343">
            <w:pPr>
              <w:spacing w:line="276" w:lineRule="auto"/>
            </w:pPr>
            <w:r>
              <w:t xml:space="preserve">41 Down, 35 up </w:t>
            </w:r>
          </w:p>
        </w:tc>
      </w:tr>
      <w:tr w:rsidR="00FB2F7E" w14:paraId="01CD572F" w14:textId="77777777" w:rsidTr="00B22343">
        <w:tc>
          <w:tcPr>
            <w:tcW w:w="3116" w:type="dxa"/>
          </w:tcPr>
          <w:p w14:paraId="1A6CC249" w14:textId="77777777" w:rsidR="00FB2F7E" w:rsidRDefault="00FB2F7E" w:rsidP="00B22343">
            <w:pPr>
              <w:spacing w:line="276" w:lineRule="auto"/>
            </w:pPr>
            <w:r>
              <w:t>TMEM119 Peri-plaque vs Away</w:t>
            </w:r>
          </w:p>
        </w:tc>
        <w:tc>
          <w:tcPr>
            <w:tcW w:w="3117" w:type="dxa"/>
          </w:tcPr>
          <w:p w14:paraId="59663958" w14:textId="77777777" w:rsidR="00FB2F7E" w:rsidRDefault="00FB2F7E" w:rsidP="00B22343">
            <w:pPr>
              <w:spacing w:line="276" w:lineRule="auto"/>
            </w:pPr>
            <w:r>
              <w:t>240 Down, 44 Up</w:t>
            </w:r>
          </w:p>
        </w:tc>
        <w:tc>
          <w:tcPr>
            <w:tcW w:w="3117" w:type="dxa"/>
          </w:tcPr>
          <w:p w14:paraId="41B2C21B" w14:textId="77777777" w:rsidR="00FB2F7E" w:rsidRDefault="00FB2F7E" w:rsidP="00B22343">
            <w:pPr>
              <w:spacing w:line="276" w:lineRule="auto"/>
            </w:pPr>
            <w:r>
              <w:t xml:space="preserve"> 156 Down, 30 Up</w:t>
            </w:r>
          </w:p>
        </w:tc>
      </w:tr>
      <w:tr w:rsidR="00FB2F7E" w14:paraId="28AE96D3" w14:textId="77777777" w:rsidTr="00B22343">
        <w:tc>
          <w:tcPr>
            <w:tcW w:w="3116" w:type="dxa"/>
          </w:tcPr>
          <w:p w14:paraId="3D966397" w14:textId="77777777" w:rsidR="00FB2F7E" w:rsidRDefault="00FB2F7E" w:rsidP="00B22343">
            <w:pPr>
              <w:spacing w:line="276" w:lineRule="auto"/>
            </w:pPr>
            <w:r>
              <w:t xml:space="preserve">TMEM119 Plaque vs peri-plaque </w:t>
            </w:r>
          </w:p>
        </w:tc>
        <w:tc>
          <w:tcPr>
            <w:tcW w:w="3117" w:type="dxa"/>
          </w:tcPr>
          <w:p w14:paraId="4D777691" w14:textId="77777777" w:rsidR="00FB2F7E" w:rsidRDefault="00FB2F7E" w:rsidP="00B22343">
            <w:pPr>
              <w:spacing w:line="276" w:lineRule="auto"/>
            </w:pPr>
            <w:r>
              <w:t xml:space="preserve">3 Down, 32 Up </w:t>
            </w:r>
          </w:p>
        </w:tc>
        <w:tc>
          <w:tcPr>
            <w:tcW w:w="3117" w:type="dxa"/>
          </w:tcPr>
          <w:p w14:paraId="7B0C79EE" w14:textId="77777777" w:rsidR="00FB2F7E" w:rsidRDefault="00FB2F7E" w:rsidP="00B22343">
            <w:pPr>
              <w:spacing w:line="276" w:lineRule="auto"/>
            </w:pPr>
            <w:r>
              <w:t xml:space="preserve"> 7 Down, 4 Up</w:t>
            </w:r>
          </w:p>
        </w:tc>
      </w:tr>
      <w:tr w:rsidR="00FB2F7E" w14:paraId="488B1926" w14:textId="77777777" w:rsidTr="00B22343">
        <w:tc>
          <w:tcPr>
            <w:tcW w:w="3116" w:type="dxa"/>
          </w:tcPr>
          <w:p w14:paraId="4CDCDDC4" w14:textId="77777777" w:rsidR="00FB2F7E" w:rsidRDefault="00FB2F7E" w:rsidP="00B22343">
            <w:pPr>
              <w:spacing w:line="276" w:lineRule="auto"/>
            </w:pPr>
            <w:r>
              <w:t>GFAP Peri-plaque vs Away</w:t>
            </w:r>
          </w:p>
        </w:tc>
        <w:tc>
          <w:tcPr>
            <w:tcW w:w="3117" w:type="dxa"/>
          </w:tcPr>
          <w:p w14:paraId="50347C1F" w14:textId="77777777" w:rsidR="00FB2F7E" w:rsidRDefault="00FB2F7E" w:rsidP="00B22343">
            <w:pPr>
              <w:spacing w:line="276" w:lineRule="auto"/>
            </w:pPr>
            <w:r>
              <w:t>368 Down, 28 Up</w:t>
            </w:r>
          </w:p>
        </w:tc>
        <w:tc>
          <w:tcPr>
            <w:tcW w:w="3117" w:type="dxa"/>
          </w:tcPr>
          <w:p w14:paraId="088A9BE3" w14:textId="77777777" w:rsidR="00FB2F7E" w:rsidRDefault="00FB2F7E" w:rsidP="00B22343">
            <w:pPr>
              <w:spacing w:line="276" w:lineRule="auto"/>
            </w:pPr>
            <w:r>
              <w:t>38 Down, 13 up</w:t>
            </w:r>
          </w:p>
        </w:tc>
      </w:tr>
    </w:tbl>
    <w:p w14:paraId="1B509DCD" w14:textId="77777777" w:rsidR="00FB2F7E" w:rsidRDefault="00FB2F7E" w:rsidP="00FB2F7E">
      <w:pPr>
        <w:spacing w:line="276" w:lineRule="auto"/>
        <w:rPr>
          <w:noProof/>
        </w:rPr>
      </w:pPr>
      <w:r>
        <w:rPr>
          <w:noProof/>
        </w:rPr>
        <w:t xml:space="preserve">                      </w:t>
      </w:r>
      <w:r w:rsidRPr="00AE0380">
        <w:rPr>
          <w:b/>
          <w:bCs/>
          <w:noProof/>
        </w:rPr>
        <w:t xml:space="preserve">Table </w:t>
      </w:r>
      <w:r>
        <w:rPr>
          <w:b/>
          <w:bCs/>
          <w:noProof/>
        </w:rPr>
        <w:t>1</w:t>
      </w:r>
      <w:r w:rsidRPr="00AE0380">
        <w:rPr>
          <w:b/>
          <w:bCs/>
          <w:noProof/>
        </w:rPr>
        <w:t xml:space="preserve"> Number of up and downregulated genes from each pair-wise comparison</w:t>
      </w:r>
      <w:r>
        <w:rPr>
          <w:noProof/>
        </w:rPr>
        <w:t>.</w:t>
      </w:r>
    </w:p>
    <w:p w14:paraId="4D7F0E5F" w14:textId="77777777" w:rsidR="001331C0" w:rsidRDefault="001331C0"/>
    <w:sectPr w:rsidR="0013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7E"/>
    <w:rsid w:val="001331C0"/>
    <w:rsid w:val="00400086"/>
    <w:rsid w:val="00FB2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4D88"/>
  <w15:chartTrackingRefBased/>
  <w15:docId w15:val="{4DB78870-1873-449C-AA68-D76BDEE8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Balbaa, Aya</dc:creator>
  <cp:keywords/>
  <dc:description/>
  <cp:lastModifiedBy>Balbaa, Aya</cp:lastModifiedBy>
  <cp:revision>2</cp:revision>
  <dcterms:created xsi:type="dcterms:W3CDTF">2023-02-22T21:30:00Z</dcterms:created>
  <dcterms:modified xsi:type="dcterms:W3CDTF">2023-02-22T21:30:00Z</dcterms:modified>
</cp:coreProperties>
</file>