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C9C0" w14:textId="77777777" w:rsidR="00B11327" w:rsidRPr="00743887" w:rsidRDefault="00000000" w:rsidP="00743887">
      <w:pPr>
        <w:spacing w:after="20"/>
        <w:jc w:val="center"/>
        <w:rPr>
          <w:sz w:val="22"/>
          <w:szCs w:val="36"/>
        </w:rPr>
      </w:pPr>
      <w:r w:rsidRPr="00743887">
        <w:rPr>
          <w:b/>
          <w:color w:val="1F4E79"/>
          <w:sz w:val="40"/>
          <w:szCs w:val="36"/>
        </w:rPr>
        <w:t>D2 Technical Report - Retrieval Stack &amp; Graph Build</w:t>
      </w:r>
    </w:p>
    <w:p w14:paraId="3891A4F7" w14:textId="77777777" w:rsidR="00B11327" w:rsidRPr="00743887" w:rsidRDefault="00000000" w:rsidP="00743887">
      <w:pPr>
        <w:spacing w:after="80"/>
        <w:jc w:val="center"/>
        <w:rPr>
          <w:sz w:val="22"/>
          <w:szCs w:val="36"/>
        </w:rPr>
      </w:pPr>
      <w:r w:rsidRPr="00743887">
        <w:rPr>
          <w:color w:val="5A5A5A"/>
          <w:sz w:val="22"/>
          <w:szCs w:val="36"/>
        </w:rPr>
        <w:t>Climate Evidence GraphRAG Agent | Week 7 Deliverable | Notebook-first evidence</w:t>
      </w:r>
    </w:p>
    <w:p w14:paraId="467265E1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Objective.</w:t>
      </w:r>
      <w:r w:rsidRPr="00743887">
        <w:rPr>
          <w:sz w:val="22"/>
          <w:szCs w:val="36"/>
        </w:rPr>
        <w:t xml:space="preserve"> D2 turns the D1 retrieval prototype into a runnable retrieval-and-graph stack. The corpus has 300 metadata records and 300 PDFs on disk; pdfplumber extraction produced 7,588 pages and 57,939 candidate chunks, of which 49,541 persisted chunks are used by the API/notebooks. The system compares BM25, TF-IDF/LSA dense retrieval, the hybrid retrieval stack, builds a Neo4j climate graph, exposes POST /search, and connects the D1 online learner to retrieval routing.</w:t>
      </w:r>
    </w:p>
    <w:p w14:paraId="2DBB53E3" w14:textId="77777777" w:rsidR="00B11327" w:rsidRPr="00743887" w:rsidRDefault="00000000" w:rsidP="00743887">
      <w:pPr>
        <w:spacing w:before="240" w:after="20"/>
        <w:rPr>
          <w:sz w:val="22"/>
          <w:szCs w:val="36"/>
        </w:rPr>
      </w:pPr>
      <w:r w:rsidRPr="00743887">
        <w:rPr>
          <w:b/>
          <w:color w:val="1F4E79"/>
          <w:sz w:val="28"/>
          <w:szCs w:val="36"/>
        </w:rPr>
        <w:t>1. Requirement coverage and dataflow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200"/>
        <w:gridCol w:w="1296"/>
      </w:tblGrid>
      <w:tr w:rsidR="00B11327" w:rsidRPr="00743887" w14:paraId="45A18BC4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68DFB91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D2 brief item</w:t>
            </w:r>
          </w:p>
        </w:tc>
        <w:tc>
          <w:tcPr>
            <w:tcW w:w="7200" w:type="dxa"/>
            <w:shd w:val="clear" w:color="auto" w:fill="1F4E79"/>
            <w:vAlign w:val="center"/>
          </w:tcPr>
          <w:p w14:paraId="0FF8A3D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Evidence produced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50B18754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Status</w:t>
            </w:r>
          </w:p>
        </w:tc>
      </w:tr>
      <w:tr w:rsidR="00B11327" w:rsidRPr="00743887" w14:paraId="3E43DECD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17BA76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PDF -&gt; text -&gt; chunks -&gt; embeddings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5FD22C6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300 PDFs, 7,588 pages, 57,939 extracted chunks; 49,541 retrieval chunks; cached TF-IDF/LSA matrix 49,541 x 128.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1CFD58C9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Complete</w:t>
            </w:r>
          </w:p>
        </w:tc>
      </w:tr>
      <w:tr w:rsidR="00B11327" w:rsidRPr="00743887" w14:paraId="37C9B661" w14:textId="77777777">
        <w:trPr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4CC738C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Mongo + Qdrant stores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11D965F6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docker-compose defines MongoDB and Qdrant; scripts/seed_d2_stores.py verifies/loads chunks, metadata, and vectors. File cache keeps notebooks reproducible offline.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C294F0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Configured</w:t>
            </w:r>
          </w:p>
        </w:tc>
      </w:tr>
      <w:tr w:rsidR="00B11327" w:rsidRPr="00743887" w14:paraId="5B06898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0668439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Hybrid /search endpoint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7EB6882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FastAPI src/api/main.py lazily loads BM25 + cached dense retriever; response includes chunk_id, document_id, page range, score, retriever source, topics, and snippet.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6D1508F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Complete</w:t>
            </w:r>
          </w:p>
        </w:tc>
      </w:tr>
      <w:tr w:rsidR="00B11327" w:rsidRPr="00743887" w14:paraId="2958EF39" w14:textId="77777777">
        <w:trPr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24D611AD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Neo4j graph + Cypher</w:t>
            </w:r>
          </w:p>
        </w:tc>
        <w:tc>
          <w:tcPr>
            <w:tcW w:w="7200" w:type="dxa"/>
            <w:shd w:val="clear" w:color="auto" w:fill="F2F2F2"/>
            <w:vAlign w:val="center"/>
          </w:tcPr>
          <w:p w14:paraId="4370DE55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Graph table reports 564 nodes and 5029 relationships; Rana notebook includes graph build, validation, and multi-hop Cypher examples for policy, risk, sector, technology, and evidence paths.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5C0E3D7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Complete</w:t>
            </w:r>
          </w:p>
        </w:tc>
      </w:tr>
      <w:tr w:rsidR="00B11327" w:rsidRPr="00743887" w14:paraId="5C2FE869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3DE344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Metrics + citations</w:t>
            </w:r>
          </w:p>
        </w:tc>
        <w:tc>
          <w:tcPr>
            <w:tcW w:w="7200" w:type="dxa"/>
            <w:shd w:val="clear" w:color="auto" w:fill="FFFFFF"/>
            <w:vAlign w:val="center"/>
          </w:tcPr>
          <w:p w14:paraId="0E874D3A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reports/tables includes Hit@5, NDCG@5, MRR, p95 latency, online-vs-static metrics, graph counts, ingestion summary, and top-k provenance examples.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7AA529A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Complete</w:t>
            </w:r>
          </w:p>
        </w:tc>
      </w:tr>
    </w:tbl>
    <w:p w14:paraId="34F3F7C3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Dataflow. PDFs + metadata -&gt; pdfplumber pages -&gt; overlapping chunks -&gt; BM25 index + TF-IDF/TruncatedSVD dense matrix -&gt; hybrid RRF /search with page citations. Metadata + curated findings -&gt; Neo4j nodes/edges -&gt; Cypher paths for D3 graph-guided answer grounding.</w:t>
      </w:r>
      <w:r w:rsidRPr="00743887">
        <w:rPr>
          <w:sz w:val="22"/>
          <w:szCs w:val="36"/>
        </w:rPr>
      </w:r>
      <w:proofErr w:type="gramStart"/>
      <w:r w:rsidRPr="00743887">
        <w:rPr>
          <w:sz w:val="22"/>
          <w:szCs w:val="36"/>
        </w:rPr>
      </w:r>
      <w:proofErr w:type="gramEnd"/>
      <w:r w:rsidRPr="00743887">
        <w:rPr>
          <w:sz w:val="22"/>
          <w:szCs w:val="36"/>
        </w:rPr>
      </w:r>
      <w:proofErr w:type="spellStart"/>
      <w:r w:rsidRPr="00743887">
        <w:rPr>
          <w:sz w:val="22"/>
          <w:szCs w:val="36"/>
        </w:rPr>
      </w:r>
      <w:proofErr w:type="spellEnd"/>
      <w:r w:rsidRPr="00743887">
        <w:rPr>
          <w:sz w:val="22"/>
          <w:szCs w:val="36"/>
        </w:rPr>
      </w:r>
      <w:proofErr w:type="gramStart"/>
      <w:r w:rsidRPr="00743887">
        <w:rPr>
          <w:sz w:val="22"/>
          <w:szCs w:val="36"/>
        </w:rPr>
      </w:r>
      <w:proofErr w:type="gramEnd"/>
      <w:r w:rsidRPr="00743887">
        <w:rPr>
          <w:sz w:val="22"/>
          <w:szCs w:val="36"/>
        </w:rPr>
      </w:r>
      <w:proofErr w:type="gramStart"/>
      <w:r w:rsidRPr="00743887">
        <w:rPr>
          <w:sz w:val="22"/>
          <w:szCs w:val="36"/>
        </w:rPr>
      </w:r>
      <w:proofErr w:type="gramEnd"/>
      <w:r w:rsidRPr="00743887">
        <w:rPr>
          <w:sz w:val="22"/>
          <w:szCs w:val="36"/>
        </w:rPr>
      </w:r>
    </w:p>
    <w:p w14:paraId="0E74B1BC" w14:textId="77777777" w:rsidR="00B11327" w:rsidRPr="00743887" w:rsidRDefault="00000000" w:rsidP="00743887">
      <w:pPr>
        <w:spacing w:before="240" w:after="20"/>
        <w:rPr>
          <w:sz w:val="22"/>
          <w:szCs w:val="36"/>
        </w:rPr>
      </w:pPr>
      <w:r w:rsidRPr="00743887">
        <w:rPr>
          <w:b/>
          <w:color w:val="1F4E79"/>
          <w:sz w:val="28"/>
          <w:szCs w:val="36"/>
        </w:rPr>
        <w:t>2. Retrieval stack and evaluation</w:t>
      </w:r>
    </w:p>
    <w:p w14:paraId="2DD32E1F" w14:textId="77777777" w:rsidR="00B11327" w:rsidRPr="00743887" w:rsidRDefault="00000000" w:rsidP="00743887">
      <w:pPr>
        <w:spacing w:before="240"/>
        <w:rPr>
          <w:sz w:val="22"/>
          <w:szCs w:val="36"/>
        </w:rPr>
      </w:pPr>
      <w:r w:rsidRPr="00743887">
        <w:rPr>
          <w:b/>
          <w:sz w:val="22"/>
          <w:szCs w:val="36"/>
        </w:rPr>
        <w:t>Implementation detail.</w:t>
      </w:r>
      <w:r w:rsidRPr="00743887">
        <w:rPr>
          <w:sz w:val="22"/>
          <w:szCs w:val="36"/>
        </w:rPr>
        <w:t xml:space="preserve"> BM25 provides lexical matching for exact climate terms and policy names. Dense retrieval uses TF-IDF features reduced with TruncatedSVD to a 128-dimensional local embedding matrix, which is fast and reproducible without external API calls. Hybrid RRF was selected for the API because rank fusion avoids unsafe score-scale assumptions between BM25 and dense vectors; hybrid_minmax was evaluated as an alternative but was slower and less stable.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296"/>
        <w:gridCol w:w="1296"/>
        <w:gridCol w:w="1296"/>
        <w:gridCol w:w="1440"/>
      </w:tblGrid>
      <w:tr w:rsidR="00B11327" w:rsidRPr="00743887" w14:paraId="6C26CA5C" w14:textId="77777777">
        <w:trPr>
          <w:jc w:val="center"/>
        </w:trPr>
        <w:tc>
          <w:tcPr>
            <w:tcW w:w="2015" w:type="dxa"/>
            <w:shd w:val="clear" w:color="auto" w:fill="1F4E79"/>
            <w:vAlign w:val="center"/>
          </w:tcPr>
          <w:p w14:paraId="199D374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Method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3F5E545E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Hit@5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20D76F1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NDCG@5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03CEAAFE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MRR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2A8284A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p95 ms</w:t>
            </w:r>
          </w:p>
        </w:tc>
      </w:tr>
      <w:tr w:rsidR="00B11327" w:rsidRPr="00743887" w14:paraId="6541F30C" w14:textId="77777777">
        <w:trPr>
          <w:jc w:val="center"/>
        </w:trPr>
        <w:tc>
          <w:tcPr>
            <w:tcW w:w="2015" w:type="dxa"/>
            <w:shd w:val="clear" w:color="auto" w:fill="FFFFFF"/>
            <w:vAlign w:val="center"/>
          </w:tcPr>
          <w:p w14:paraId="272E1C44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bm25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2EFF2576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1.000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0D4CE1A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0.685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979AFF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0.578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C5F7616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690.0</w:t>
            </w:r>
          </w:p>
        </w:tc>
      </w:tr>
      <w:tr w:rsidR="00B11327" w:rsidRPr="00743887" w14:paraId="39E35599" w14:textId="77777777">
        <w:trPr>
          <w:jc w:val="center"/>
        </w:trPr>
        <w:tc>
          <w:tcPr>
            <w:tcW w:w="2015" w:type="dxa"/>
            <w:shd w:val="clear" w:color="auto" w:fill="F2F2F2"/>
            <w:vAlign w:val="center"/>
          </w:tcPr>
          <w:p w14:paraId="2E15F105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dense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1ACC289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0.600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253E895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0.320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6B27AFE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0.198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6C95622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46.2</w:t>
            </w:r>
          </w:p>
        </w:tc>
      </w:tr>
      <w:tr w:rsidR="00B11327" w:rsidRPr="00743887" w14:paraId="56DDD502" w14:textId="77777777">
        <w:trPr>
          <w:jc w:val="center"/>
        </w:trPr>
        <w:tc>
          <w:tcPr>
            <w:tcW w:w="2015" w:type="dxa"/>
            <w:shd w:val="clear" w:color="auto" w:fill="FFFFFF"/>
            <w:vAlign w:val="center"/>
          </w:tcPr>
          <w:p w14:paraId="6157A9E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hybrid_mm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7B1E8651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0.800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D13CB7C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0.549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5B7229D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0.453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5BBF61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938.0</w:t>
            </w:r>
          </w:p>
        </w:tc>
      </w:tr>
      <w:tr w:rsidR="00B11327" w:rsidRPr="00743887" w14:paraId="14E68EFA" w14:textId="77777777">
        <w:trPr>
          <w:jc w:val="center"/>
        </w:trPr>
        <w:tc>
          <w:tcPr>
            <w:tcW w:w="2015" w:type="dxa"/>
            <w:shd w:val="clear" w:color="auto" w:fill="F2F2F2"/>
            <w:vAlign w:val="center"/>
          </w:tcPr>
          <w:p w14:paraId="17418E16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lastRenderedPageBreak/>
              <w:t>hybrid_rrf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48F4AC19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0.900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6D7B0735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0.640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23D06B1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0.558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0DA88442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798.3</w:t>
            </w:r>
          </w:p>
        </w:tc>
      </w:tr>
    </w:tbl>
    <w:p w14:paraId="6C07CCBB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Interpretation.</w:t>
      </w:r>
      <w:r w:rsidRPr="00743887">
        <w:rPr>
          <w:sz w:val="22"/>
          <w:szCs w:val="36"/>
        </w:rPr>
        <w:t xml:space="preserve"> BM25 gives the strongest Hit@5 on the small document-level gold set because many queries contain explicit policy/risk terms. Dense retrieval is fastest but misses exact document anchors. Hybrid RRF reaches Hit@5=0.900 and NDCG@5=0.640 with page-level provenance, making it the safest integrated default even though pure BM25 wins on this specific proxy set.</w:t>
      </w:r>
    </w:p>
    <w:p w14:paraId="02461FD1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Evaluation choice.</w:t>
      </w:r>
      <w:r w:rsidRPr="00743887">
        <w:rPr>
          <w:sz w:val="22"/>
          <w:szCs w:val="36"/>
        </w:rPr>
        <w:t xml:space="preserve"> Relevance is document-level rather than chunk-level because several gold pages are figure-heavy or noisy after PDF extraction; however, every returned result still includes page_start/page_end so evidence can be audited manually and upgraded to chunk-level relevance in D3.</w:t>
      </w:r>
    </w:p>
    <w:p w14:paraId="32AF5EBF" w14:textId="77777777" w:rsidR="00B11327" w:rsidRPr="00743887" w:rsidRDefault="00000000" w:rsidP="00743887">
      <w:pPr>
        <w:spacing w:before="240" w:after="20"/>
        <w:rPr>
          <w:sz w:val="22"/>
          <w:szCs w:val="36"/>
        </w:rPr>
      </w:pPr>
      <w:r w:rsidRPr="00743887">
        <w:rPr>
          <w:b/>
          <w:color w:val="1F4E79"/>
          <w:sz w:val="28"/>
          <w:szCs w:val="36"/>
        </w:rPr>
        <w:t>3. Graph build, API, and online adaptation</w:t>
      </w:r>
    </w:p>
    <w:p w14:paraId="0CD29F01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Graph design.</w:t>
      </w:r>
      <w:r w:rsidRPr="00743887">
        <w:rPr>
          <w:sz w:val="22"/>
          <w:szCs w:val="36"/>
        </w:rPr>
        <w:t xml:space="preserve"> Neo4j stores climate-specific structure that retrieval alone cannot represent: Document, Organization/Author, Topic, Country, Region, Sector, Technology, ClimateRisk, Indicator, Policy, Target, and Finding. The exported graph has 564 nodes and 5029 relationships. Safe metadata edges such as DISCUSSES, LOCATED_IN, and HAS_POLICY support filtering, while Finding-grounded edges such as EVIDENCES_RISK, IMPACTS, and MITIGATES are intended to protect D3 answers from unsupported causal claims.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152"/>
        <w:gridCol w:w="7056"/>
      </w:tblGrid>
      <w:tr w:rsidR="00B11327" w:rsidRPr="00743887" w14:paraId="36B61CF1" w14:textId="77777777"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072AA622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Graph item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A3425B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Count</w:t>
            </w:r>
          </w:p>
        </w:tc>
        <w:tc>
          <w:tcPr>
            <w:tcW w:w="7056" w:type="dxa"/>
            <w:shd w:val="clear" w:color="auto" w:fill="1F4E79"/>
            <w:vAlign w:val="center"/>
          </w:tcPr>
          <w:p w14:paraId="0D98B721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Why it matters for GraphRAG</w:t>
            </w:r>
          </w:p>
        </w:tc>
      </w:tr>
      <w:tr w:rsidR="00B11327" w:rsidRPr="00743887" w14:paraId="4CED2682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03812CFC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Document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A7747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300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6C2B1C64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Citation/provenance anchor for retrieved evidence.</w:t>
            </w:r>
          </w:p>
        </w:tc>
      </w:tr>
      <w:tr w:rsidR="00B11327" w:rsidRPr="00743887" w14:paraId="3B4A66C4" w14:textId="77777777">
        <w:trPr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40EB1E92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Finding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17009C9C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6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0D84D0C9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Page-grounded evidence nodes linked to risks, sectors, documents, and Qdrant chunk IDs.</w:t>
            </w:r>
          </w:p>
        </w:tc>
      </w:tr>
      <w:tr w:rsidR="00B11327" w:rsidRPr="00743887" w14:paraId="66DFC56A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0554C7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ClimateRisk / Sector / Technology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62395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12 / 14 / 9</w:t>
            </w:r>
          </w:p>
        </w:tc>
        <w:tc>
          <w:tcPr>
            <w:tcW w:w="7056" w:type="dxa"/>
            <w:shd w:val="clear" w:color="auto" w:fill="FFFFFF"/>
            <w:vAlign w:val="center"/>
          </w:tcPr>
          <w:p w14:paraId="7A3F3BA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Core entities for impact and mitigation paths.</w:t>
            </w:r>
          </w:p>
        </w:tc>
      </w:tr>
      <w:tr w:rsidR="00B11327" w:rsidRPr="00743887" w14:paraId="06C408C7" w14:textId="77777777">
        <w:trPr>
          <w:jc w:val="center"/>
        </w:trPr>
        <w:tc>
          <w:tcPr>
            <w:tcW w:w="2232" w:type="dxa"/>
            <w:shd w:val="clear" w:color="auto" w:fill="F2F2F2"/>
            <w:vAlign w:val="center"/>
          </w:tcPr>
          <w:p w14:paraId="31A54E3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Relationships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2DB79F74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5029</w:t>
            </w:r>
          </w:p>
        </w:tc>
        <w:tc>
          <w:tcPr>
            <w:tcW w:w="7056" w:type="dxa"/>
            <w:shd w:val="clear" w:color="auto" w:fill="F2F2F2"/>
            <w:vAlign w:val="center"/>
          </w:tcPr>
          <w:p w14:paraId="786CF37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Multi-hop paths for country-&gt;policy-&gt;target, risk-&gt;sector, technology-&gt;risk, and finding-&gt;document.</w:t>
            </w:r>
            <w:proofErr w:type="spellStart"/>
            <w:proofErr w:type="gramStart"/>
            <w:r w:rsidRPr="00743887">
              <w:rPr>
                <w:sz w:val="20"/>
                <w:szCs w:val="36"/>
              </w:rPr>
            </w:r>
            <w:proofErr w:type="gramEnd"/>
            <w:r w:rsidRPr="00743887">
              <w:rPr>
                <w:sz w:val="20"/>
                <w:szCs w:val="36"/>
              </w:rPr>
            </w:r>
            <w:proofErr w:type="spellEnd"/>
            <w:r w:rsidRPr="00743887">
              <w:rPr>
                <w:sz w:val="20"/>
                <w:szCs w:val="36"/>
              </w:rPr>
            </w:r>
            <w:proofErr w:type="spellStart"/>
            <w:proofErr w:type="gramStart"/>
            <w:r w:rsidRPr="00743887">
              <w:rPr>
                <w:sz w:val="20"/>
                <w:szCs w:val="36"/>
              </w:rPr>
            </w:r>
            <w:proofErr w:type="spellEnd"/>
            <w:proofErr w:type="gramEnd"/>
            <w:r w:rsidRPr="00743887">
              <w:rPr>
                <w:sz w:val="20"/>
                <w:szCs w:val="36"/>
              </w:rPr>
            </w:r>
            <w:proofErr w:type="spellStart"/>
            <w:proofErr w:type="gramStart"/>
            <w:r w:rsidRPr="00743887">
              <w:rPr>
                <w:sz w:val="20"/>
                <w:szCs w:val="36"/>
              </w:rPr>
            </w:r>
            <w:proofErr w:type="spellEnd"/>
            <w:proofErr w:type="gramEnd"/>
            <w:r w:rsidRPr="00743887">
              <w:rPr>
                <w:sz w:val="20"/>
                <w:szCs w:val="36"/>
              </w:rPr>
            </w:r>
            <w:proofErr w:type="spellStart"/>
            <w:proofErr w:type="gramStart"/>
            <w:r w:rsidRPr="00743887">
              <w:rPr>
                <w:sz w:val="20"/>
                <w:szCs w:val="36"/>
              </w:rPr>
            </w:r>
            <w:proofErr w:type="spellEnd"/>
            <w:proofErr w:type="gramEnd"/>
            <w:r w:rsidRPr="00743887">
              <w:rPr>
                <w:sz w:val="20"/>
                <w:szCs w:val="36"/>
              </w:rPr>
            </w:r>
          </w:p>
        </w:tc>
      </w:tr>
    </w:tbl>
    <w:p w14:paraId="29915BCA" w14:textId="77777777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API detail.</w:t>
      </w:r>
      <w:r w:rsidRPr="00743887">
        <w:rPr>
          <w:sz w:val="22"/>
          <w:szCs w:val="36"/>
        </w:rPr>
        <w:t xml:space="preserve"> /search accepts a question/top_k request and returns structured citation fields rather than only text. Tests assert that /search returns non-empty results with chunk_id, document_id, page_start, page_end, snippet, and score; /ask remains a D3 placeholder so D2 does not falsely claim full answer generation.</w:t>
      </w:r>
    </w:p>
    <w:p w14:paraId="487B0F47" w14:textId="725B3F82" w:rsidR="00B11327" w:rsidRPr="00743887" w:rsidRDefault="00000000" w:rsidP="00743887">
      <w:pPr>
        <w:spacing w:before="240" w:after="40"/>
        <w:rPr>
          <w:sz w:val="22"/>
          <w:szCs w:val="36"/>
        </w:rPr>
      </w:pPr>
      <w:r w:rsidRPr="00743887">
        <w:rPr>
          <w:b/>
          <w:sz w:val="22"/>
          <w:szCs w:val="36"/>
        </w:rPr>
        <w:t>Online adaptation.</w:t>
      </w:r>
      <w:r w:rsidRPr="00743887">
        <w:rPr>
          <w:sz w:val="22"/>
          <w:szCs w:val="36"/>
        </w:rPr>
        <w:t xml:space="preserve"> Aaya</w:t>
      </w:r>
      <w:r w:rsidR="00743887">
        <w:rPr>
          <w:sz w:val="22"/>
          <w:szCs w:val="36"/>
        </w:rPr>
        <w:t>’</w:t>
      </w:r>
      <w:r w:rsidRPr="00743887">
        <w:rPr>
          <w:sz w:val="22"/>
          <w:szCs w:val="36"/>
        </w:rPr>
        <w:t>s section does not duplicate Salma</w:t>
      </w:r>
      <w:r w:rsidR="00743887">
        <w:rPr>
          <w:sz w:val="22"/>
          <w:szCs w:val="36"/>
        </w:rPr>
        <w:t>’</w:t>
      </w:r>
      <w:r w:rsidRPr="00743887">
        <w:rPr>
          <w:sz w:val="22"/>
          <w:szCs w:val="36"/>
        </w:rPr>
        <w:t>s retriever. It treats Salma</w:t>
      </w:r>
      <w:r w:rsidR="00743887">
        <w:rPr>
          <w:sz w:val="22"/>
          <w:szCs w:val="36"/>
        </w:rPr>
        <w:t>’</w:t>
      </w:r>
      <w:r w:rsidRPr="00743887">
        <w:rPr>
          <w:sz w:val="22"/>
          <w:szCs w:val="36"/>
        </w:rPr>
        <w:t>s hybrid retriever as the fixed static baseline, then adds a River topic predictor and FeedbackAdapter that changes BM25/dense weights per topic over time. This directly addresses the D1 feedback: the online learner is now compared against the offline retrieval baseline instead of being trained separately with no comparison.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224"/>
        <w:gridCol w:w="1080"/>
        <w:gridCol w:w="1080"/>
        <w:gridCol w:w="1368"/>
        <w:gridCol w:w="1080"/>
        <w:gridCol w:w="1368"/>
      </w:tblGrid>
      <w:tr w:rsidR="00B11327" w:rsidRPr="00743887" w14:paraId="240DD42D" w14:textId="77777777">
        <w:trPr>
          <w:jc w:val="center"/>
        </w:trPr>
        <w:tc>
          <w:tcPr>
            <w:tcW w:w="1368" w:type="dxa"/>
            <w:shd w:val="clear" w:color="auto" w:fill="1F4E79"/>
            <w:vAlign w:val="center"/>
          </w:tcPr>
          <w:p w14:paraId="3405E7C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Routing</w:t>
            </w:r>
          </w:p>
        </w:tc>
        <w:tc>
          <w:tcPr>
            <w:tcW w:w="1224" w:type="dxa"/>
            <w:shd w:val="clear" w:color="auto" w:fill="1F4E79"/>
            <w:vAlign w:val="center"/>
          </w:tcPr>
          <w:p w14:paraId="619A17C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Recall@5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6F8F46F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MRR@5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66A286D6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nDCG@5</w:t>
            </w:r>
          </w:p>
        </w:tc>
        <w:tc>
          <w:tcPr>
            <w:tcW w:w="1368" w:type="dxa"/>
            <w:shd w:val="clear" w:color="auto" w:fill="1F4E79"/>
            <w:vAlign w:val="center"/>
          </w:tcPr>
          <w:p w14:paraId="041BAB91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Citation hit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34919BC3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Mean ms</w:t>
            </w:r>
          </w:p>
        </w:tc>
        <w:tc>
          <w:tcPr>
            <w:tcW w:w="1368" w:type="dxa"/>
            <w:shd w:val="clear" w:color="auto" w:fill="1F4E79"/>
            <w:vAlign w:val="center"/>
          </w:tcPr>
          <w:p w14:paraId="5111699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b/>
                <w:color w:val="FFFFFF"/>
                <w:sz w:val="20"/>
                <w:szCs w:val="36"/>
              </w:rPr>
              <w:t>BM25/dense</w:t>
            </w:r>
          </w:p>
        </w:tc>
      </w:tr>
      <w:tr w:rsidR="00B11327" w:rsidRPr="00743887" w14:paraId="21970108" w14:textId="77777777">
        <w:trPr>
          <w:jc w:val="center"/>
        </w:trPr>
        <w:tc>
          <w:tcPr>
            <w:tcW w:w="1368" w:type="dxa"/>
            <w:shd w:val="clear" w:color="auto" w:fill="FFFFFF"/>
            <w:vAlign w:val="center"/>
          </w:tcPr>
          <w:p w14:paraId="41918CE7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adaptive</w:t>
            </w:r>
          </w:p>
        </w:tc>
        <w:tc>
          <w:tcPr>
            <w:tcW w:w="1224" w:type="dxa"/>
            <w:shd w:val="clear" w:color="auto" w:fill="FFFFFF"/>
            <w:vAlign w:val="center"/>
          </w:tcPr>
          <w:p w14:paraId="07D7497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0.5800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92B3CDD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0.4482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ACADF2D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0.4821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13E0829D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0.3533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6FF7C8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220.1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3259296D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0.480/0.520</w:t>
            </w:r>
          </w:p>
        </w:tc>
      </w:tr>
      <w:tr w:rsidR="00B11327" w:rsidRPr="00743887" w14:paraId="0C4660F8" w14:textId="77777777">
        <w:trPr>
          <w:jc w:val="center"/>
        </w:trPr>
        <w:tc>
          <w:tcPr>
            <w:tcW w:w="1368" w:type="dxa"/>
            <w:shd w:val="clear" w:color="auto" w:fill="F2F2F2"/>
            <w:vAlign w:val="center"/>
          </w:tcPr>
          <w:p w14:paraId="390F5FDB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static</w:t>
            </w:r>
          </w:p>
        </w:tc>
        <w:tc>
          <w:tcPr>
            <w:tcW w:w="1224" w:type="dxa"/>
            <w:shd w:val="clear" w:color="auto" w:fill="F2F2F2"/>
            <w:vAlign w:val="center"/>
          </w:tcPr>
          <w:p w14:paraId="1DDD2722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0.5767</w:t>
            </w:r>
          </w:p>
        </w:tc>
        <w:tc>
          <w:tcPr>
            <w:tcW w:w="1080" w:type="dxa"/>
            <w:shd w:val="clear" w:color="auto" w:fill="F2F2F2"/>
            <w:vAlign w:val="center"/>
          </w:tcPr>
          <w:p w14:paraId="4832FD45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0.4502</w:t>
            </w:r>
          </w:p>
        </w:tc>
        <w:tc>
          <w:tcPr>
            <w:tcW w:w="1080" w:type="dxa"/>
            <w:shd w:val="clear" w:color="auto" w:fill="F2F2F2"/>
            <w:vAlign w:val="center"/>
          </w:tcPr>
          <w:p w14:paraId="672B2990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0.4809</w:t>
            </w:r>
          </w:p>
        </w:tc>
        <w:tc>
          <w:tcPr>
            <w:tcW w:w="1368" w:type="dxa"/>
            <w:shd w:val="clear" w:color="auto" w:fill="F2F2F2"/>
            <w:vAlign w:val="center"/>
          </w:tcPr>
          <w:p w14:paraId="7DE66FEC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0.3517</w:t>
            </w:r>
          </w:p>
        </w:tc>
        <w:tc>
          <w:tcPr>
            <w:tcW w:w="1080" w:type="dxa"/>
            <w:shd w:val="clear" w:color="auto" w:fill="F2F2F2"/>
            <w:vAlign w:val="center"/>
          </w:tcPr>
          <w:p w14:paraId="0C609F2F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244.5</w:t>
            </w:r>
          </w:p>
        </w:tc>
        <w:tc>
          <w:tcPr>
            <w:tcW w:w="1368" w:type="dxa"/>
            <w:shd w:val="clear" w:color="auto" w:fill="F2F2F2"/>
            <w:vAlign w:val="center"/>
          </w:tcPr>
          <w:p w14:paraId="71C777A8" w14:textId="77777777" w:rsidR="00B11327" w:rsidRPr="00743887" w:rsidRDefault="00000000" w:rsidP="00743887">
            <w:pPr>
              <w:spacing w:before="240" w:after="0"/>
              <w:rPr>
                <w:sz w:val="22"/>
                <w:szCs w:val="36"/>
              </w:rPr>
            </w:pPr>
            <w:r w:rsidRPr="00743887">
              <w:rPr>
                <w:sz w:val="20"/>
                <w:szCs w:val="36"/>
              </w:rPr>
              <w:t>0.500/0.500</w:t>
            </w:r>
          </w:p>
        </w:tc>
      </w:tr>
    </w:tbl>
    <w:p w14:paraId="36F3893E" w14:textId="38E84D92" w:rsidR="00B11327" w:rsidRPr="00743887" w:rsidRDefault="00B11327" w:rsidP="00743887">
      <w:pPr>
        <w:spacing w:before="240" w:after="16"/>
        <w:ind w:left="173" w:hanging="115"/>
        <w:rPr>
          <w:sz w:val="22"/>
          <w:szCs w:val="36"/>
        </w:rPr>
      </w:pPr>
    </w:p>
    <w:sectPr w:rsidR="00B11327" w:rsidRPr="00743887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9A78" w14:textId="77777777" w:rsidR="00BF3558" w:rsidRDefault="00BF3558">
      <w:pPr>
        <w:spacing w:after="0" w:line="240" w:lineRule="auto"/>
      </w:pPr>
      <w:r>
        <w:separator/>
      </w:r>
    </w:p>
  </w:endnote>
  <w:endnote w:type="continuationSeparator" w:id="0">
    <w:p w14:paraId="2CF8AC70" w14:textId="77777777" w:rsidR="00BF3558" w:rsidRDefault="00BF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D3D2" w14:textId="77777777" w:rsidR="00B11327" w:rsidRDefault="00000000">
    <w:pPr>
      <w:pStyle w:val="Footer"/>
      <w:jc w:val="center"/>
    </w:pPr>
    <w:r>
      <w:rPr>
        <w:color w:val="5A5A5A"/>
        <w:sz w:val="14"/>
      </w:rPr>
      <w:t>CSAI415 D</w:t>
    </w:r>
    <w:proofErr w:type="gramStart"/>
    <w:r>
      <w:rPr>
        <w:color w:val="5A5A5A"/>
        <w:sz w:val="14"/>
      </w:rPr>
      <w:t>2 ?</w:t>
    </w:r>
    <w:proofErr w:type="gramEnd"/>
    <w:r>
      <w:rPr>
        <w:color w:val="5A5A5A"/>
        <w:sz w:val="14"/>
      </w:rPr>
      <w:t xml:space="preserve"> Retrieval Stack &amp; Graph Build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2EFAA" w14:textId="77777777" w:rsidR="00BF3558" w:rsidRDefault="00BF3558">
      <w:pPr>
        <w:spacing w:after="0" w:line="240" w:lineRule="auto"/>
      </w:pPr>
      <w:r>
        <w:separator/>
      </w:r>
    </w:p>
  </w:footnote>
  <w:footnote w:type="continuationSeparator" w:id="0">
    <w:p w14:paraId="2325E981" w14:textId="77777777" w:rsidR="00BF3558" w:rsidRDefault="00BF3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808149">
    <w:abstractNumId w:val="8"/>
  </w:num>
  <w:num w:numId="2" w16cid:durableId="436870291">
    <w:abstractNumId w:val="6"/>
  </w:num>
  <w:num w:numId="3" w16cid:durableId="2096978613">
    <w:abstractNumId w:val="5"/>
  </w:num>
  <w:num w:numId="4" w16cid:durableId="1298994045">
    <w:abstractNumId w:val="4"/>
  </w:num>
  <w:num w:numId="5" w16cid:durableId="1331644358">
    <w:abstractNumId w:val="7"/>
  </w:num>
  <w:num w:numId="6" w16cid:durableId="1936747168">
    <w:abstractNumId w:val="3"/>
  </w:num>
  <w:num w:numId="7" w16cid:durableId="1910918881">
    <w:abstractNumId w:val="2"/>
  </w:num>
  <w:num w:numId="8" w16cid:durableId="1467699517">
    <w:abstractNumId w:val="1"/>
  </w:num>
  <w:num w:numId="9" w16cid:durableId="73650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887"/>
    <w:rsid w:val="007603DC"/>
    <w:rsid w:val="00AA1D8D"/>
    <w:rsid w:val="00B11327"/>
    <w:rsid w:val="00B47730"/>
    <w:rsid w:val="00BF35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22053"/>
  <w14:defaultImageDpi w14:val="300"/>
  <w15:docId w15:val="{0EAD3CBF-79E5-4422-9CED-73E000D5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 Ehab</cp:lastModifiedBy>
  <cp:revision>2</cp:revision>
  <dcterms:created xsi:type="dcterms:W3CDTF">2013-12-23T23:15:00Z</dcterms:created>
  <dcterms:modified xsi:type="dcterms:W3CDTF">2026-06-03T19:51:00Z</dcterms:modified>
  <cp:category/>
</cp:coreProperties>
</file>