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C8A6" w14:textId="77777777" w:rsidR="007A7E5E" w:rsidRDefault="00000000">
      <w:pPr>
        <w:spacing w:after="20"/>
        <w:jc w:val="center"/>
      </w:pPr>
      <w:r>
        <w:rPr>
          <w:b/>
          <w:color w:val="0F4C5C"/>
          <w:sz w:val="26"/>
        </w:rPr>
        <w:t>Member 4 D1 Report: River Online Learning &amp; ADWIN Drift Detection</w:t>
      </w:r>
    </w:p>
    <w:p w14:paraId="4FF96A3C" w14:textId="77777777" w:rsidR="007A7E5E" w:rsidRDefault="00000000">
      <w:pPr>
        <w:spacing w:after="100"/>
        <w:jc w:val="center"/>
      </w:pPr>
      <w:r>
        <w:rPr>
          <w:color w:val="4B5563"/>
        </w:rPr>
        <w:t>CSAI415 Climate Evidence GraphRAG Agent | Scope: Online Learning Only</w:t>
      </w:r>
    </w:p>
    <w:p w14:paraId="3A8E59F7" w14:textId="77777777" w:rsidR="00283A4C" w:rsidRDefault="00283A4C" w:rsidP="00283A4C">
      <w:pPr>
        <w:spacing w:after="40" w:line="240" w:lineRule="auto"/>
      </w:pPr>
      <w:r>
        <w:rPr>
          <w:b/>
          <w:color w:val="0F4C5C"/>
          <w:sz w:val="16"/>
        </w:rPr>
        <w:t xml:space="preserve">Method. </w:t>
      </w:r>
      <w:r>
        <w:rPr>
          <w:color w:val="1F2933"/>
          <w:sz w:val="16"/>
        </w:rPr>
        <w:t xml:space="preserve">A River text-classification pipeline was implemented using Bag-of-Words features and Multinomial Naive Bayes. Each incoming climate query is predicted first, then the true label is learned using River’s online </w:t>
      </w:r>
      <w:proofErr w:type="spellStart"/>
      <w:r>
        <w:rPr>
          <w:color w:val="1F2933"/>
          <w:sz w:val="16"/>
        </w:rPr>
        <w:t>learn_</w:t>
      </w:r>
      <w:proofErr w:type="gramStart"/>
      <w:r>
        <w:rPr>
          <w:color w:val="1F2933"/>
          <w:sz w:val="16"/>
        </w:rPr>
        <w:t>one</w:t>
      </w:r>
      <w:proofErr w:type="spellEnd"/>
      <w:r>
        <w:rPr>
          <w:color w:val="1F2933"/>
          <w:sz w:val="16"/>
        </w:rPr>
        <w:t>(</w:t>
      </w:r>
      <w:proofErr w:type="gramEnd"/>
      <w:r>
        <w:rPr>
          <w:color w:val="1F2933"/>
          <w:sz w:val="16"/>
        </w:rPr>
        <w:t>) update.</w:t>
      </w:r>
    </w:p>
    <w:p w14:paraId="021E2F20" w14:textId="77777777" w:rsidR="00283A4C" w:rsidRDefault="00283A4C" w:rsidP="00283A4C">
      <w:pPr>
        <w:spacing w:after="40" w:line="240" w:lineRule="auto"/>
      </w:pPr>
      <w:r>
        <w:rPr>
          <w:b/>
          <w:color w:val="0F4C5C"/>
          <w:sz w:val="16"/>
        </w:rPr>
        <w:t xml:space="preserve">Classes. </w:t>
      </w:r>
      <w:r>
        <w:rPr>
          <w:color w:val="1F2933"/>
          <w:sz w:val="16"/>
        </w:rPr>
        <w:t xml:space="preserve">The classifier predicts six climate topics: mitigation, adaptation, </w:t>
      </w:r>
      <w:proofErr w:type="spellStart"/>
      <w:r>
        <w:rPr>
          <w:color w:val="1F2933"/>
          <w:sz w:val="16"/>
        </w:rPr>
        <w:t>climate_science</w:t>
      </w:r>
      <w:proofErr w:type="spellEnd"/>
      <w:r>
        <w:rPr>
          <w:color w:val="1F2933"/>
          <w:sz w:val="16"/>
        </w:rPr>
        <w:t xml:space="preserve">, </w:t>
      </w:r>
      <w:proofErr w:type="spellStart"/>
      <w:r>
        <w:rPr>
          <w:color w:val="1F2933"/>
          <w:sz w:val="16"/>
        </w:rPr>
        <w:t>policy_governance</w:t>
      </w:r>
      <w:proofErr w:type="spellEnd"/>
      <w:r>
        <w:rPr>
          <w:color w:val="1F2933"/>
          <w:sz w:val="16"/>
        </w:rPr>
        <w:t xml:space="preserve">, </w:t>
      </w:r>
      <w:proofErr w:type="spellStart"/>
      <w:r>
        <w:rPr>
          <w:color w:val="1F2933"/>
          <w:sz w:val="16"/>
        </w:rPr>
        <w:t>technology_innovation</w:t>
      </w:r>
      <w:proofErr w:type="spellEnd"/>
      <w:r>
        <w:rPr>
          <w:color w:val="1F2933"/>
          <w:sz w:val="16"/>
        </w:rPr>
        <w:t>, and uae_cop28.</w:t>
      </w:r>
    </w:p>
    <w:p w14:paraId="5B02A2A9" w14:textId="77777777" w:rsidR="00283A4C" w:rsidRDefault="00283A4C" w:rsidP="00283A4C">
      <w:pPr>
        <w:spacing w:after="40" w:line="240" w:lineRule="auto"/>
      </w:pPr>
      <w:r>
        <w:rPr>
          <w:b/>
          <w:color w:val="0F4C5C"/>
          <w:sz w:val="16"/>
        </w:rPr>
        <w:t xml:space="preserve">Stream and drift. </w:t>
      </w:r>
      <w:r>
        <w:rPr>
          <w:color w:val="1F2933"/>
          <w:sz w:val="16"/>
        </w:rPr>
        <w:t>A stream of 600 labelled climate queries was simulated. Concept drift was injected at query 350 by changing the relationship between query wording and topic labels.</w:t>
      </w:r>
    </w:p>
    <w:p w14:paraId="0F27048B" w14:textId="77777777" w:rsidR="00283A4C" w:rsidRDefault="00283A4C" w:rsidP="00283A4C">
      <w:pPr>
        <w:spacing w:after="40" w:line="240" w:lineRule="auto"/>
      </w:pPr>
      <w:r>
        <w:rPr>
          <w:b/>
          <w:color w:val="0F4C5C"/>
          <w:sz w:val="16"/>
        </w:rPr>
        <w:t xml:space="preserve">Evaluation. </w:t>
      </w:r>
      <w:r>
        <w:rPr>
          <w:color w:val="1F2933"/>
          <w:sz w:val="16"/>
        </w:rPr>
        <w:t>Prequential evaluation was used: predict -&gt; check correctness -&gt; update ADWIN -&gt; learn the correct label. ADWIN monitored the error stream, where correct = 0 and wrong = 1.</w:t>
      </w:r>
    </w:p>
    <w:p w14:paraId="79DAA280" w14:textId="77777777" w:rsidR="00283A4C" w:rsidRDefault="00283A4C" w:rsidP="00E75C6C">
      <w:pPr>
        <w:spacing w:after="0"/>
        <w:rPr>
          <w:b/>
          <w:color w:val="FFFFFF"/>
          <w:sz w:val="15"/>
        </w:rPr>
        <w:sectPr w:rsidR="00283A4C" w:rsidSect="00034616">
          <w:pgSz w:w="11909" w:h="16834"/>
          <w:pgMar w:top="648" w:right="792" w:bottom="648" w:left="792" w:header="720" w:footer="720" w:gutter="0"/>
          <w:cols w:space="720"/>
          <w:docGrid w:linePitch="360"/>
        </w:sectPr>
      </w:pPr>
    </w:p>
    <w:p w14:paraId="02087BB6" w14:textId="77777777" w:rsidR="00283A4C" w:rsidRDefault="00283A4C" w:rsidP="00E75C6C">
      <w:pPr>
        <w:spacing w:after="0"/>
        <w:rPr>
          <w:b/>
          <w:color w:val="FFFFFF"/>
          <w:sz w:val="15"/>
        </w:rPr>
      </w:pPr>
    </w:p>
    <w:p w14:paraId="0DB7ACEE" w14:textId="77777777" w:rsidR="00283A4C" w:rsidRDefault="00283A4C" w:rsidP="00E75C6C">
      <w:pPr>
        <w:spacing w:after="0"/>
        <w:rPr>
          <w:b/>
          <w:color w:val="FFFFFF"/>
          <w:sz w:val="15"/>
        </w:rPr>
        <w:sectPr w:rsidR="00283A4C" w:rsidSect="00283A4C">
          <w:type w:val="continuous"/>
          <w:pgSz w:w="11909" w:h="16834"/>
          <w:pgMar w:top="648" w:right="792" w:bottom="648" w:left="792" w:header="720" w:footer="720" w:gutter="0"/>
          <w:cols w:num="2" w:space="720"/>
          <w:docGrid w:linePitch="360"/>
        </w:sectPr>
      </w:pPr>
    </w:p>
    <w:tbl>
      <w:tblPr>
        <w:tblW w:w="4712" w:type="dxa"/>
        <w:tblLayout w:type="fixed"/>
        <w:tblLook w:val="04A0" w:firstRow="1" w:lastRow="0" w:firstColumn="1" w:lastColumn="0" w:noHBand="0" w:noVBand="1"/>
      </w:tblPr>
      <w:tblGrid>
        <w:gridCol w:w="2356"/>
        <w:gridCol w:w="2356"/>
      </w:tblGrid>
      <w:tr w:rsidR="00283A4C" w14:paraId="2DC0F4E8" w14:textId="77777777" w:rsidTr="00283A4C">
        <w:trPr>
          <w:trHeight w:val="406"/>
        </w:trPr>
        <w:tc>
          <w:tcPr>
            <w:tcW w:w="2356" w:type="dxa"/>
            <w:tcBorders>
              <w:top w:val="single" w:sz="6" w:space="0" w:color="0F4C5C"/>
              <w:left w:val="single" w:sz="6" w:space="0" w:color="0F4C5C"/>
              <w:bottom w:val="single" w:sz="6" w:space="0" w:color="0F4C5C"/>
              <w:right w:val="single" w:sz="6" w:space="0" w:color="0F4C5C"/>
            </w:tcBorders>
            <w:shd w:val="clear" w:color="auto" w:fill="0F4C5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6E5F620" w14:textId="77777777" w:rsidR="00283A4C" w:rsidRDefault="00283A4C" w:rsidP="00E75C6C">
            <w:pPr>
              <w:spacing w:after="0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2356" w:type="dxa"/>
            <w:tcBorders>
              <w:top w:val="single" w:sz="6" w:space="0" w:color="0F4C5C"/>
              <w:left w:val="single" w:sz="6" w:space="0" w:color="0F4C5C"/>
              <w:bottom w:val="single" w:sz="6" w:space="0" w:color="0F4C5C"/>
              <w:right w:val="single" w:sz="6" w:space="0" w:color="0F4C5C"/>
            </w:tcBorders>
            <w:shd w:val="clear" w:color="auto" w:fill="0F4C5C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F201B38" w14:textId="77777777" w:rsidR="00283A4C" w:rsidRDefault="00283A4C" w:rsidP="00E75C6C">
            <w:pPr>
              <w:spacing w:after="0"/>
            </w:pPr>
            <w:r>
              <w:rPr>
                <w:b/>
                <w:color w:val="FFFFFF"/>
                <w:sz w:val="15"/>
              </w:rPr>
              <w:t>Result</w:t>
            </w:r>
          </w:p>
        </w:tc>
      </w:tr>
      <w:tr w:rsidR="00283A4C" w14:paraId="7266B3D2" w14:textId="77777777" w:rsidTr="00283A4C">
        <w:trPr>
          <w:trHeight w:val="356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803FA5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Queries / drift point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169533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600 / 350</w:t>
            </w:r>
          </w:p>
        </w:tc>
      </w:tr>
      <w:tr w:rsidR="00283A4C" w14:paraId="058E2FAA" w14:textId="77777777" w:rsidTr="00283A4C">
        <w:trPr>
          <w:trHeight w:val="356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0D6783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First ADWIN alert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248FFE8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377 (27-query delay)</w:t>
            </w:r>
          </w:p>
        </w:tc>
      </w:tr>
      <w:tr w:rsidR="00283A4C" w14:paraId="34ECB9F6" w14:textId="77777777" w:rsidTr="00283A4C">
        <w:trPr>
          <w:trHeight w:val="331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AC75211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Pre-drift accuracy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BA430B1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89.97%</w:t>
            </w:r>
          </w:p>
        </w:tc>
      </w:tr>
      <w:tr w:rsidR="00283A4C" w14:paraId="4ED8B05C" w14:textId="77777777" w:rsidTr="00283A4C">
        <w:trPr>
          <w:trHeight w:val="356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A6ED07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Drift-window accuracy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6E01D81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2.22%</w:t>
            </w:r>
          </w:p>
        </w:tc>
      </w:tr>
      <w:tr w:rsidR="00283A4C" w14:paraId="4612BE3F" w14:textId="77777777" w:rsidTr="00283A4C">
        <w:trPr>
          <w:trHeight w:val="356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F292BC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Post-drift accuracy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F423EB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95.65%</w:t>
            </w:r>
          </w:p>
        </w:tc>
      </w:tr>
      <w:tr w:rsidR="00283A4C" w14:paraId="36D1A9B0" w14:textId="77777777" w:rsidTr="00283A4C">
        <w:trPr>
          <w:trHeight w:val="356"/>
        </w:trPr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19427D" w14:textId="77777777" w:rsidR="00283A4C" w:rsidRDefault="00283A4C" w:rsidP="00E75C6C">
            <w:pPr>
              <w:spacing w:after="0"/>
            </w:pPr>
            <w:r>
              <w:rPr>
                <w:color w:val="1F2933"/>
                <w:sz w:val="14"/>
              </w:rPr>
              <w:t>Final cumulative / rolling</w:t>
            </w:r>
          </w:p>
        </w:tc>
        <w:tc>
          <w:tcPr>
            <w:tcW w:w="2356" w:type="dxa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  <w:shd w:val="clear" w:color="auto" w:fill="F2F7F8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C1899D0" w14:textId="77777777" w:rsidR="00283A4C" w:rsidRDefault="00283A4C" w:rsidP="00E75C6C">
            <w:pPr>
              <w:spacing w:after="0"/>
            </w:pPr>
            <w:r>
              <w:rPr>
                <w:b/>
                <w:color w:val="1F2933"/>
                <w:sz w:val="14"/>
              </w:rPr>
              <w:t>78.33% / 100%</w:t>
            </w:r>
          </w:p>
        </w:tc>
      </w:tr>
    </w:tbl>
    <w:p w14:paraId="1547CAA9" w14:textId="77777777" w:rsidR="00283A4C" w:rsidRDefault="00283A4C" w:rsidP="00283A4C">
      <w:pPr>
        <w:spacing w:after="40"/>
        <w:jc w:val="center"/>
        <w:rPr>
          <w:b/>
          <w:color w:val="0F4C5C"/>
          <w:sz w:val="18"/>
        </w:rPr>
      </w:pPr>
    </w:p>
    <w:p w14:paraId="0B33843A" w14:textId="77777777" w:rsidR="00283A4C" w:rsidRDefault="00283A4C" w:rsidP="00283A4C">
      <w:pPr>
        <w:spacing w:after="40"/>
        <w:jc w:val="center"/>
        <w:rPr>
          <w:b/>
          <w:color w:val="0F4C5C"/>
          <w:sz w:val="18"/>
        </w:rPr>
      </w:pPr>
    </w:p>
    <w:p w14:paraId="4EDBD3BC" w14:textId="7E367BAC" w:rsidR="00283A4C" w:rsidRDefault="00283A4C" w:rsidP="00283A4C">
      <w:pPr>
        <w:spacing w:after="40"/>
        <w:jc w:val="center"/>
      </w:pPr>
      <w:r>
        <w:rPr>
          <w:b/>
          <w:color w:val="0F4C5C"/>
          <w:sz w:val="18"/>
        </w:rPr>
        <w:t>Prequential Accuracy Plot</w:t>
      </w:r>
    </w:p>
    <w:p w14:paraId="6256C350" w14:textId="77777777" w:rsidR="00283A4C" w:rsidRDefault="00283A4C" w:rsidP="00283A4C">
      <w:pPr>
        <w:spacing w:after="0"/>
        <w:ind w:left="-360" w:firstLine="360"/>
        <w:jc w:val="center"/>
      </w:pPr>
      <w:r>
        <w:rPr>
          <w:noProof/>
        </w:rPr>
        <w:drawing>
          <wp:inline distT="0" distB="0" distL="0" distR="0" wp14:anchorId="673CC3FD" wp14:editId="75031C9F">
            <wp:extent cx="3321170" cy="182664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quential_accuracy_plot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155" cy="18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E6E6" w14:textId="704B3943" w:rsidR="00283A4C" w:rsidRDefault="00283A4C" w:rsidP="00283A4C">
      <w:pPr>
        <w:spacing w:before="60" w:after="0"/>
        <w:sectPr w:rsidR="00283A4C" w:rsidSect="00283A4C">
          <w:type w:val="continuous"/>
          <w:pgSz w:w="11909" w:h="16834"/>
          <w:pgMar w:top="648" w:right="792" w:bottom="648" w:left="792" w:header="720" w:footer="720" w:gutter="0"/>
          <w:cols w:num="2" w:space="29"/>
          <w:docGrid w:linePitch="360"/>
        </w:sectPr>
      </w:pPr>
      <w:r>
        <w:rPr>
          <w:i/>
          <w:color w:val="4B5563"/>
          <w:sz w:val="14"/>
        </w:rPr>
        <w:t>Figure 1. Rolling accuracy falls after drift at query 350, ADWIN alerts at 377 and 473, then accuracy recovers.</w:t>
      </w:r>
    </w:p>
    <w:p w14:paraId="6ECE02B8" w14:textId="77777777" w:rsidR="00283A4C" w:rsidRDefault="00283A4C" w:rsidP="00283A4C"/>
    <w:p w14:paraId="355A3471" w14:textId="77777777" w:rsidR="00283A4C" w:rsidRDefault="00283A4C" w:rsidP="00283A4C">
      <w:pPr>
        <w:spacing w:after="40" w:line="240" w:lineRule="auto"/>
      </w:pPr>
      <w:r>
        <w:rPr>
          <w:b/>
          <w:color w:val="0F4C5C"/>
          <w:sz w:val="16"/>
        </w:rPr>
        <w:t xml:space="preserve">Conclusion. </w:t>
      </w:r>
      <w:r>
        <w:rPr>
          <w:color w:val="1F2933"/>
          <w:sz w:val="16"/>
        </w:rPr>
        <w:t>The results show a clear online-learning pattern: accuracy rises before drift, drops during the injected drift, ADWIN detects the change at query 377, and the model recovers strongly after adapting to the new stream.</w:t>
      </w:r>
    </w:p>
    <w:p w14:paraId="3E06A423" w14:textId="609AA0F9" w:rsidR="007A7E5E" w:rsidRDefault="00283A4C" w:rsidP="00283A4C">
      <w:pPr>
        <w:spacing w:before="60" w:after="0"/>
        <w:rPr>
          <w:color w:val="1F2933"/>
          <w:sz w:val="16"/>
        </w:rPr>
      </w:pPr>
      <w:r>
        <w:rPr>
          <w:b/>
          <w:color w:val="0F4C5C"/>
          <w:sz w:val="16"/>
        </w:rPr>
        <w:t xml:space="preserve">Project contribution. </w:t>
      </w:r>
      <w:r>
        <w:rPr>
          <w:color w:val="1F2933"/>
          <w:sz w:val="16"/>
        </w:rPr>
        <w:t xml:space="preserve">In the final </w:t>
      </w:r>
      <w:proofErr w:type="spellStart"/>
      <w:r>
        <w:rPr>
          <w:color w:val="1F2933"/>
          <w:sz w:val="16"/>
        </w:rPr>
        <w:t>GraphRAG</w:t>
      </w:r>
      <w:proofErr w:type="spellEnd"/>
      <w:r>
        <w:rPr>
          <w:color w:val="1F2933"/>
          <w:sz w:val="16"/>
        </w:rPr>
        <w:t xml:space="preserve"> system, this module can route queries by climate topic and later help adapt BM25/dense retrieval weights using feedback.</w:t>
      </w:r>
    </w:p>
    <w:sectPr w:rsidR="007A7E5E" w:rsidSect="00283A4C">
      <w:type w:val="continuous"/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462150">
    <w:abstractNumId w:val="8"/>
  </w:num>
  <w:num w:numId="2" w16cid:durableId="1969387942">
    <w:abstractNumId w:val="6"/>
  </w:num>
  <w:num w:numId="3" w16cid:durableId="1777867928">
    <w:abstractNumId w:val="5"/>
  </w:num>
  <w:num w:numId="4" w16cid:durableId="294795127">
    <w:abstractNumId w:val="4"/>
  </w:num>
  <w:num w:numId="5" w16cid:durableId="744500356">
    <w:abstractNumId w:val="7"/>
  </w:num>
  <w:num w:numId="6" w16cid:durableId="1056006184">
    <w:abstractNumId w:val="3"/>
  </w:num>
  <w:num w:numId="7" w16cid:durableId="744376996">
    <w:abstractNumId w:val="2"/>
  </w:num>
  <w:num w:numId="8" w16cid:durableId="1231191864">
    <w:abstractNumId w:val="1"/>
  </w:num>
  <w:num w:numId="9" w16cid:durableId="67372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43"/>
    <w:rsid w:val="00283A4C"/>
    <w:rsid w:val="0029639D"/>
    <w:rsid w:val="00326F90"/>
    <w:rsid w:val="007A7E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B68A6"/>
  <w14:defaultImageDpi w14:val="300"/>
  <w15:docId w15:val="{EC03B233-E082-4FD5-9547-793FB609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Ehab</cp:lastModifiedBy>
  <cp:revision>2</cp:revision>
  <dcterms:created xsi:type="dcterms:W3CDTF">2013-12-23T23:15:00Z</dcterms:created>
  <dcterms:modified xsi:type="dcterms:W3CDTF">2026-05-14T11:02:00Z</dcterms:modified>
  <cp:category/>
</cp:coreProperties>
</file>