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100"/>
        <w:jc w:val="center"/>
      </w:pPr>
      <w:r>
        <w:rPr>
          <w:rFonts w:ascii="Calibri" w:cs="Calibri" w:eastAsia="Calibri" w:hAnsi="Calibri"/>
          <w:b/>
          <w:bCs/>
          <w:color w:val="5B6E7A"/>
          <w:sz w:val="18"/>
          <w:szCs w:val="18"/>
        </w:rPr>
        <w:t xml:space="preserve">OFFICE DE LA FORMATION PROFESSIONNELLE ET DE LA PROMOTION DU TRAVAIL</w:t>
      </w:r>
    </w:p>
    <w:p>
      <w:pPr>
        <w:spacing w:after="1400"/>
        <w:jc w:val="center"/>
      </w:pPr>
      <w:r>
        <w:rPr>
          <w:rFonts w:ascii="Calibri" w:cs="Calibri" w:eastAsia="Calibri" w:hAnsi="Calibri"/>
          <w:b/>
          <w:bCs/>
          <w:color w:val="232221"/>
          <w:sz w:val="22"/>
          <w:szCs w:val="22"/>
        </w:rPr>
        <w:t xml:space="preserve">PROJET D'INNOVATION ENTREPRENEURIAT (PIE)</w:t>
      </w:r>
    </w:p>
    <w:p>
      <w:pPr>
        <w:spacing w:after="120"/>
        <w:jc w:val="center"/>
      </w:pPr>
      <w:r>
        <w:rPr>
          <w:rFonts w:ascii="Calibri Light" w:cs="Calibri Light" w:eastAsia="Calibri Light" w:hAnsi="Calibri Light"/>
          <w:b/>
          <w:bCs/>
          <w:color w:val="A34839"/>
          <w:sz w:val="56"/>
          <w:szCs w:val="56"/>
        </w:rPr>
        <w:t xml:space="preserve">BUSINESS PLAN</w:t>
      </w:r>
    </w:p>
    <w:p>
      <w:pPr>
        <w:spacing w:after="120"/>
        <w:jc w:val="center"/>
      </w:pPr>
      <w:r>
        <w:rPr>
          <w:rFonts w:ascii="Calibri Light" w:cs="Calibri Light" w:eastAsia="Calibri Light" w:hAnsi="Calibri Light"/>
          <w:b/>
          <w:bCs/>
          <w:color w:val="232221"/>
          <w:sz w:val="72"/>
          <w:szCs w:val="72"/>
        </w:rPr>
        <w:t xml:space="preserve">TRIMLY</w:t>
      </w:r>
    </w:p>
    <w:p>
      <w:pPr>
        <w:spacing w:after="2200"/>
        <w:jc w:val="center"/>
      </w:pPr>
      <w:r>
        <w:rPr>
          <w:rFonts w:ascii="Calibri" w:cs="Calibri" w:eastAsia="Calibri" w:hAnsi="Calibri"/>
          <w:color w:val="5B6E7A"/>
          <w:sz w:val="26"/>
          <w:szCs w:val="26"/>
        </w:rPr>
        <w:t xml:space="preserve">L'Art d'Élaguer l'Inutile &amp; Préserver l'Essentiel</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A34839"/>
          </w:tcPr>
          <w:p/>
        </w:tc>
      </w:tr>
    </w:tbl>
    <w:p>
      <w:pPr>
        <w:spacing w:before="400"/>
      </w:pPr>
    </w:p>
    <w:p>
      <w:pPr>
        <w:spacing w:after="80"/>
        <w:jc w:val="left"/>
      </w:pPr>
      <w:r>
        <w:rPr>
          <w:rFonts w:ascii="Calibri" w:cs="Calibri" w:eastAsia="Calibri" w:hAnsi="Calibri"/>
          <w:b/>
          <w:bCs/>
          <w:sz w:val="22"/>
          <w:szCs w:val="22"/>
        </w:rPr>
        <w:t xml:space="preserve">Présenté par : </w:t>
      </w:r>
      <w:r>
        <w:rPr>
          <w:rFonts w:ascii="Calibri" w:cs="Calibri" w:eastAsia="Calibri" w:hAnsi="Calibri"/>
          <w:sz w:val="22"/>
          <w:szCs w:val="22"/>
        </w:rPr>
        <w:t xml:space="preserve">Aya Naimi</w:t>
      </w:r>
    </w:p>
    <w:p>
      <w:pPr>
        <w:spacing w:after="80"/>
        <w:jc w:val="left"/>
      </w:pPr>
      <w:r>
        <w:rPr>
          <w:rFonts w:ascii="Calibri" w:cs="Calibri" w:eastAsia="Calibri" w:hAnsi="Calibri"/>
          <w:b/>
          <w:bCs/>
          <w:sz w:val="22"/>
          <w:szCs w:val="22"/>
        </w:rPr>
        <w:t xml:space="preserve">Filière : </w:t>
      </w:r>
      <w:r>
        <w:rPr>
          <w:rFonts w:ascii="Calibri" w:cs="Calibri" w:eastAsia="Calibri" w:hAnsi="Calibri"/>
          <w:sz w:val="22"/>
          <w:szCs w:val="22"/>
        </w:rPr>
        <w:t xml:space="preserve">Développement Digital / Option Génie Logiciel</w:t>
      </w:r>
    </w:p>
    <w:p>
      <w:pPr>
        <w:spacing w:after="1200"/>
        <w:jc w:val="left"/>
      </w:pPr>
      <w:r>
        <w:rPr>
          <w:rFonts w:ascii="Calibri" w:cs="Calibri" w:eastAsia="Calibri" w:hAnsi="Calibri"/>
          <w:b/>
          <w:bCs/>
          <w:sz w:val="22"/>
          <w:szCs w:val="22"/>
        </w:rPr>
        <w:t xml:space="preserve">Encadrant de projet : </w:t>
      </w:r>
      <w:r>
        <w:rPr>
          <w:rFonts w:ascii="Calibri" w:cs="Calibri" w:eastAsia="Calibri" w:hAnsi="Calibri"/>
          <w:sz w:val="22"/>
          <w:szCs w:val="22"/>
        </w:rPr>
        <w:t xml:space="preserve">Jury d'Évaluation de l'OFPPT</w:t>
      </w:r>
    </w:p>
    <w:p>
      <w:pPr>
        <w:jc w:val="center"/>
      </w:pPr>
      <w:r>
        <w:rPr>
          <w:rFonts w:ascii="Calibri" w:cs="Calibri" w:eastAsia="Calibri" w:hAnsi="Calibri"/>
          <w:b/>
          <w:bCs/>
          <w:color w:val="5B6E7A"/>
          <w:sz w:val="18"/>
          <w:szCs w:val="18"/>
        </w:rPr>
        <w:t xml:space="preserve">Année Académique : 2025 - 2026</w:t>
      </w:r>
    </w:p>
    <w:p>
      <w:r>
        <w:br w:type="page"/>
      </w:r>
    </w:p>
    <w:p>
      <w:pPr>
        <w:pStyle w:val="Heading1"/>
        <w:pBdr>
          <w:bottom w:val="single" w:color="A34839" w:sz="12"/>
        </w:pBdr>
        <w:spacing w:after="200" w:before="400"/>
      </w:pPr>
      <w:r>
        <w:rPr>
          <w:rFonts w:ascii="Calibri Light" w:cs="Calibri Light" w:eastAsia="Calibri Light" w:hAnsi="Calibri Light"/>
          <w:b/>
          <w:bCs/>
          <w:color w:val="A34839"/>
          <w:sz w:val="36"/>
          <w:szCs w:val="36"/>
        </w:rPr>
        <w:t xml:space="preserve">Sommaire</w:t>
      </w:r>
    </w:p>
    <w:p>
      <w:pPr>
        <w:spacing w:before="200"/>
      </w:pPr>
    </w:p>
    <w:p>
      <w:pPr>
        <w:spacing w:after="100" w:before="100"/>
      </w:pPr>
      <w:r>
        <w:rPr>
          <w:rFonts w:ascii="Calibri" w:cs="Calibri" w:eastAsia="Calibri" w:hAnsi="Calibri"/>
          <w:b/>
          <w:bCs/>
          <w:sz w:val="22"/>
          <w:szCs w:val="22"/>
        </w:rPr>
        <w:t xml:space="preserve">1. Résumé Exécutif / Executive Summary</w:t>
      </w:r>
      <w:r>
        <w:rPr>
          <w:rFonts w:ascii="Calibri" w:cs="Calibri" w:eastAsia="Calibri" w:hAnsi="Calibri"/>
          <w:color w:val="5B6E7A"/>
          <w:sz w:val="22"/>
          <w:szCs w:val="22"/>
        </w:rPr>
        <w:t xml:space="preserve"> ........................................................................... </w:t>
      </w:r>
      <w:r>
        <w:rPr>
          <w:rFonts w:ascii="Calibri" w:cs="Calibri" w:eastAsia="Calibri" w:hAnsi="Calibri"/>
          <w:b/>
          <w:bCs/>
          <w:color w:val="A34839"/>
          <w:sz w:val="22"/>
          <w:szCs w:val="22"/>
        </w:rPr>
        <w:t xml:space="preserve">3</w:t>
      </w:r>
    </w:p>
    <w:p>
      <w:pPr>
        <w:spacing w:after="100" w:before="100"/>
      </w:pPr>
      <w:r>
        <w:rPr>
          <w:rFonts w:ascii="Calibri" w:cs="Calibri" w:eastAsia="Calibri" w:hAnsi="Calibri"/>
          <w:b/>
          <w:bCs/>
          <w:sz w:val="22"/>
          <w:szCs w:val="22"/>
        </w:rPr>
        <w:t xml:space="preserve">2. Problème &amp; Opportunité / Problem &amp; Opportunity</w:t>
      </w:r>
      <w:r>
        <w:rPr>
          <w:rFonts w:ascii="Calibri" w:cs="Calibri" w:eastAsia="Calibri" w:hAnsi="Calibri"/>
          <w:color w:val="5B6E7A"/>
          <w:sz w:val="22"/>
          <w:szCs w:val="22"/>
        </w:rPr>
        <w:t xml:space="preserve"> ............................................................... </w:t>
      </w:r>
      <w:r>
        <w:rPr>
          <w:rFonts w:ascii="Calibri" w:cs="Calibri" w:eastAsia="Calibri" w:hAnsi="Calibri"/>
          <w:b/>
          <w:bCs/>
          <w:color w:val="A34839"/>
          <w:sz w:val="22"/>
          <w:szCs w:val="22"/>
        </w:rPr>
        <w:t xml:space="preserve">4</w:t>
      </w:r>
    </w:p>
    <w:p>
      <w:pPr>
        <w:spacing w:after="100" w:before="100"/>
      </w:pPr>
      <w:r>
        <w:rPr>
          <w:rFonts w:ascii="Calibri" w:cs="Calibri" w:eastAsia="Calibri" w:hAnsi="Calibri"/>
          <w:b/>
          <w:bCs/>
          <w:sz w:val="22"/>
          <w:szCs w:val="22"/>
        </w:rPr>
        <w:t xml:space="preserve">3. Solution &amp; Produit (MVP) / Solution &amp; Product</w:t>
      </w:r>
      <w:r>
        <w:rPr>
          <w:rFonts w:ascii="Calibri" w:cs="Calibri" w:eastAsia="Calibri" w:hAnsi="Calibri"/>
          <w:color w:val="5B6E7A"/>
          <w:sz w:val="22"/>
          <w:szCs w:val="22"/>
        </w:rPr>
        <w:t xml:space="preserve"> ................................................................. </w:t>
      </w:r>
      <w:r>
        <w:rPr>
          <w:rFonts w:ascii="Calibri" w:cs="Calibri" w:eastAsia="Calibri" w:hAnsi="Calibri"/>
          <w:b/>
          <w:bCs/>
          <w:color w:val="A34839"/>
          <w:sz w:val="22"/>
          <w:szCs w:val="22"/>
        </w:rPr>
        <w:t xml:space="preserve">5</w:t>
      </w:r>
    </w:p>
    <w:p>
      <w:pPr>
        <w:spacing w:after="100" w:before="100"/>
      </w:pPr>
      <w:r>
        <w:rPr>
          <w:rFonts w:ascii="Calibri" w:cs="Calibri" w:eastAsia="Calibri" w:hAnsi="Calibri"/>
          <w:b/>
          <w:bCs/>
          <w:sz w:val="22"/>
          <w:szCs w:val="22"/>
        </w:rPr>
        <w:t xml:space="preserve">4. Étude de Marché / Market Study</w:t>
      </w:r>
      <w:r>
        <w:rPr>
          <w:rFonts w:ascii="Calibri" w:cs="Calibri" w:eastAsia="Calibri" w:hAnsi="Calibri"/>
          <w:color w:val="5B6E7A"/>
          <w:sz w:val="22"/>
          <w:szCs w:val="22"/>
        </w:rPr>
        <w:t xml:space="preserve"> .................................................................................... </w:t>
      </w:r>
      <w:r>
        <w:rPr>
          <w:rFonts w:ascii="Calibri" w:cs="Calibri" w:eastAsia="Calibri" w:hAnsi="Calibri"/>
          <w:b/>
          <w:bCs/>
          <w:color w:val="A34839"/>
          <w:sz w:val="22"/>
          <w:szCs w:val="22"/>
        </w:rPr>
        <w:t xml:space="preserve">7</w:t>
      </w:r>
    </w:p>
    <w:p>
      <w:pPr>
        <w:spacing w:after="100" w:before="100"/>
      </w:pPr>
      <w:r>
        <w:rPr>
          <w:rFonts w:ascii="Calibri" w:cs="Calibri" w:eastAsia="Calibri" w:hAnsi="Calibri"/>
          <w:b/>
          <w:bCs/>
          <w:sz w:val="22"/>
          <w:szCs w:val="22"/>
        </w:rPr>
        <w:t xml:space="preserve">5. Stratégie Marketing &amp; Commerciale / Marketing &amp; Sales</w:t>
      </w:r>
      <w:r>
        <w:rPr>
          <w:rFonts w:ascii="Calibri" w:cs="Calibri" w:eastAsia="Calibri" w:hAnsi="Calibri"/>
          <w:color w:val="5B6E7A"/>
          <w:sz w:val="22"/>
          <w:szCs w:val="22"/>
        </w:rPr>
        <w:t xml:space="preserve"> ...................................................... </w:t>
      </w:r>
      <w:r>
        <w:rPr>
          <w:rFonts w:ascii="Calibri" w:cs="Calibri" w:eastAsia="Calibri" w:hAnsi="Calibri"/>
          <w:b/>
          <w:bCs/>
          <w:color w:val="A34839"/>
          <w:sz w:val="22"/>
          <w:szCs w:val="22"/>
        </w:rPr>
        <w:t xml:space="preserve">9</w:t>
      </w:r>
    </w:p>
    <w:p>
      <w:pPr>
        <w:spacing w:after="100" w:before="100"/>
      </w:pPr>
      <w:r>
        <w:rPr>
          <w:rFonts w:ascii="Calibri" w:cs="Calibri" w:eastAsia="Calibri" w:hAnsi="Calibri"/>
          <w:b/>
          <w:bCs/>
          <w:sz w:val="22"/>
          <w:szCs w:val="22"/>
        </w:rPr>
        <w:t xml:space="preserve">6. Modèle Économique &amp; Plan Financier / Financials</w:t>
      </w:r>
      <w:r>
        <w:rPr>
          <w:rFonts w:ascii="Calibri" w:cs="Calibri" w:eastAsia="Calibri" w:hAnsi="Calibri"/>
          <w:color w:val="5B6E7A"/>
          <w:sz w:val="22"/>
          <w:szCs w:val="22"/>
        </w:rPr>
        <w:t xml:space="preserve"> .............................................................. </w:t>
      </w:r>
      <w:r>
        <w:rPr>
          <w:rFonts w:ascii="Calibri" w:cs="Calibri" w:eastAsia="Calibri" w:hAnsi="Calibri"/>
          <w:b/>
          <w:bCs/>
          <w:color w:val="A34839"/>
          <w:sz w:val="22"/>
          <w:szCs w:val="22"/>
        </w:rPr>
        <w:t xml:space="preserve">11</w:t>
      </w:r>
    </w:p>
    <w:p>
      <w:pPr>
        <w:spacing w:after="100" w:before="100"/>
      </w:pPr>
      <w:r>
        <w:rPr>
          <w:rFonts w:ascii="Calibri" w:cs="Calibri" w:eastAsia="Calibri" w:hAnsi="Calibri"/>
          <w:b/>
          <w:bCs/>
          <w:sz w:val="22"/>
          <w:szCs w:val="22"/>
        </w:rPr>
        <w:t xml:space="preserve">7. Plan Opérationnel / Operations</w:t>
      </w:r>
      <w:r>
        <w:rPr>
          <w:rFonts w:ascii="Calibri" w:cs="Calibri" w:eastAsia="Calibri" w:hAnsi="Calibri"/>
          <w:color w:val="5B6E7A"/>
          <w:sz w:val="22"/>
          <w:szCs w:val="22"/>
        </w:rPr>
        <w:t xml:space="preserve"> ..................................................................................... </w:t>
      </w:r>
      <w:r>
        <w:rPr>
          <w:rFonts w:ascii="Calibri" w:cs="Calibri" w:eastAsia="Calibri" w:hAnsi="Calibri"/>
          <w:b/>
          <w:bCs/>
          <w:color w:val="A34839"/>
          <w:sz w:val="22"/>
          <w:szCs w:val="22"/>
        </w:rPr>
        <w:t xml:space="preserve">13</w:t>
      </w:r>
    </w:p>
    <w:p>
      <w:pPr>
        <w:spacing w:after="100" w:before="100"/>
      </w:pPr>
      <w:r>
        <w:rPr>
          <w:rFonts w:ascii="Calibri" w:cs="Calibri" w:eastAsia="Calibri" w:hAnsi="Calibri"/>
          <w:b/>
          <w:bCs/>
          <w:sz w:val="22"/>
          <w:szCs w:val="22"/>
        </w:rPr>
        <w:t xml:space="preserve">8. Équipe / Team</w:t>
      </w:r>
      <w:r>
        <w:rPr>
          <w:rFonts w:ascii="Calibri" w:cs="Calibri" w:eastAsia="Calibri" w:hAnsi="Calibri"/>
          <w:color w:val="5B6E7A"/>
          <w:sz w:val="22"/>
          <w:szCs w:val="22"/>
        </w:rPr>
        <w:t xml:space="preserve"> ........................................................................................................... </w:t>
      </w:r>
      <w:r>
        <w:rPr>
          <w:rFonts w:ascii="Calibri" w:cs="Calibri" w:eastAsia="Calibri" w:hAnsi="Calibri"/>
          <w:b/>
          <w:bCs/>
          <w:color w:val="A34839"/>
          <w:sz w:val="22"/>
          <w:szCs w:val="22"/>
        </w:rPr>
        <w:t xml:space="preserve">14</w:t>
      </w:r>
    </w:p>
    <w:p>
      <w:pPr>
        <w:spacing w:after="100" w:before="100"/>
      </w:pPr>
      <w:r>
        <w:rPr>
          <w:rFonts w:ascii="Calibri" w:cs="Calibri" w:eastAsia="Calibri" w:hAnsi="Calibri"/>
          <w:b/>
          <w:bCs/>
          <w:sz w:val="22"/>
          <w:szCs w:val="22"/>
        </w:rPr>
        <w:t xml:space="preserve">9. Feuille de Route &amp; Risques / Roadmap &amp; Risks</w:t>
      </w:r>
      <w:r>
        <w:rPr>
          <w:rFonts w:ascii="Calibri" w:cs="Calibri" w:eastAsia="Calibri" w:hAnsi="Calibri"/>
          <w:color w:val="5B6E7A"/>
          <w:sz w:val="22"/>
          <w:szCs w:val="22"/>
        </w:rPr>
        <w:t xml:space="preserve"> .................................................................... </w:t>
      </w:r>
      <w:r>
        <w:rPr>
          <w:rFonts w:ascii="Calibri" w:cs="Calibri" w:eastAsia="Calibri" w:hAnsi="Calibri"/>
          <w:b/>
          <w:bCs/>
          <w:color w:val="A34839"/>
          <w:sz w:val="22"/>
          <w:szCs w:val="22"/>
        </w:rPr>
        <w:t xml:space="preserve">15</w:t>
      </w:r>
    </w:p>
    <w:p>
      <w:pPr>
        <w:spacing w:after="100" w:before="100"/>
      </w:pPr>
      <w:r>
        <w:rPr>
          <w:rFonts w:ascii="Calibri" w:cs="Calibri" w:eastAsia="Calibri" w:hAnsi="Calibri"/>
          <w:b/>
          <w:bCs/>
          <w:sz w:val="22"/>
          <w:szCs w:val="22"/>
        </w:rPr>
        <w:t xml:space="preserve">10. Annexes / Appendices</w:t>
      </w:r>
      <w:r>
        <w:rPr>
          <w:rFonts w:ascii="Calibri" w:cs="Calibri" w:eastAsia="Calibri" w:hAnsi="Calibri"/>
          <w:color w:val="5B6E7A"/>
          <w:sz w:val="22"/>
          <w:szCs w:val="22"/>
        </w:rPr>
        <w:t xml:space="preserve"> ................................................................................................ </w:t>
      </w:r>
      <w:r>
        <w:rPr>
          <w:rFonts w:ascii="Calibri" w:cs="Calibri" w:eastAsia="Calibri" w:hAnsi="Calibri"/>
          <w:b/>
          <w:bCs/>
          <w:color w:val="A34839"/>
          <w:sz w:val="22"/>
          <w:szCs w:val="22"/>
        </w:rPr>
        <w:t xml:space="preserve">16</w:t>
      </w:r>
    </w:p>
    <w:p>
      <w:r>
        <w:br w:type="page"/>
      </w:r>
    </w:p>
    <w:p>
      <w:pPr>
        <w:pStyle w:val="Heading1"/>
        <w:pBdr>
          <w:bottom w:val="single" w:color="A34839" w:sz="12"/>
        </w:pBdr>
        <w:spacing w:after="200" w:before="400"/>
      </w:pPr>
      <w:r>
        <w:rPr>
          <w:rFonts w:ascii="Calibri Light" w:cs="Calibri Light" w:eastAsia="Calibri Light" w:hAnsi="Calibri Light"/>
          <w:b/>
          <w:bCs/>
          <w:color w:val="A34839"/>
          <w:sz w:val="36"/>
          <w:szCs w:val="36"/>
        </w:rPr>
        <w:t xml:space="preserve">1. Résumé Exécutif</w:t>
      </w:r>
    </w:p>
    <w:p>
      <w:pPr>
        <w:spacing w:after="140" w:before="140" w:line="300"/>
        <w:jc w:val="left"/>
      </w:pPr>
      <w:r>
        <w:rPr>
          <w:rFonts w:ascii="Calibri" w:cs="Calibri" w:eastAsia="Calibri" w:hAnsi="Calibri"/>
          <w:b w:val="false"/>
          <w:bCs w:val="false"/>
          <w:color w:val="232221"/>
          <w:sz w:val="22"/>
          <w:szCs w:val="22"/>
        </w:rPr>
        <w:t xml:space="preserve">Trimly est une application mobile innovante de finances personnelles axée sur la résolution de la fatigue de l'abonnement (subscription fatigue). Grâce à une architecture performante et moderne construite en React Native et connectée aux services Supabase, Trimly centralise le suivi des abonnements sans nécessiter d'accès bancaires intrusifs. L'application alerte les utilisateurs avant chaque échéance de prélèvement et simplifie les démarches en automatisant le processus complet de résiliation, y compris l'envoi de recommandé postal papier (LRAR).</w:t>
      </w:r>
    </w:p>
    <w:p>
      <w:pPr>
        <w:spacing w:before="12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thick" w:color="A34839" w:sz="30"/>
              <w:bottom w:val="none"/>
              <w:right w:val="none"/>
            </w:tcBorders>
            <w:shd w:fill="F7F5F0"/>
            <w:tcMar>
              <w:top w:type="dxa" w:w="200"/>
              <w:left w:type="dxa" w:w="240"/>
              <w:bottom w:type="dxa" w:w="200"/>
              <w:right w:type="dxa" w:w="200"/>
            </w:tcMar>
          </w:tcPr>
          <w:p>
            <w:pPr>
              <w:spacing w:after="120" w:before="120" w:line="260"/>
            </w:pPr>
            <w:r>
              <w:rPr>
                <w:rFonts w:ascii="Calibri" w:cs="Calibri" w:eastAsia="Calibri" w:hAnsi="Calibri"/>
                <w:color w:val="232221"/>
                <w:sz w:val="21"/>
                <w:szCs w:val="21"/>
              </w:rPr>
              <w:t xml:space="preserve">« Notre vision : redonner aux foyers la maîtrise absolue de leur budget mensuel en éliminant les abonnements zombies avec le moins de friction possible, en mariant intelligence artificielle et logistique postale automatique. »</w:t>
            </w:r>
          </w:p>
        </w:tc>
      </w:tr>
    </w:tbl>
    <w:p>
      <w:pPr>
        <w:spacing w:before="120"/>
      </w:pPr>
    </w:p>
    <w:p>
      <w:pPr>
        <w:pStyle w:val="Heading2"/>
        <w:spacing w:after="140" w:before="280"/>
      </w:pPr>
      <w:r>
        <w:rPr>
          <w:rFonts w:ascii="Calibri Light" w:cs="Calibri Light" w:eastAsia="Calibri Light" w:hAnsi="Calibri Light"/>
          <w:b/>
          <w:bCs/>
          <w:color w:val="232221"/>
          <w:sz w:val="26"/>
          <w:szCs w:val="26"/>
        </w:rPr>
        <w:t xml:space="preserve">Fiche Synthétique du Projet</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Qui et quoi : </w:t>
      </w:r>
      <w:r>
        <w:rPr>
          <w:rFonts w:ascii="Calibri" w:cs="Calibri" w:eastAsia="Calibri" w:hAnsi="Calibri"/>
          <w:color w:val="232221"/>
          <w:sz w:val="22"/>
          <w:szCs w:val="22"/>
        </w:rPr>
        <w:t xml:space="preserve">Trimly est un agrégateur d'abonnements intelligents. L'application propose un scan automatique des boîtes e-mails (Gmail/Outlook) via OAuth sécurisé en lecture seule, suivi d'une classification par IA (Llama 3 sur Groq API) pour identifier et structurer les services.</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Le problème résolu : </w:t>
      </w:r>
      <w:r>
        <w:rPr>
          <w:rFonts w:ascii="Calibri" w:cs="Calibri" w:eastAsia="Calibri" w:hAnsi="Calibri"/>
          <w:color w:val="232221"/>
          <w:sz w:val="22"/>
          <w:szCs w:val="22"/>
        </w:rPr>
        <w:t xml:space="preserve">Les renouvellements automatiques non désirés d'essais gratuits et l'accumulation d'abonnements inutilisés (« abonnements zombies ») représentant entre 120 € (1 200 DH) et 300 € (3 000 DH) de pertes sèches par an et par utilisateur.</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La proposition de valeur : </w:t>
      </w:r>
      <w:r>
        <w:rPr>
          <w:rFonts w:ascii="Calibri" w:cs="Calibri" w:eastAsia="Calibri" w:hAnsi="Calibri"/>
          <w:color w:val="232221"/>
          <w:sz w:val="22"/>
          <w:szCs w:val="22"/>
        </w:rPr>
        <w:t xml:space="preserve">Une interface épurée, des notifications préventives intelligentes et la résiliation officielle recommandée (LRAR) en 1-clic générée par un workflow n8n et l'API Maileva de La Poste.</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Le modèle économique : </w:t>
      </w:r>
      <w:r>
        <w:rPr>
          <w:rFonts w:ascii="Calibri" w:cs="Calibri" w:eastAsia="Calibri" w:hAnsi="Calibri"/>
          <w:color w:val="232221"/>
          <w:sz w:val="22"/>
          <w:szCs w:val="22"/>
        </w:rPr>
        <w:t xml:space="preserve">Un modèle Freemium incluant un abonnement Trimly Pro à 4,99 € / 50 DH par mois ou 49,99 € / 500 DH par an (scan mail IA et alertes illimitées), complété par une facturation de recommandé postal à l'acte à 7,99 € / 80 DH (marge brute unitaire de 2,49 € / 25 DH).</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Traction &amp; MVP : </w:t>
      </w:r>
      <w:r>
        <w:rPr>
          <w:rFonts w:ascii="Calibri" w:cs="Calibri" w:eastAsia="Calibri" w:hAnsi="Calibri"/>
          <w:color w:val="232221"/>
          <w:sz w:val="22"/>
          <w:szCs w:val="22"/>
        </w:rPr>
        <w:t xml:space="preserve">Le prototype MVP sous React Native/Expo et Supabase est prêt. Notre landing page a déjà enregistré un taux de conversion de 12% sur les inscriptions d'accès anticipé.</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La demande : </w:t>
      </w:r>
      <w:r>
        <w:rPr>
          <w:rFonts w:ascii="Calibri" w:cs="Calibri" w:eastAsia="Calibri" w:hAnsi="Calibri"/>
          <w:color w:val="232221"/>
          <w:sz w:val="22"/>
          <w:szCs w:val="22"/>
        </w:rPr>
        <w:t xml:space="preserve">Un financement d'amorçage de 150 000 DH afin de couvrir les frais de validation technique Google OAuth CASA Tier 2 et d'initier nos campagnes de marketing d'acquisition.</w:t>
      </w:r>
    </w:p>
    <w:p>
      <w:r>
        <w:br w:type="page"/>
      </w:r>
    </w:p>
    <w:p>
      <w:pPr>
        <w:pStyle w:val="Heading1"/>
        <w:pBdr>
          <w:bottom w:val="single" w:color="A34839" w:sz="12"/>
        </w:pBdr>
        <w:spacing w:after="200" w:before="400"/>
      </w:pPr>
      <w:r>
        <w:rPr>
          <w:rFonts w:ascii="Calibri Light" w:cs="Calibri Light" w:eastAsia="Calibri Light" w:hAnsi="Calibri Light"/>
          <w:b/>
          <w:bCs/>
          <w:color w:val="A34839"/>
          <w:sz w:val="36"/>
          <w:szCs w:val="36"/>
        </w:rPr>
        <w:t xml:space="preserve">2. Problème et Opportunité</w:t>
      </w:r>
    </w:p>
    <w:p>
      <w:pPr>
        <w:spacing w:after="140" w:before="140" w:line="300"/>
        <w:jc w:val="left"/>
      </w:pPr>
      <w:r>
        <w:rPr>
          <w:rFonts w:ascii="Calibri" w:cs="Calibri" w:eastAsia="Calibri" w:hAnsi="Calibri"/>
          <w:b w:val="false"/>
          <w:bCs w:val="false"/>
          <w:color w:val="232221"/>
          <w:sz w:val="22"/>
          <w:szCs w:val="22"/>
        </w:rPr>
        <w:t xml:space="preserve">La transition des modes de consommation vers le modèle récurrent de l'abonnement s'est accélérée. Aujourd'hui, les consommateurs possèdent des abonnements dans tous les aspects de leur vie (divertissement, stockage, sport, services professionnels), ce qui introduit une fragmentation massive de leurs charges financières.</w:t>
      </w:r>
    </w:p>
    <w:p>
      <w:pPr>
        <w:pStyle w:val="Heading2"/>
        <w:spacing w:after="140" w:before="280"/>
      </w:pPr>
      <w:r>
        <w:rPr>
          <w:rFonts w:ascii="Calibri Light" w:cs="Calibri Light" w:eastAsia="Calibri Light" w:hAnsi="Calibri Light"/>
          <w:b/>
          <w:bCs/>
          <w:color w:val="232221"/>
          <w:sz w:val="26"/>
          <w:szCs w:val="26"/>
        </w:rPr>
        <w:t xml:space="preserve">Le Phénomène de la Fatigue de l'Abonnement</w:t>
      </w:r>
    </w:p>
    <w:p>
      <w:pPr>
        <w:spacing w:after="140" w:before="140" w:line="300"/>
        <w:jc w:val="left"/>
      </w:pPr>
      <w:r>
        <w:rPr>
          <w:rFonts w:ascii="Calibri" w:cs="Calibri" w:eastAsia="Calibri" w:hAnsi="Calibri"/>
          <w:b w:val="false"/>
          <w:bCs w:val="false"/>
          <w:color w:val="232221"/>
          <w:sz w:val="22"/>
          <w:szCs w:val="22"/>
        </w:rPr>
        <w:t xml:space="preserve">Le marché de l'abonnement connaît une croissance soutenue de 18% par an. Le foyer européen moyen gère entre 5 et 10 abonnements simultanés, représentant une dépense cumulée mensuelle de 60 € (600 DH) à 120 € (1 200 DH). Cette dispersion conduit à une asymétrie d'attention : le consommateur oublie la somme de ses engagements au fil de l'année. Les prélèvements automatiques continuent de courir sans validation, alimentant les « abonnements zombies » (services payés mais inutilisés).</w:t>
      </w:r>
    </w:p>
    <w:p>
      <w:pPr>
        <w:pStyle w:val="Heading2"/>
        <w:spacing w:after="140" w:before="280"/>
      </w:pPr>
      <w:r>
        <w:rPr>
          <w:rFonts w:ascii="Calibri Light" w:cs="Calibri Light" w:eastAsia="Calibri Light" w:hAnsi="Calibri Light"/>
          <w:b/>
          <w:bCs/>
          <w:color w:val="232221"/>
          <w:sz w:val="26"/>
          <w:szCs w:val="26"/>
        </w:rPr>
        <w:t xml:space="preserve">Résultats de notre Validation Terrain</w:t>
      </w:r>
    </w:p>
    <w:p>
      <w:pPr>
        <w:spacing w:after="140" w:before="140" w:line="300"/>
        <w:jc w:val="left"/>
      </w:pPr>
      <w:r>
        <w:rPr>
          <w:rFonts w:ascii="Calibri" w:cs="Calibri" w:eastAsia="Calibri" w:hAnsi="Calibri"/>
          <w:b w:val="false"/>
          <w:bCs w:val="false"/>
          <w:color w:val="232221"/>
          <w:sz w:val="22"/>
          <w:szCs w:val="22"/>
        </w:rPr>
        <w:t xml:space="preserve">Pour quantifier ce problème, nous avons mené une enquête auprès de 50 consommateurs cibles (actifs urbains de 20-40 ans et étudiants) :</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Manquement de résiliation d'essais : </w:t>
      </w:r>
      <w:r>
        <w:rPr>
          <w:rFonts w:ascii="Calibri" w:cs="Calibri" w:eastAsia="Calibri" w:hAnsi="Calibri"/>
          <w:color w:val="232221"/>
          <w:sz w:val="22"/>
          <w:szCs w:val="22"/>
        </w:rPr>
        <w:t xml:space="preserve">84% des répondants ont admis avoir déjà manqué l'échéance de résiliation d'un essai gratuit et avoir été facturés de mois d'abonnements supplémentaires non désirés.</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Présence de services zombies : </w:t>
      </w:r>
      <w:r>
        <w:rPr>
          <w:rFonts w:ascii="Calibri" w:cs="Calibri" w:eastAsia="Calibri" w:hAnsi="Calibri"/>
          <w:color w:val="232221"/>
          <w:sz w:val="22"/>
          <w:szCs w:val="22"/>
        </w:rPr>
        <w:t xml:space="preserve">68% des participants possèdent au moins un abonnement actif qu'ils n'ont pas utilisé au cours des trois derniers mois.</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Friction de désabonnement : </w:t>
      </w:r>
      <w:r>
        <w:rPr>
          <w:rFonts w:ascii="Calibri" w:cs="Calibri" w:eastAsia="Calibri" w:hAnsi="Calibri"/>
          <w:color w:val="232221"/>
          <w:sz w:val="22"/>
          <w:szCs w:val="22"/>
        </w:rPr>
        <w:t xml:space="preserve">92% d'entre eux qualifient les démarches de désinscription de complexes, lentes ou opaques (ex. salles de sport, abonnements presse nécessitant un courrier recommandé).</w:t>
      </w:r>
    </w:p>
    <w:p>
      <w:pPr>
        <w:pStyle w:val="Heading2"/>
        <w:spacing w:after="140" w:before="280"/>
      </w:pPr>
      <w:r>
        <w:rPr>
          <w:rFonts w:ascii="Calibri Light" w:cs="Calibri Light" w:eastAsia="Calibri Light" w:hAnsi="Calibri Light"/>
          <w:b/>
          <w:bCs/>
          <w:color w:val="232221"/>
          <w:sz w:val="26"/>
          <w:szCs w:val="26"/>
        </w:rPr>
        <w:t xml:space="preserve">L'Opportunité Commerciale</w:t>
      </w:r>
    </w:p>
    <w:p>
      <w:pPr>
        <w:spacing w:after="140" w:before="140" w:line="300"/>
        <w:jc w:val="left"/>
      </w:pPr>
      <w:r>
        <w:rPr>
          <w:rFonts w:ascii="Calibri" w:cs="Calibri" w:eastAsia="Calibri" w:hAnsi="Calibri"/>
          <w:b w:val="false"/>
          <w:bCs w:val="false"/>
          <w:color w:val="232221"/>
          <w:sz w:val="22"/>
          <w:szCs w:val="22"/>
        </w:rPr>
        <w:t xml:space="preserve">L'inactivité commerciale et les reconductions non désirées coûtent entre 120 € (1 200 DH) et 300 € (3 000 DH) par an par consommateur. En pleine période d'inflation, les foyers recherchent des solutions concrètes pour optimiser leur budget. Trimly répond à cette demande grâce à une technologie d'extraction IA automatique des factures d'e-mails, évitant ainsi le recours à des connexions bancaires intrusives qui freinent l'adoption par les utilisateurs par crainte pour leur sécurité.</w:t>
      </w:r>
    </w:p>
    <w:p>
      <w:r>
        <w:br w:type="page"/>
      </w:r>
    </w:p>
    <w:p>
      <w:pPr>
        <w:pStyle w:val="Heading1"/>
        <w:pBdr>
          <w:bottom w:val="single" w:color="A34839" w:sz="12"/>
        </w:pBdr>
        <w:spacing w:after="200" w:before="400"/>
      </w:pPr>
      <w:r>
        <w:rPr>
          <w:rFonts w:ascii="Calibri Light" w:cs="Calibri Light" w:eastAsia="Calibri Light" w:hAnsi="Calibri Light"/>
          <w:b/>
          <w:bCs/>
          <w:color w:val="A34839"/>
          <w:sz w:val="36"/>
          <w:szCs w:val="36"/>
        </w:rPr>
        <w:t xml:space="preserve">3. Solution et Produit (MVP)</w:t>
      </w:r>
    </w:p>
    <w:p>
      <w:pPr>
        <w:spacing w:after="140" w:before="140" w:line="300"/>
        <w:jc w:val="left"/>
      </w:pPr>
      <w:r>
        <w:rPr>
          <w:rFonts w:ascii="Calibri" w:cs="Calibri" w:eastAsia="Calibri" w:hAnsi="Calibri"/>
          <w:b w:val="false"/>
          <w:bCs w:val="false"/>
          <w:color w:val="232221"/>
          <w:sz w:val="22"/>
          <w:szCs w:val="22"/>
        </w:rPr>
        <w:t xml:space="preserve">Trimly se positionne comme un assistant financier intelligent et respectueux de la vie privée. Il extrait les données d'abonnement directement depuis la boîte mail de l'utilisateur de manière sécurisée et consentie, sans exiger ses accès bancaires.</w:t>
      </w:r>
    </w:p>
    <w:p>
      <w:pPr>
        <w:pStyle w:val="Heading2"/>
        <w:spacing w:after="140" w:before="280"/>
      </w:pPr>
      <w:r>
        <w:rPr>
          <w:rFonts w:ascii="Calibri Light" w:cs="Calibri Light" w:eastAsia="Calibri Light" w:hAnsi="Calibri Light"/>
          <w:b/>
          <w:bCs/>
          <w:color w:val="232221"/>
          <w:sz w:val="26"/>
          <w:szCs w:val="26"/>
        </w:rPr>
        <w:t xml:space="preserve">Les Piliers Fonctionnels de l'Application</w:t>
      </w:r>
    </w:p>
    <w:p>
      <w:pPr>
        <w:spacing w:after="140" w:before="140" w:line="300"/>
        <w:jc w:val="left"/>
      </w:pPr>
      <w:r>
        <w:rPr>
          <w:rFonts w:ascii="Calibri" w:cs="Calibri" w:eastAsia="Calibri" w:hAnsi="Calibri"/>
          <w:b w:val="false"/>
          <w:bCs w:val="false"/>
          <w:color w:val="232221"/>
          <w:sz w:val="22"/>
          <w:szCs w:val="22"/>
        </w:rPr>
        <w:t xml:space="preserve">L'application mobile de Trimly repose sur trois briques logicielles :</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1. Extraction automatique par IA (Email Scanner) : </w:t>
      </w:r>
      <w:r>
        <w:rPr>
          <w:rFonts w:ascii="Calibri" w:cs="Calibri" w:eastAsia="Calibri" w:hAnsi="Calibri"/>
          <w:color w:val="232221"/>
          <w:sz w:val="22"/>
          <w:szCs w:val="22"/>
        </w:rPr>
        <w:t xml:space="preserve">L'utilisateur connecte son compte de messagerie en lecture seule (scopes gmail.readonly). Notre modèle IA Llama 3 (sur Groq Cloud) analyse les e-mails de facturation pour extraire le marchand, le prix, la date d'échéance et la périodicité de prélèvement. Les données sont ajoutées automatiquement au portefeuille.</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2. Surveillance active &amp; Notifications : </w:t>
      </w:r>
      <w:r>
        <w:rPr>
          <w:rFonts w:ascii="Calibri" w:cs="Calibri" w:eastAsia="Calibri" w:hAnsi="Calibri"/>
          <w:color w:val="232221"/>
          <w:sz w:val="22"/>
          <w:szCs w:val="22"/>
        </w:rPr>
        <w:t xml:space="preserve">Trimly génère des rappels locaux (Expo Notifications) 3 jours, 2 jours et le jour même du prélèvement. Pour les essais gratuits, une alerte spécifique est programmée 48 heures avant la fin pour éviter toute facturation surprise.</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3. Résiliation en 1-clic (LRAR) : </w:t>
      </w:r>
      <w:r>
        <w:rPr>
          <w:rFonts w:ascii="Calibri" w:cs="Calibri" w:eastAsia="Calibri" w:hAnsi="Calibri"/>
          <w:color w:val="232221"/>
          <w:sz w:val="22"/>
          <w:szCs w:val="22"/>
        </w:rPr>
        <w:t xml:space="preserve">L'application génère une lettre recommandée avec accusé de réception (LRAR) conforme à la réglementation. Le workflow n8n transmet le PDF binaire à l'API de Maileva (La Poste) qui imprime, met sous pli et expédie physiquement le courrier papier recommandé.</w:t>
      </w:r>
    </w:p>
    <w:p>
      <w:pPr>
        <w:pStyle w:val="Heading2"/>
        <w:spacing w:after="140" w:before="280"/>
      </w:pPr>
      <w:r>
        <w:rPr>
          <w:rFonts w:ascii="Calibri Light" w:cs="Calibri Light" w:eastAsia="Calibri Light" w:hAnsi="Calibri Light"/>
          <w:b/>
          <w:bCs/>
          <w:color w:val="232221"/>
          <w:sz w:val="26"/>
          <w:szCs w:val="26"/>
        </w:rPr>
        <w:t xml:space="preserve">Architecture Logicielle du MVP</w:t>
      </w:r>
    </w:p>
    <w:p>
      <w:pPr>
        <w:spacing w:after="140" w:before="140" w:line="300"/>
        <w:jc w:val="left"/>
      </w:pPr>
      <w:r>
        <w:rPr>
          <w:rFonts w:ascii="Calibri" w:cs="Calibri" w:eastAsia="Calibri" w:hAnsi="Calibri"/>
          <w:b w:val="false"/>
          <w:bCs w:val="false"/>
          <w:color w:val="232221"/>
          <w:sz w:val="22"/>
          <w:szCs w:val="22"/>
        </w:rPr>
        <w:t xml:space="preserve">L'architecture a été conçue pour garantir d'excellentes performances et une sécurité totale :</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Interface mobile : </w:t>
      </w:r>
      <w:r>
        <w:rPr>
          <w:rFonts w:ascii="Calibri" w:cs="Calibri" w:eastAsia="Calibri" w:hAnsi="Calibri"/>
          <w:color w:val="232221"/>
          <w:sz w:val="22"/>
          <w:szCs w:val="22"/>
        </w:rPr>
        <w:t xml:space="preserve">Bâtie en React Native 0.81 et Expo SDK 54, offrant une fluidité native sur iOS et Android.</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Backend serverless : </w:t>
      </w:r>
      <w:r>
        <w:rPr>
          <w:rFonts w:ascii="Calibri" w:cs="Calibri" w:eastAsia="Calibri" w:hAnsi="Calibri"/>
          <w:color w:val="232221"/>
          <w:sz w:val="22"/>
          <w:szCs w:val="22"/>
        </w:rPr>
        <w:t xml:space="preserve">Intégration de Supabase avec Row-Level Security (RLS) pour isoler hermétiquement les profils des utilisateurs.</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Mode local-first (Invité) : </w:t>
      </w:r>
      <w:r>
        <w:rPr>
          <w:rFonts w:ascii="Calibri" w:cs="Calibri" w:eastAsia="Calibri" w:hAnsi="Calibri"/>
          <w:color w:val="232221"/>
          <w:sz w:val="22"/>
          <w:szCs w:val="22"/>
        </w:rPr>
        <w:t xml:space="preserve">Les utilisateurs soucieux de la confidentialité peuvent utiliser l'application sans compte. Les abonnements saisis manuellement sont stockés uniquement sur le téléphone via AsyncStorage.</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Stockage des clés : </w:t>
      </w:r>
      <w:r>
        <w:rPr>
          <w:rFonts w:ascii="Calibri" w:cs="Calibri" w:eastAsia="Calibri" w:hAnsi="Calibri"/>
          <w:color w:val="232221"/>
          <w:sz w:val="22"/>
          <w:szCs w:val="22"/>
        </w:rPr>
        <w:t xml:space="preserve">Les jetons OAuth de messagerie sont chiffrés et stockés dans le trousseau sécurisé de l'appareil (iOS Keychain / Android KeyStore).</w:t>
      </w:r>
    </w:p>
    <w:p>
      <w:pPr>
        <w:pStyle w:val="Heading2"/>
        <w:spacing w:after="140" w:before="280"/>
      </w:pPr>
      <w:r>
        <w:rPr>
          <w:rFonts w:ascii="Calibri Light" w:cs="Calibri Light" w:eastAsia="Calibri Light" w:hAnsi="Calibri Light"/>
          <w:b/>
          <w:bCs/>
          <w:color w:val="232221"/>
          <w:sz w:val="26"/>
          <w:szCs w:val="26"/>
        </w:rPr>
        <w:t xml:space="preserve">Feuille de Route Produit restante</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Connecteur Outlook : </w:t>
      </w:r>
      <w:r>
        <w:rPr>
          <w:rFonts w:ascii="Calibri" w:cs="Calibri" w:eastAsia="Calibri" w:hAnsi="Calibri"/>
          <w:color w:val="232221"/>
          <w:sz w:val="22"/>
          <w:szCs w:val="22"/>
        </w:rPr>
        <w:t xml:space="preserve">Intégration de Microsoft Graph API pour le scan des boîtes mails Outlook.</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OCR de factures physiques : </w:t>
      </w:r>
      <w:r>
        <w:rPr>
          <w:rFonts w:ascii="Calibri" w:cs="Calibri" w:eastAsia="Calibri" w:hAnsi="Calibri"/>
          <w:color w:val="232221"/>
          <w:sz w:val="22"/>
          <w:szCs w:val="22"/>
        </w:rPr>
        <w:t xml:space="preserve">Ajout d'un module de numérisation de factures papier par prise de photo.</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Moteur d'affiliation alternatives : </w:t>
      </w:r>
      <w:r>
        <w:rPr>
          <w:rFonts w:ascii="Calibri" w:cs="Calibri" w:eastAsia="Calibri" w:hAnsi="Calibri"/>
          <w:color w:val="232221"/>
          <w:sz w:val="22"/>
          <w:szCs w:val="22"/>
        </w:rPr>
        <w:t xml:space="preserve">Recommandation in-app d'offres de substitution équivalentes et moins chères (forfaits mobiles, internet ou énergies).</w:t>
      </w:r>
    </w:p>
    <w:p>
      <w:r>
        <w:br w:type="page"/>
      </w:r>
    </w:p>
    <w:p>
      <w:pPr>
        <w:pStyle w:val="Heading1"/>
        <w:pBdr>
          <w:bottom w:val="single" w:color="A34839" w:sz="12"/>
        </w:pBdr>
        <w:spacing w:after="200" w:before="400"/>
      </w:pPr>
      <w:r>
        <w:rPr>
          <w:rFonts w:ascii="Calibri Light" w:cs="Calibri Light" w:eastAsia="Calibri Light" w:hAnsi="Calibri Light"/>
          <w:b/>
          <w:bCs/>
          <w:color w:val="A34839"/>
          <w:sz w:val="36"/>
          <w:szCs w:val="36"/>
        </w:rPr>
        <w:t xml:space="preserve">4. Étude de Marché</w:t>
      </w:r>
    </w:p>
    <w:p>
      <w:pPr>
        <w:spacing w:after="140" w:before="140" w:line="300"/>
        <w:jc w:val="left"/>
      </w:pPr>
      <w:r>
        <w:rPr>
          <w:rFonts w:ascii="Calibri" w:cs="Calibri" w:eastAsia="Calibri" w:hAnsi="Calibri"/>
          <w:b w:val="false"/>
          <w:bCs w:val="false"/>
          <w:color w:val="232221"/>
          <w:sz w:val="22"/>
          <w:szCs w:val="22"/>
        </w:rPr>
        <w:t xml:space="preserve">L'étude de marché de Trimly s'appuie sur l'analyse de son persona de référence, le dimensionnement de son marché potentiel (TAM/SAM/SOM) et son positionnement face aux acteurs financiers existants.</w:t>
      </w:r>
    </w:p>
    <w:p>
      <w:pPr>
        <w:pStyle w:val="Heading2"/>
        <w:spacing w:after="140" w:before="280"/>
      </w:pPr>
      <w:r>
        <w:rPr>
          <w:rFonts w:ascii="Calibri Light" w:cs="Calibri Light" w:eastAsia="Calibri Light" w:hAnsi="Calibri Light"/>
          <w:b/>
          <w:bCs/>
          <w:color w:val="232221"/>
          <w:sz w:val="26"/>
          <w:szCs w:val="26"/>
        </w:rPr>
        <w:t xml:space="preserve">Le Persona Client Cible : Alex, le Multi-abonné</w:t>
      </w:r>
    </w:p>
    <w:p>
      <w:pPr>
        <w:spacing w:after="140" w:before="140" w:line="300"/>
        <w:jc w:val="left"/>
      </w:pPr>
      <w:r>
        <w:rPr>
          <w:rFonts w:ascii="Calibri" w:cs="Calibri" w:eastAsia="Calibri" w:hAnsi="Calibri"/>
          <w:b w:val="false"/>
          <w:bCs w:val="false"/>
          <w:color w:val="232221"/>
          <w:sz w:val="22"/>
          <w:szCs w:val="22"/>
        </w:rPr>
        <w:t xml:space="preserve">Alex, 28 ans, designer indépendant, vit en zone urbaine. Il cumule Spotify (10,99 € / 110 DH), Netflix (15,99 € / 160 DH), ChatGPT Pro (24,00 € / 240 DH), Adobe CC (62,99 € / 630 DH), NordVPN (9,99 € / 100 DH), iCloud (2,99 € / 30 DH) et un abonnement à sa salle de sport (49,99 € / 500 DH). Total mensuel : 171,94 € / 1 720 DH d'abonnements. Alex a conscience qu'il perd de l'argent sur son VPN et sa salle de sport mais la lourdeur des démarches administratives l'amène à repousser la résiliation. Il refuse d'utiliser les applications de budget traditionnelles qui exigent ses identifiants bancaires par crainte du piratage.</w:t>
      </w:r>
    </w:p>
    <w:p>
      <w:pPr>
        <w:pStyle w:val="Heading2"/>
        <w:spacing w:after="140" w:before="280"/>
      </w:pPr>
      <w:r>
        <w:rPr>
          <w:rFonts w:ascii="Calibri Light" w:cs="Calibri Light" w:eastAsia="Calibri Light" w:hAnsi="Calibri Light"/>
          <w:b/>
          <w:bCs/>
          <w:color w:val="232221"/>
          <w:sz w:val="26"/>
          <w:szCs w:val="26"/>
        </w:rPr>
        <w:t xml:space="preserve">Dimensionnement du Marché (TAM / SAM / SOM)</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TAM (Total Addressable Market) : </w:t>
      </w:r>
      <w:r>
        <w:rPr>
          <w:rFonts w:ascii="Calibri" w:cs="Calibri" w:eastAsia="Calibri" w:hAnsi="Calibri"/>
          <w:color w:val="232221"/>
          <w:sz w:val="22"/>
          <w:szCs w:val="22"/>
        </w:rPr>
        <w:t xml:space="preserve">250 millions d'utilisateurs de smartphones gérant leurs finances en Europe.</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SAM (Serviceable Addressable Market) : </w:t>
      </w:r>
      <w:r>
        <w:rPr>
          <w:rFonts w:ascii="Calibri" w:cs="Calibri" w:eastAsia="Calibri" w:hAnsi="Calibri"/>
          <w:color w:val="232221"/>
          <w:sz w:val="22"/>
          <w:szCs w:val="22"/>
        </w:rPr>
        <w:t xml:space="preserve">35 millions d'utilisateurs Gen Z / Millennials multi-abonnés (disposant de plus de 5 abonnements actifs) en France et pays limitrophes.</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SOM (Serviceable Obtainable Market) : </w:t>
      </w:r>
      <w:r>
        <w:rPr>
          <w:rFonts w:ascii="Calibri" w:cs="Calibri" w:eastAsia="Calibri" w:hAnsi="Calibri"/>
          <w:color w:val="232221"/>
          <w:sz w:val="22"/>
          <w:szCs w:val="22"/>
        </w:rPr>
        <w:t xml:space="preserve">1,5 million d'utilisateurs actifs payants visés en 3 ans, représentant 5% de notre SAM.</w:t>
      </w:r>
    </w:p>
    <w:p>
      <w:pPr>
        <w:pStyle w:val="Heading2"/>
        <w:spacing w:after="140" w:before="280"/>
      </w:pPr>
      <w:r>
        <w:rPr>
          <w:rFonts w:ascii="Calibri Light" w:cs="Calibri Light" w:eastAsia="Calibri Light" w:hAnsi="Calibri Light"/>
          <w:b/>
          <w:bCs/>
          <w:color w:val="232221"/>
          <w:sz w:val="26"/>
          <w:szCs w:val="26"/>
        </w:rPr>
        <w:t xml:space="preserve">Analyse Comparative de la Concurrence</w:t>
      </w:r>
    </w:p>
    <w:p>
      <w:pPr>
        <w:spacing w:after="140" w:before="140" w:line="300"/>
        <w:jc w:val="left"/>
      </w:pPr>
      <w:r>
        <w:rPr>
          <w:rFonts w:ascii="Calibri" w:cs="Calibri" w:eastAsia="Calibri" w:hAnsi="Calibri"/>
          <w:b w:val="false"/>
          <w:bCs w:val="false"/>
          <w:color w:val="232221"/>
          <w:sz w:val="22"/>
          <w:szCs w:val="22"/>
        </w:rPr>
        <w:t xml:space="preserve">Voici notre positionnement par rapport aux solutions existantes sur le marché :</w:t>
      </w:r>
    </w:p>
    <w:p>
      <w:pPr>
        <w:spacing w:after="120" w:before="12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E2E8F0" w:sz="4"/>
              <w:left w:val="single" w:color="E2E8F0" w:sz="4"/>
              <w:bottom w:val="single" w:color="E2E8F0" w:sz="4"/>
              <w:right w:val="single" w:color="E2E8F0" w:sz="4"/>
            </w:tcBorders>
            <w:shd w:fill="5B6E7A"/>
            <w:tcMar>
              <w:top w:type="dxa" w:w="140"/>
              <w:left w:type="dxa" w:w="180"/>
              <w:bottom w:type="dxa" w:w="140"/>
              <w:right w:type="dxa" w:w="180"/>
            </w:tcMar>
          </w:tcPr>
          <w:p>
            <w:pPr>
              <w:spacing w:after="100" w:before="100"/>
              <w:jc w:val="center"/>
            </w:pPr>
            <w:r>
              <w:rPr>
                <w:rFonts w:ascii="Calibri" w:cs="Calibri" w:eastAsia="Calibri" w:hAnsi="Calibri"/>
                <w:b/>
                <w:bCs/>
                <w:color w:val="FFFFFF"/>
                <w:sz w:val="20"/>
                <w:szCs w:val="20"/>
              </w:rPr>
              <w:t xml:space="preserve">Critères de comparaison</w:t>
            </w:r>
          </w:p>
        </w:tc>
        <w:tc>
          <w:tcPr>
            <w:tcBorders>
              <w:top w:val="single" w:color="E2E8F0" w:sz="4"/>
              <w:left w:val="single" w:color="E2E8F0" w:sz="4"/>
              <w:bottom w:val="single" w:color="E2E8F0" w:sz="4"/>
              <w:right w:val="single" w:color="E2E8F0" w:sz="4"/>
            </w:tcBorders>
            <w:shd w:fill="5B6E7A"/>
            <w:tcMar>
              <w:top w:type="dxa" w:w="140"/>
              <w:left w:type="dxa" w:w="180"/>
              <w:bottom w:type="dxa" w:w="140"/>
              <w:right w:type="dxa" w:w="180"/>
            </w:tcMar>
          </w:tcPr>
          <w:p>
            <w:pPr>
              <w:spacing w:after="100" w:before="100"/>
              <w:jc w:val="center"/>
            </w:pPr>
            <w:r>
              <w:rPr>
                <w:rFonts w:ascii="Calibri" w:cs="Calibri" w:eastAsia="Calibri" w:hAnsi="Calibri"/>
                <w:b/>
                <w:bCs/>
                <w:color w:val="FFFFFF"/>
                <w:sz w:val="20"/>
                <w:szCs w:val="20"/>
              </w:rPr>
              <w:t xml:space="preserve">Trimly (Notre Solution)</w:t>
            </w:r>
          </w:p>
        </w:tc>
        <w:tc>
          <w:tcPr>
            <w:tcBorders>
              <w:top w:val="single" w:color="E2E8F0" w:sz="4"/>
              <w:left w:val="single" w:color="E2E8F0" w:sz="4"/>
              <w:bottom w:val="single" w:color="E2E8F0" w:sz="4"/>
              <w:right w:val="single" w:color="E2E8F0" w:sz="4"/>
            </w:tcBorders>
            <w:shd w:fill="5B6E7A"/>
            <w:tcMar>
              <w:top w:type="dxa" w:w="140"/>
              <w:left w:type="dxa" w:w="180"/>
              <w:bottom w:type="dxa" w:w="140"/>
              <w:right w:type="dxa" w:w="180"/>
            </w:tcMar>
          </w:tcPr>
          <w:p>
            <w:pPr>
              <w:spacing w:after="100" w:before="100"/>
              <w:jc w:val="center"/>
            </w:pPr>
            <w:r>
              <w:rPr>
                <w:rFonts w:ascii="Calibri" w:cs="Calibri" w:eastAsia="Calibri" w:hAnsi="Calibri"/>
                <w:b/>
                <w:bCs/>
                <w:color w:val="FFFFFF"/>
                <w:sz w:val="20"/>
                <w:szCs w:val="20"/>
              </w:rPr>
              <w:t xml:space="preserve">Bankin' / Linxo</w:t>
            </w:r>
          </w:p>
        </w:tc>
        <w:tc>
          <w:tcPr>
            <w:tcBorders>
              <w:top w:val="single" w:color="E2E8F0" w:sz="4"/>
              <w:left w:val="single" w:color="E2E8F0" w:sz="4"/>
              <w:bottom w:val="single" w:color="E2E8F0" w:sz="4"/>
              <w:right w:val="single" w:color="E2E8F0" w:sz="4"/>
            </w:tcBorders>
            <w:shd w:fill="5B6E7A"/>
            <w:tcMar>
              <w:top w:type="dxa" w:w="140"/>
              <w:left w:type="dxa" w:w="180"/>
              <w:bottom w:type="dxa" w:w="140"/>
              <w:right w:type="dxa" w:w="180"/>
            </w:tcMar>
          </w:tcPr>
          <w:p>
            <w:pPr>
              <w:spacing w:after="100" w:before="100"/>
              <w:jc w:val="center"/>
            </w:pPr>
            <w:r>
              <w:rPr>
                <w:rFonts w:ascii="Calibri" w:cs="Calibri" w:eastAsia="Calibri" w:hAnsi="Calibri"/>
                <w:b/>
                <w:bCs/>
                <w:color w:val="FFFFFF"/>
                <w:sz w:val="20"/>
                <w:szCs w:val="20"/>
              </w:rPr>
              <w:t xml:space="preserve">Bobby / Subby</w:t>
            </w:r>
          </w:p>
        </w:tc>
        <w:tc>
          <w:tcPr>
            <w:tcBorders>
              <w:top w:val="single" w:color="E2E8F0" w:sz="4"/>
              <w:left w:val="single" w:color="E2E8F0" w:sz="4"/>
              <w:bottom w:val="single" w:color="E2E8F0" w:sz="4"/>
              <w:right w:val="single" w:color="E2E8F0" w:sz="4"/>
            </w:tcBorders>
            <w:shd w:fill="5B6E7A"/>
            <w:tcMar>
              <w:top w:type="dxa" w:w="140"/>
              <w:left w:type="dxa" w:w="180"/>
              <w:bottom w:type="dxa" w:w="140"/>
              <w:right w:type="dxa" w:w="180"/>
            </w:tcMar>
          </w:tcPr>
          <w:p>
            <w:pPr>
              <w:spacing w:after="100" w:before="100"/>
              <w:jc w:val="center"/>
            </w:pPr>
            <w:r>
              <w:rPr>
                <w:rFonts w:ascii="Calibri" w:cs="Calibri" w:eastAsia="Calibri" w:hAnsi="Calibri"/>
                <w:b/>
                <w:bCs/>
                <w:color w:val="FFFFFF"/>
                <w:sz w:val="20"/>
                <w:szCs w:val="20"/>
              </w:rPr>
              <w:t xml:space="preserve">Lettres en ligne</w:t>
            </w:r>
          </w:p>
        </w:tc>
      </w:tr>
      <w:tr>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left"/>
            </w:pPr>
            <w:r>
              <w:rPr>
                <w:rFonts w:ascii="Calibri" w:cs="Calibri" w:eastAsia="Calibri" w:hAnsi="Calibri"/>
                <w:b/>
                <w:bCs/>
                <w:color w:val="232221"/>
                <w:sz w:val="20"/>
                <w:szCs w:val="20"/>
              </w:rPr>
              <w:t xml:space="preserve">Détection automatique</w:t>
            </w:r>
          </w:p>
        </w:tc>
        <w:tc>
          <w:tcPr>
            <w:tcBorders>
              <w:top w:val="single" w:color="E2E8F0" w:sz="4"/>
              <w:left w:val="single" w:color="E2E8F0" w:sz="4"/>
              <w:bottom w:val="single" w:color="E2E8F0" w:sz="4"/>
              <w:right w:val="single" w:color="E2E8F0" w:sz="4"/>
            </w:tcBorders>
            <w:shd w:fill="ECE5D8"/>
            <w:tcMar>
              <w:top w:type="dxa" w:w="140"/>
              <w:left w:type="dxa" w:w="180"/>
              <w:bottom w:type="dxa" w:w="140"/>
              <w:right w:type="dxa" w:w="180"/>
            </w:tcMar>
          </w:tcPr>
          <w:p>
            <w:pPr>
              <w:spacing w:after="100" w:before="100"/>
              <w:jc w:val="left"/>
            </w:pPr>
            <w:r>
              <w:rPr>
                <w:rFonts w:ascii="Calibri" w:cs="Calibri" w:eastAsia="Calibri" w:hAnsi="Calibri"/>
                <w:b/>
                <w:bCs/>
                <w:color w:val="232221"/>
                <w:sz w:val="20"/>
                <w:szCs w:val="20"/>
              </w:rPr>
              <w:t xml:space="preserve">Oui (IA scan mail)</w:t>
            </w:r>
          </w:p>
        </w:tc>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left"/>
            </w:pPr>
            <w:r>
              <w:rPr>
                <w:rFonts w:ascii="Calibri" w:cs="Calibri" w:eastAsia="Calibri" w:hAnsi="Calibri"/>
                <w:b w:val="false"/>
                <w:bCs w:val="false"/>
                <w:color w:val="232221"/>
                <w:sz w:val="20"/>
                <w:szCs w:val="20"/>
              </w:rPr>
              <w:t xml:space="preserve">Oui (Synchro bancaire)</w:t>
            </w:r>
          </w:p>
        </w:tc>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left"/>
            </w:pPr>
            <w:r>
              <w:rPr>
                <w:rFonts w:ascii="Calibri" w:cs="Calibri" w:eastAsia="Calibri" w:hAnsi="Calibri"/>
                <w:b w:val="false"/>
                <w:bCs w:val="false"/>
                <w:color w:val="232221"/>
                <w:sz w:val="20"/>
                <w:szCs w:val="20"/>
              </w:rPr>
              <w:t xml:space="preserve">Non (Saisie manuelle)</w:t>
            </w:r>
          </w:p>
        </w:tc>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left"/>
            </w:pPr>
            <w:r>
              <w:rPr>
                <w:rFonts w:ascii="Calibri" w:cs="Calibri" w:eastAsia="Calibri" w:hAnsi="Calibri"/>
                <w:b w:val="false"/>
                <w:bCs w:val="false"/>
                <w:color w:val="232221"/>
                <w:sz w:val="20"/>
                <w:szCs w:val="20"/>
              </w:rPr>
              <w:t xml:space="preserve">Non</w:t>
            </w:r>
          </w:p>
        </w:tc>
      </w:tr>
      <w:tr>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left"/>
            </w:pPr>
            <w:r>
              <w:rPr>
                <w:rFonts w:ascii="Calibri" w:cs="Calibri" w:eastAsia="Calibri" w:hAnsi="Calibri"/>
                <w:b/>
                <w:bCs/>
                <w:color w:val="232221"/>
                <w:sz w:val="20"/>
                <w:szCs w:val="20"/>
              </w:rPr>
              <w:t xml:space="preserve">Sécurité d'accès</w:t>
            </w:r>
          </w:p>
        </w:tc>
        <w:tc>
          <w:tcPr>
            <w:tcBorders>
              <w:top w:val="single" w:color="E2E8F0" w:sz="4"/>
              <w:left w:val="single" w:color="E2E8F0" w:sz="4"/>
              <w:bottom w:val="single" w:color="E2E8F0" w:sz="4"/>
              <w:right w:val="single" w:color="E2E8F0" w:sz="4"/>
            </w:tcBorders>
            <w:shd w:fill="ECE5D8"/>
            <w:tcMar>
              <w:top w:type="dxa" w:w="140"/>
              <w:left w:type="dxa" w:w="180"/>
              <w:bottom w:type="dxa" w:w="140"/>
              <w:right w:type="dxa" w:w="180"/>
            </w:tcMar>
          </w:tcPr>
          <w:p>
            <w:pPr>
              <w:spacing w:after="100" w:before="100"/>
              <w:jc w:val="left"/>
            </w:pPr>
            <w:r>
              <w:rPr>
                <w:rFonts w:ascii="Calibri" w:cs="Calibri" w:eastAsia="Calibri" w:hAnsi="Calibri"/>
                <w:b/>
                <w:bCs/>
                <w:color w:val="A34839"/>
                <w:sz w:val="20"/>
                <w:szCs w:val="20"/>
              </w:rPr>
              <w:t xml:space="preserve">Excellente (Pas de banque)</w:t>
            </w:r>
          </w:p>
        </w:tc>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left"/>
            </w:pPr>
            <w:r>
              <w:rPr>
                <w:rFonts w:ascii="Calibri" w:cs="Calibri" w:eastAsia="Calibri" w:hAnsi="Calibri"/>
                <w:b w:val="false"/>
                <w:bCs w:val="false"/>
                <w:color w:val="232221"/>
                <w:sz w:val="20"/>
                <w:szCs w:val="20"/>
              </w:rPr>
              <w:t xml:space="preserve">Réticences (Banque obligatoire)</w:t>
            </w:r>
          </w:p>
        </w:tc>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left"/>
            </w:pPr>
            <w:r>
              <w:rPr>
                <w:rFonts w:ascii="Calibri" w:cs="Calibri" w:eastAsia="Calibri" w:hAnsi="Calibri"/>
                <w:b w:val="false"/>
                <w:bCs w:val="false"/>
                <w:color w:val="232221"/>
                <w:sz w:val="20"/>
                <w:szCs w:val="20"/>
              </w:rPr>
              <w:t xml:space="preserve">Excellente (Local-first)</w:t>
            </w:r>
          </w:p>
        </w:tc>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left"/>
            </w:pPr>
            <w:r>
              <w:rPr>
                <w:rFonts w:ascii="Calibri" w:cs="Calibri" w:eastAsia="Calibri" w:hAnsi="Calibri"/>
                <w:b w:val="false"/>
                <w:bCs w:val="false"/>
                <w:color w:val="232221"/>
                <w:sz w:val="20"/>
                <w:szCs w:val="20"/>
              </w:rPr>
              <w:t xml:space="preserve">Bonne (Portail web)</w:t>
            </w:r>
          </w:p>
        </w:tc>
      </w:tr>
      <w:tr>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left"/>
            </w:pPr>
            <w:r>
              <w:rPr>
                <w:rFonts w:ascii="Calibri" w:cs="Calibri" w:eastAsia="Calibri" w:hAnsi="Calibri"/>
                <w:b/>
                <w:bCs/>
                <w:color w:val="232221"/>
                <w:sz w:val="20"/>
                <w:szCs w:val="20"/>
              </w:rPr>
              <w:t xml:space="preserve">Résiliation LRAR intégrée</w:t>
            </w:r>
          </w:p>
        </w:tc>
        <w:tc>
          <w:tcPr>
            <w:tcBorders>
              <w:top w:val="single" w:color="E2E8F0" w:sz="4"/>
              <w:left w:val="single" w:color="E2E8F0" w:sz="4"/>
              <w:bottom w:val="single" w:color="E2E8F0" w:sz="4"/>
              <w:right w:val="single" w:color="E2E8F0" w:sz="4"/>
            </w:tcBorders>
            <w:shd w:fill="ECE5D8"/>
            <w:tcMar>
              <w:top w:type="dxa" w:w="140"/>
              <w:left w:type="dxa" w:w="180"/>
              <w:bottom w:type="dxa" w:w="140"/>
              <w:right w:type="dxa" w:w="180"/>
            </w:tcMar>
          </w:tcPr>
          <w:p>
            <w:pPr>
              <w:spacing w:after="100" w:before="100"/>
              <w:jc w:val="left"/>
            </w:pPr>
            <w:r>
              <w:rPr>
                <w:rFonts w:ascii="Calibri" w:cs="Calibri" w:eastAsia="Calibri" w:hAnsi="Calibri"/>
                <w:b/>
                <w:bCs/>
                <w:color w:val="A34839"/>
                <w:sz w:val="20"/>
                <w:szCs w:val="20"/>
              </w:rPr>
              <w:t xml:space="preserve">Oui (Physique en 1-clic)</w:t>
            </w:r>
          </w:p>
        </w:tc>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left"/>
            </w:pPr>
            <w:r>
              <w:rPr>
                <w:rFonts w:ascii="Calibri" w:cs="Calibri" w:eastAsia="Calibri" w:hAnsi="Calibri"/>
                <w:b w:val="false"/>
                <w:bCs w:val="false"/>
                <w:color w:val="232221"/>
                <w:sz w:val="20"/>
                <w:szCs w:val="20"/>
              </w:rPr>
              <w:t xml:space="preserve">Non (Aucun envoi)</w:t>
            </w:r>
          </w:p>
        </w:tc>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left"/>
            </w:pPr>
            <w:r>
              <w:rPr>
                <w:rFonts w:ascii="Calibri" w:cs="Calibri" w:eastAsia="Calibri" w:hAnsi="Calibri"/>
                <w:b w:val="false"/>
                <w:bCs w:val="false"/>
                <w:color w:val="232221"/>
                <w:sz w:val="20"/>
                <w:szCs w:val="20"/>
              </w:rPr>
              <w:t xml:space="preserve">Non (Saisie simple)</w:t>
            </w:r>
          </w:p>
        </w:tc>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left"/>
            </w:pPr>
            <w:r>
              <w:rPr>
                <w:rFonts w:ascii="Calibri" w:cs="Calibri" w:eastAsia="Calibri" w:hAnsi="Calibri"/>
                <w:b w:val="false"/>
                <w:bCs w:val="false"/>
                <w:color w:val="232221"/>
                <w:sz w:val="20"/>
                <w:szCs w:val="20"/>
              </w:rPr>
              <w:t xml:space="preserve">Oui (Service en ligne)</w:t>
            </w:r>
          </w:p>
        </w:tc>
      </w:tr>
      <w:tr>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left"/>
            </w:pPr>
            <w:r>
              <w:rPr>
                <w:rFonts w:ascii="Calibri" w:cs="Calibri" w:eastAsia="Calibri" w:hAnsi="Calibri"/>
                <w:b/>
                <w:bCs/>
                <w:color w:val="232221"/>
                <w:sz w:val="20"/>
                <w:szCs w:val="20"/>
              </w:rPr>
              <w:t xml:space="preserve">Version hors-ligne</w:t>
            </w:r>
          </w:p>
        </w:tc>
        <w:tc>
          <w:tcPr>
            <w:tcBorders>
              <w:top w:val="single" w:color="E2E8F0" w:sz="4"/>
              <w:left w:val="single" w:color="E2E8F0" w:sz="4"/>
              <w:bottom w:val="single" w:color="E2E8F0" w:sz="4"/>
              <w:right w:val="single" w:color="E2E8F0" w:sz="4"/>
            </w:tcBorders>
            <w:shd w:fill="ECE5D8"/>
            <w:tcMar>
              <w:top w:type="dxa" w:w="140"/>
              <w:left w:type="dxa" w:w="180"/>
              <w:bottom w:type="dxa" w:w="140"/>
              <w:right w:type="dxa" w:w="180"/>
            </w:tcMar>
          </w:tcPr>
          <w:p>
            <w:pPr>
              <w:spacing w:after="100" w:before="100"/>
              <w:jc w:val="left"/>
            </w:pPr>
            <w:r>
              <w:rPr>
                <w:rFonts w:ascii="Calibri" w:cs="Calibri" w:eastAsia="Calibri" w:hAnsi="Calibri"/>
                <w:b/>
                <w:bCs/>
                <w:color w:val="232221"/>
                <w:sz w:val="20"/>
                <w:szCs w:val="20"/>
              </w:rPr>
              <w:t xml:space="preserve">Oui (Mode Invité)</w:t>
            </w:r>
          </w:p>
        </w:tc>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left"/>
            </w:pPr>
            <w:r>
              <w:rPr>
                <w:rFonts w:ascii="Calibri" w:cs="Calibri" w:eastAsia="Calibri" w:hAnsi="Calibri"/>
                <w:b w:val="false"/>
                <w:bCs w:val="false"/>
                <w:color w:val="232221"/>
                <w:sz w:val="20"/>
                <w:szCs w:val="20"/>
              </w:rPr>
              <w:t xml:space="preserve">Non (Cloud requis)</w:t>
            </w:r>
          </w:p>
        </w:tc>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left"/>
            </w:pPr>
            <w:r>
              <w:rPr>
                <w:rFonts w:ascii="Calibri" w:cs="Calibri" w:eastAsia="Calibri" w:hAnsi="Calibri"/>
                <w:b w:val="false"/>
                <w:bCs w:val="false"/>
                <w:color w:val="232221"/>
                <w:sz w:val="20"/>
                <w:szCs w:val="20"/>
              </w:rPr>
              <w:t xml:space="preserve">Oui (Local uniquement)</w:t>
            </w:r>
          </w:p>
        </w:tc>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left"/>
            </w:pPr>
            <w:r>
              <w:rPr>
                <w:rFonts w:ascii="Calibri" w:cs="Calibri" w:eastAsia="Calibri" w:hAnsi="Calibri"/>
                <w:b w:val="false"/>
                <w:bCs w:val="false"/>
                <w:color w:val="232221"/>
                <w:sz w:val="20"/>
                <w:szCs w:val="20"/>
              </w:rPr>
              <w:t xml:space="preserve">Non (Site web)</w:t>
            </w:r>
          </w:p>
        </w:tc>
      </w:tr>
      <w:tr>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left"/>
            </w:pPr>
            <w:r>
              <w:rPr>
                <w:rFonts w:ascii="Calibri" w:cs="Calibri" w:eastAsia="Calibri" w:hAnsi="Calibri"/>
                <w:b/>
                <w:bCs/>
                <w:color w:val="232221"/>
                <w:sz w:val="20"/>
                <w:szCs w:val="20"/>
              </w:rPr>
              <w:t xml:space="preserve">Tarif moyen constaté</w:t>
            </w:r>
          </w:p>
        </w:tc>
        <w:tc>
          <w:tcPr>
            <w:tcBorders>
              <w:top w:val="single" w:color="E2E8F0" w:sz="4"/>
              <w:left w:val="single" w:color="E2E8F0" w:sz="4"/>
              <w:bottom w:val="single" w:color="E2E8F0" w:sz="4"/>
              <w:right w:val="single" w:color="E2E8F0" w:sz="4"/>
            </w:tcBorders>
            <w:shd w:fill="ECE5D8"/>
            <w:tcMar>
              <w:top w:type="dxa" w:w="140"/>
              <w:left w:type="dxa" w:w="180"/>
              <w:bottom w:type="dxa" w:w="140"/>
              <w:right w:type="dxa" w:w="180"/>
            </w:tcMar>
          </w:tcPr>
          <w:p>
            <w:pPr>
              <w:spacing w:after="100" w:before="100"/>
              <w:jc w:val="left"/>
            </w:pPr>
            <w:r>
              <w:rPr>
                <w:rFonts w:ascii="Calibri" w:cs="Calibri" w:eastAsia="Calibri" w:hAnsi="Calibri"/>
                <w:b/>
                <w:bCs/>
                <w:color w:val="232221"/>
                <w:sz w:val="20"/>
                <w:szCs w:val="20"/>
              </w:rPr>
              <w:t xml:space="preserve">Freemium (4,99 € / 50 DH /mois)</w:t>
            </w:r>
          </w:p>
        </w:tc>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left"/>
            </w:pPr>
            <w:r>
              <w:rPr>
                <w:rFonts w:ascii="Calibri" w:cs="Calibri" w:eastAsia="Calibri" w:hAnsi="Calibri"/>
                <w:b w:val="false"/>
                <w:bCs w:val="false"/>
                <w:color w:val="232221"/>
                <w:sz w:val="20"/>
                <w:szCs w:val="20"/>
              </w:rPr>
              <w:t xml:space="preserve">Freemium (~5,00 € / 50 DH /mois)</w:t>
            </w:r>
          </w:p>
        </w:tc>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left"/>
            </w:pPr>
            <w:r>
              <w:rPr>
                <w:rFonts w:ascii="Calibri" w:cs="Calibri" w:eastAsia="Calibri" w:hAnsi="Calibri"/>
                <w:b w:val="false"/>
                <w:bCs w:val="false"/>
                <w:color w:val="232221"/>
                <w:sz w:val="20"/>
                <w:szCs w:val="20"/>
              </w:rPr>
              <w:t xml:space="preserve">Gratuit / Achat unique</w:t>
            </w:r>
          </w:p>
        </w:tc>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left"/>
            </w:pPr>
            <w:r>
              <w:rPr>
                <w:rFonts w:ascii="Calibri" w:cs="Calibri" w:eastAsia="Calibri" w:hAnsi="Calibri"/>
                <w:b w:val="false"/>
                <w:bCs w:val="false"/>
                <w:color w:val="232221"/>
                <w:sz w:val="20"/>
                <w:szCs w:val="20"/>
              </w:rPr>
              <w:t xml:space="preserve">À l'acte (7,90 € - 12 € / 80 - 120 DH)</w:t>
            </w:r>
          </w:p>
        </w:tc>
      </w:tr>
    </w:tbl>
    <w:p>
      <w:pPr>
        <w:spacing w:before="120"/>
      </w:pPr>
    </w:p>
    <w:p>
      <w:pPr>
        <w:pStyle w:val="Heading2"/>
        <w:spacing w:after="140" w:before="280"/>
      </w:pPr>
      <w:r>
        <w:rPr>
          <w:rFonts w:ascii="Calibri Light" w:cs="Calibri Light" w:eastAsia="Calibri Light" w:hAnsi="Calibri Light"/>
          <w:b/>
          <w:bCs/>
          <w:color w:val="232221"/>
          <w:sz w:val="26"/>
          <w:szCs w:val="26"/>
        </w:rPr>
        <w:t xml:space="preserve">Positionnement Stratégique</w:t>
      </w:r>
    </w:p>
    <w:p>
      <w:pPr>
        <w:spacing w:after="140" w:before="140" w:line="300"/>
        <w:jc w:val="left"/>
      </w:pPr>
      <w:r>
        <w:rPr>
          <w:rFonts w:ascii="Calibri" w:cs="Calibri" w:eastAsia="Calibri" w:hAnsi="Calibri"/>
          <w:b w:val="false"/>
          <w:bCs w:val="false"/>
          <w:color w:val="232221"/>
          <w:sz w:val="22"/>
          <w:szCs w:val="22"/>
        </w:rPr>
        <w:t xml:space="preserve">Trimly se démarque par sa proposition de valeur unique : il résout le problème de la résiliation postal (ce que les banques et agrégateurs classiques ignorent à cause de la complexité logistique) tout en conservant une approche d'importation sans connexion bancaire, éliminant ainsi le frein principal lié à la sécurité.</w:t>
      </w:r>
    </w:p>
    <w:p>
      <w:r>
        <w:br w:type="page"/>
      </w:r>
    </w:p>
    <w:p>
      <w:pPr>
        <w:pStyle w:val="Heading1"/>
        <w:pBdr>
          <w:bottom w:val="single" w:color="A34839" w:sz="12"/>
        </w:pBdr>
        <w:spacing w:after="200" w:before="400"/>
      </w:pPr>
      <w:r>
        <w:rPr>
          <w:rFonts w:ascii="Calibri Light" w:cs="Calibri Light" w:eastAsia="Calibri Light" w:hAnsi="Calibri Light"/>
          <w:b/>
          <w:bCs/>
          <w:color w:val="A34839"/>
          <w:sz w:val="36"/>
          <w:szCs w:val="36"/>
        </w:rPr>
        <w:t xml:space="preserve">5. Stratégie Marketing et Commerciale</w:t>
      </w:r>
    </w:p>
    <w:p>
      <w:pPr>
        <w:spacing w:after="140" w:before="140" w:line="300"/>
        <w:jc w:val="left"/>
      </w:pPr>
      <w:r>
        <w:rPr>
          <w:rFonts w:ascii="Calibri" w:cs="Calibri" w:eastAsia="Calibri" w:hAnsi="Calibri"/>
          <w:b w:val="false"/>
          <w:bCs w:val="false"/>
          <w:color w:val="232221"/>
          <w:sz w:val="22"/>
          <w:szCs w:val="22"/>
        </w:rPr>
        <w:t xml:space="preserve">Notre objectif commercial est d'acquérir de manière rentable des utilisateurs qualifiés en maintenant un coût d'acquisition client (CAC) bas grâce à des leviers organiques, SEO et viraux.</w:t>
      </w:r>
    </w:p>
    <w:p>
      <w:pPr>
        <w:pStyle w:val="Heading2"/>
        <w:spacing w:after="140" w:before="280"/>
      </w:pPr>
      <w:r>
        <w:rPr>
          <w:rFonts w:ascii="Calibri Light" w:cs="Calibri Light" w:eastAsia="Calibri Light" w:hAnsi="Calibri Light"/>
          <w:b/>
          <w:bCs/>
          <w:color w:val="232221"/>
          <w:sz w:val="26"/>
          <w:szCs w:val="26"/>
        </w:rPr>
        <w:t xml:space="preserve">Structure Tarifaire</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Version Gratuite : </w:t>
      </w:r>
      <w:r>
        <w:rPr>
          <w:rFonts w:ascii="Calibri" w:cs="Calibri" w:eastAsia="Calibri" w:hAnsi="Calibri"/>
          <w:color w:val="232221"/>
          <w:sz w:val="22"/>
          <w:szCs w:val="22"/>
        </w:rPr>
        <w:t xml:space="preserve">Accès manuel à la saisie de 5 abonnements au maximum, alertes locales basiques. Pas de synchronisation cloud ni de scan automatique IA.</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Abonnement Trimly Pro (Freemium) : </w:t>
      </w:r>
      <w:r>
        <w:rPr>
          <w:rFonts w:ascii="Calibri" w:cs="Calibri" w:eastAsia="Calibri" w:hAnsi="Calibri"/>
          <w:color w:val="232221"/>
          <w:sz w:val="22"/>
          <w:szCs w:val="22"/>
        </w:rPr>
        <w:t xml:space="preserve">Période d'essai gratuite de 14 jours (sans carte requise). Formule mensuelle à 4,99 € / 50 DH et formule annuelle à 49,99 € / 500 DH (soit ~4,16 € / 42 DH par mois). Il donne accès au scan mail intelligent illimité, à la synchronisation cloud Supabase et aux alertes intelligentes.</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Résiliation LRAR postale à l'acte : </w:t>
      </w:r>
      <w:r>
        <w:rPr>
          <w:rFonts w:ascii="Calibri" w:cs="Calibri" w:eastAsia="Calibri" w:hAnsi="Calibri"/>
          <w:color w:val="232221"/>
          <w:sz w:val="22"/>
          <w:szCs w:val="22"/>
        </w:rPr>
        <w:t xml:space="preserve">Facturée 7,99 € / 80 DH par pli recommandé officiel envoyé (coût d'affranchissement brut La Poste/Maileva de ~5,50 € / 55 DH, dégageant une marge unitaire de 2,49 € / 25 DH).</w:t>
      </w:r>
    </w:p>
    <w:p>
      <w:pPr>
        <w:pStyle w:val="Heading2"/>
        <w:spacing w:after="140" w:before="280"/>
      </w:pPr>
      <w:r>
        <w:rPr>
          <w:rFonts w:ascii="Calibri Light" w:cs="Calibri Light" w:eastAsia="Calibri Light" w:hAnsi="Calibri Light"/>
          <w:b/>
          <w:bCs/>
          <w:color w:val="232221"/>
          <w:sz w:val="26"/>
          <w:szCs w:val="26"/>
        </w:rPr>
        <w:t xml:space="preserve">Canaux d'Acquisition Client</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1. ASO &amp; Référencement Organique (SEO) : </w:t>
      </w:r>
      <w:r>
        <w:rPr>
          <w:rFonts w:ascii="Calibri" w:cs="Calibri" w:eastAsia="Calibri" w:hAnsi="Calibri"/>
          <w:color w:val="232221"/>
          <w:sz w:val="22"/>
          <w:szCs w:val="22"/>
        </w:rPr>
        <w:t xml:space="preserve">Optimisation des fiches d'App Store autour des requêtes de désabonnement et de gestion de budget. Rédaction d'articles SEO ciblés sur les guides de désabonnement de marchands spécifiques (ex. « comment résilier ma salle de sport »).</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2. Micro-influenceurs Finance &amp; Épargne : </w:t>
      </w:r>
      <w:r>
        <w:rPr>
          <w:rFonts w:ascii="Calibri" w:cs="Calibri" w:eastAsia="Calibri" w:hAnsi="Calibri"/>
          <w:color w:val="232221"/>
          <w:sz w:val="22"/>
          <w:szCs w:val="22"/>
        </w:rPr>
        <w:t xml:space="preserve">Partenariats avec des créateurs sur TikTok et Instagram axés sur le minimalisme financier, l'épargne et les astuces de budget.</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3. Boucle Virale de Parrainage : </w:t>
      </w:r>
      <w:r>
        <w:rPr>
          <w:rFonts w:ascii="Calibri" w:cs="Calibri" w:eastAsia="Calibri" w:hAnsi="Calibri"/>
          <w:color w:val="232221"/>
          <w:sz w:val="22"/>
          <w:szCs w:val="22"/>
        </w:rPr>
        <w:t xml:space="preserve">Chaque abonné annuel Trimly Pro parrainant un nouvel utilisateur annuel reçoit 1 mois Pro gratuit, et son filleul bénéficie de la même offre.</w:t>
      </w:r>
    </w:p>
    <w:p>
      <w:pPr>
        <w:pStyle w:val="Heading2"/>
        <w:spacing w:after="140" w:before="280"/>
      </w:pPr>
      <w:r>
        <w:rPr>
          <w:rFonts w:ascii="Calibri Light" w:cs="Calibri Light" w:eastAsia="Calibri Light" w:hAnsi="Calibri Light"/>
          <w:b/>
          <w:bCs/>
          <w:color w:val="232221"/>
          <w:sz w:val="26"/>
          <w:szCs w:val="26"/>
        </w:rPr>
        <w:t xml:space="preserve">Validation Landing Page &amp; Inscriptions</w:t>
      </w:r>
    </w:p>
    <w:p>
      <w:pPr>
        <w:spacing w:after="140" w:before="140" w:line="300"/>
        <w:jc w:val="left"/>
      </w:pPr>
      <w:r>
        <w:rPr>
          <w:rFonts w:ascii="Calibri" w:cs="Calibri" w:eastAsia="Calibri" w:hAnsi="Calibri"/>
          <w:b w:val="false"/>
          <w:bCs w:val="false"/>
          <w:color w:val="232221"/>
          <w:sz w:val="22"/>
          <w:szCs w:val="22"/>
        </w:rPr>
        <w:t xml:space="preserve">Notre landing page a été déployée en conditions réelles avec des visuels de l'application et un formulaire de pré-inscription. En 2 semaines, elle a collecté 60 e-mails qualifiés pour 500 visites uniques, affichant un taux de conversion de 12%, ce qui démontre le fort intérêt des consommateurs.</w:t>
      </w:r>
    </w:p>
    <w:p>
      <w:pPr>
        <w:pStyle w:val="Heading2"/>
        <w:spacing w:after="140" w:before="280"/>
      </w:pPr>
      <w:r>
        <w:rPr>
          <w:rFonts w:ascii="Calibri Light" w:cs="Calibri Light" w:eastAsia="Calibri Light" w:hAnsi="Calibri Light"/>
          <w:b/>
          <w:bCs/>
          <w:color w:val="232221"/>
          <w:sz w:val="26"/>
          <w:szCs w:val="26"/>
        </w:rPr>
        <w:t xml:space="preserve">Stratégie pour les 100 Premiers Clients</w:t>
      </w:r>
    </w:p>
    <w:p>
      <w:pPr>
        <w:spacing w:after="140" w:before="140" w:line="300"/>
        <w:jc w:val="left"/>
      </w:pPr>
      <w:r>
        <w:rPr>
          <w:rFonts w:ascii="Calibri" w:cs="Calibri" w:eastAsia="Calibri" w:hAnsi="Calibri"/>
          <w:b w:val="false"/>
          <w:bCs w:val="false"/>
          <w:color w:val="232221"/>
          <w:sz w:val="22"/>
          <w:szCs w:val="22"/>
        </w:rPr>
        <w:t xml:space="preserve">Les 60 inscrits sur notre liste d'attente recevront des invitations prioritaires avec 3 mois de Trimly Pro gratuits en échange de retours d'utilisation. Le produit sera soumis sur Product Hunt et relayé au sein des réseaux étudiants et de l'écosystème OFPPT pour amorcer la base utilisateur.</w:t>
      </w:r>
    </w:p>
    <w:p>
      <w:r>
        <w:br w:type="page"/>
      </w:r>
    </w:p>
    <w:p>
      <w:pPr>
        <w:pStyle w:val="Heading1"/>
        <w:pBdr>
          <w:bottom w:val="single" w:color="A34839" w:sz="12"/>
        </w:pBdr>
        <w:spacing w:after="200" w:before="400"/>
      </w:pPr>
      <w:r>
        <w:rPr>
          <w:rFonts w:ascii="Calibri Light" w:cs="Calibri Light" w:eastAsia="Calibri Light" w:hAnsi="Calibri Light"/>
          <w:b/>
          <w:bCs/>
          <w:color w:val="A34839"/>
          <w:sz w:val="36"/>
          <w:szCs w:val="36"/>
        </w:rPr>
        <w:t xml:space="preserve">6. Modèle Économique &amp; Plan Financier</w:t>
      </w:r>
    </w:p>
    <w:p>
      <w:pPr>
        <w:spacing w:after="140" w:before="140" w:line="300"/>
        <w:jc w:val="left"/>
      </w:pPr>
      <w:r>
        <w:rPr>
          <w:rFonts w:ascii="Calibri" w:cs="Calibri" w:eastAsia="Calibri" w:hAnsi="Calibri"/>
          <w:b w:val="false"/>
          <w:bCs w:val="false"/>
          <w:color w:val="232221"/>
          <w:sz w:val="22"/>
          <w:szCs w:val="22"/>
        </w:rPr>
        <w:t xml:space="preserve">Les prévisions financières de Trimly confirment la rentabilité du projet. Nos coûts de fonctionnement variables (Supabase et les requêtes Groq API) étant extrêmement légers, l'activité dégage d'importantes marges.</w:t>
      </w:r>
    </w:p>
    <w:p>
      <w:pPr>
        <w:pStyle w:val="Heading2"/>
        <w:spacing w:after="140" w:before="280"/>
      </w:pPr>
      <w:r>
        <w:rPr>
          <w:rFonts w:ascii="Calibri Light" w:cs="Calibri Light" w:eastAsia="Calibri Light" w:hAnsi="Calibri Light"/>
          <w:b/>
          <w:bCs/>
          <w:color w:val="232221"/>
          <w:sz w:val="26"/>
          <w:szCs w:val="26"/>
        </w:rPr>
        <w:t xml:space="preserve">Structure des Coûts variables (COGS) par Utilisateur</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Coût API d'extraction IA (Groq Cloud) : </w:t>
      </w:r>
      <w:r>
        <w:rPr>
          <w:rFonts w:ascii="Calibri" w:cs="Calibri" w:eastAsia="Calibri" w:hAnsi="Calibri"/>
          <w:color w:val="232221"/>
          <w:sz w:val="22"/>
          <w:szCs w:val="22"/>
        </w:rPr>
        <w:t xml:space="preserve">0,01 € / 0,10 DH par scan complet (modèle Llama 3 70B). Pour 12 scans mensuels par an, le coût est de 0,12 € / 1,20 DH par an par utilisateur.</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Coût infrastructure cloud (Supabase) : </w:t>
      </w:r>
      <w:r>
        <w:rPr>
          <w:rFonts w:ascii="Calibri" w:cs="Calibri" w:eastAsia="Calibri" w:hAnsi="Calibri"/>
          <w:color w:val="232221"/>
          <w:sz w:val="22"/>
          <w:szCs w:val="22"/>
        </w:rPr>
        <w:t xml:space="preserve">0,05 € / 0,50 DH par utilisateur actif par an (calculé sur le forfait Supabase Pro à 25 $/mois réparti sur 100 000 utilisateurs actifs).</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Coût de notification push : </w:t>
      </w:r>
      <w:r>
        <w:rPr>
          <w:rFonts w:ascii="Calibri" w:cs="Calibri" w:eastAsia="Calibri" w:hAnsi="Calibri"/>
          <w:color w:val="232221"/>
          <w:sz w:val="22"/>
          <w:szCs w:val="22"/>
        </w:rPr>
        <w:t xml:space="preserve">0,00 DH (inclus dans l'écosystème Expo/Google Firebase).</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Total des coûts variables (COGS) par utilisateur Pro/An : </w:t>
      </w:r>
      <w:r>
        <w:rPr>
          <w:rFonts w:ascii="Calibri" w:cs="Calibri" w:eastAsia="Calibri" w:hAnsi="Calibri"/>
          <w:color w:val="232221"/>
          <w:sz w:val="22"/>
          <w:szCs w:val="22"/>
        </w:rPr>
        <w:t xml:space="preserve">0,17 € / 1,70 DH par an.</w:t>
      </w:r>
    </w:p>
    <w:p>
      <w:pPr>
        <w:pStyle w:val="Heading2"/>
        <w:spacing w:after="140" w:before="280"/>
      </w:pPr>
      <w:r>
        <w:rPr>
          <w:rFonts w:ascii="Calibri Light" w:cs="Calibri Light" w:eastAsia="Calibri Light" w:hAnsi="Calibri Light"/>
          <w:b/>
          <w:bCs/>
          <w:color w:val="232221"/>
          <w:sz w:val="26"/>
          <w:szCs w:val="26"/>
        </w:rPr>
        <w:t xml:space="preserve">Analyse de la Marge sur l'Abonnement Pro Annuel</w:t>
      </w:r>
    </w:p>
    <w:p>
      <w:pPr>
        <w:spacing w:after="140" w:before="140" w:line="300"/>
        <w:jc w:val="left"/>
      </w:pPr>
      <w:r>
        <w:rPr>
          <w:rFonts w:ascii="Calibri" w:cs="Calibri" w:eastAsia="Calibri" w:hAnsi="Calibri"/>
          <w:b w:val="false"/>
          <w:bCs w:val="false"/>
          <w:color w:val="232221"/>
          <w:sz w:val="22"/>
          <w:szCs w:val="22"/>
        </w:rPr>
        <w:t xml:space="preserve">Sur une vente de formule Trimly Pro Annuel à 49,99 € / 500 DH TTC :</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TVA (20%) : </w:t>
      </w:r>
      <w:r>
        <w:rPr>
          <w:rFonts w:ascii="Calibri" w:cs="Calibri" w:eastAsia="Calibri" w:hAnsi="Calibri"/>
          <w:color w:val="232221"/>
          <w:sz w:val="22"/>
          <w:szCs w:val="22"/>
        </w:rPr>
        <w:t xml:space="preserve">-8,33 € / -83,30 DH</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Commission Stores Apple/Google (15% - Tarif PME) : </w:t>
      </w:r>
      <w:r>
        <w:rPr>
          <w:rFonts w:ascii="Calibri" w:cs="Calibri" w:eastAsia="Calibri" w:hAnsi="Calibri"/>
          <w:color w:val="232221"/>
          <w:sz w:val="22"/>
          <w:szCs w:val="22"/>
        </w:rPr>
        <w:t xml:space="preserve">-7,50 € / -75,00 DH</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Coûts variables (COGS) d'infrastructure : </w:t>
      </w:r>
      <w:r>
        <w:rPr>
          <w:rFonts w:ascii="Calibri" w:cs="Calibri" w:eastAsia="Calibri" w:hAnsi="Calibri"/>
          <w:color w:val="232221"/>
          <w:sz w:val="22"/>
          <w:szCs w:val="22"/>
        </w:rPr>
        <w:t xml:space="preserve">-0,17 € / -1,70 DH</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Marge nette Trimly par abonnement Pro Annuel : </w:t>
      </w:r>
      <w:r>
        <w:rPr>
          <w:rFonts w:ascii="Calibri" w:cs="Calibri" w:eastAsia="Calibri" w:hAnsi="Calibri"/>
          <w:color w:val="232221"/>
          <w:sz w:val="22"/>
          <w:szCs w:val="22"/>
        </w:rPr>
        <w:t xml:space="preserve">33,99 € / 340,00 DH (soit un taux de marge nette de 68.0%).</w:t>
      </w:r>
    </w:p>
    <w:p>
      <w:pPr>
        <w:pStyle w:val="Heading2"/>
        <w:spacing w:after="140" w:before="280"/>
      </w:pPr>
      <w:r>
        <w:rPr>
          <w:rFonts w:ascii="Calibri Light" w:cs="Calibri Light" w:eastAsia="Calibri Light" w:hAnsi="Calibri Light"/>
          <w:b/>
          <w:bCs/>
          <w:color w:val="232221"/>
          <w:sz w:val="26"/>
          <w:szCs w:val="26"/>
        </w:rPr>
        <w:t xml:space="preserve">Prévisions Financières - Exercice 1 (Trimestrielles)</w:t>
      </w:r>
    </w:p>
    <w:p>
      <w:pPr>
        <w:spacing w:after="140" w:before="140" w:line="300"/>
        <w:jc w:val="left"/>
      </w:pPr>
      <w:r>
        <w:rPr>
          <w:rFonts w:ascii="Calibri" w:cs="Calibri" w:eastAsia="Calibri" w:hAnsi="Calibri"/>
          <w:b w:val="false"/>
          <w:bCs w:val="false"/>
          <w:color w:val="232221"/>
          <w:sz w:val="22"/>
          <w:szCs w:val="22"/>
        </w:rPr>
        <w:t xml:space="preserve">Voici notre tableau de projections financières consolidé pour la première année d'activité (en Euros et en Dirhams, avec 1 € = 10 DH) :</w:t>
      </w:r>
    </w:p>
    <w:p>
      <w:pPr>
        <w:spacing w:after="120" w:before="12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E2E8F0" w:sz="4"/>
              <w:left w:val="single" w:color="E2E8F0" w:sz="4"/>
              <w:bottom w:val="single" w:color="E2E8F0" w:sz="4"/>
              <w:right w:val="single" w:color="E2E8F0" w:sz="4"/>
            </w:tcBorders>
            <w:shd w:fill="5B6E7A"/>
            <w:tcMar>
              <w:top w:type="dxa" w:w="140"/>
              <w:left w:type="dxa" w:w="180"/>
              <w:bottom w:type="dxa" w:w="140"/>
              <w:right w:type="dxa" w:w="180"/>
            </w:tcMar>
          </w:tcPr>
          <w:p>
            <w:pPr>
              <w:spacing w:after="100" w:before="100"/>
              <w:jc w:val="center"/>
            </w:pPr>
            <w:r>
              <w:rPr>
                <w:rFonts w:ascii="Calibri" w:cs="Calibri" w:eastAsia="Calibri" w:hAnsi="Calibri"/>
                <w:b/>
                <w:bCs/>
                <w:color w:val="FFFFFF"/>
                <w:sz w:val="20"/>
                <w:szCs w:val="20"/>
              </w:rPr>
              <w:t xml:space="preserve">Indicateurs Financiers</w:t>
            </w:r>
          </w:p>
        </w:tc>
        <w:tc>
          <w:tcPr>
            <w:tcBorders>
              <w:top w:val="single" w:color="E2E8F0" w:sz="4"/>
              <w:left w:val="single" w:color="E2E8F0" w:sz="4"/>
              <w:bottom w:val="single" w:color="E2E8F0" w:sz="4"/>
              <w:right w:val="single" w:color="E2E8F0" w:sz="4"/>
            </w:tcBorders>
            <w:shd w:fill="5B6E7A"/>
            <w:tcMar>
              <w:top w:type="dxa" w:w="140"/>
              <w:left w:type="dxa" w:w="180"/>
              <w:bottom w:type="dxa" w:w="140"/>
              <w:right w:type="dxa" w:w="180"/>
            </w:tcMar>
          </w:tcPr>
          <w:p>
            <w:pPr>
              <w:spacing w:after="100" w:before="100"/>
              <w:jc w:val="center"/>
            </w:pPr>
            <w:r>
              <w:rPr>
                <w:rFonts w:ascii="Calibri" w:cs="Calibri" w:eastAsia="Calibri" w:hAnsi="Calibri"/>
                <w:b/>
                <w:bCs/>
                <w:color w:val="FFFFFF"/>
                <w:sz w:val="20"/>
                <w:szCs w:val="20"/>
              </w:rPr>
              <w:t xml:space="preserve">Trimestre 1</w:t>
            </w:r>
          </w:p>
        </w:tc>
        <w:tc>
          <w:tcPr>
            <w:tcBorders>
              <w:top w:val="single" w:color="E2E8F0" w:sz="4"/>
              <w:left w:val="single" w:color="E2E8F0" w:sz="4"/>
              <w:bottom w:val="single" w:color="E2E8F0" w:sz="4"/>
              <w:right w:val="single" w:color="E2E8F0" w:sz="4"/>
            </w:tcBorders>
            <w:shd w:fill="5B6E7A"/>
            <w:tcMar>
              <w:top w:type="dxa" w:w="140"/>
              <w:left w:type="dxa" w:w="180"/>
              <w:bottom w:type="dxa" w:w="140"/>
              <w:right w:type="dxa" w:w="180"/>
            </w:tcMar>
          </w:tcPr>
          <w:p>
            <w:pPr>
              <w:spacing w:after="100" w:before="100"/>
              <w:jc w:val="center"/>
            </w:pPr>
            <w:r>
              <w:rPr>
                <w:rFonts w:ascii="Calibri" w:cs="Calibri" w:eastAsia="Calibri" w:hAnsi="Calibri"/>
                <w:b/>
                <w:bCs/>
                <w:color w:val="FFFFFF"/>
                <w:sz w:val="20"/>
                <w:szCs w:val="20"/>
              </w:rPr>
              <w:t xml:space="preserve">Trimestre 2</w:t>
            </w:r>
          </w:p>
        </w:tc>
        <w:tc>
          <w:tcPr>
            <w:tcBorders>
              <w:top w:val="single" w:color="E2E8F0" w:sz="4"/>
              <w:left w:val="single" w:color="E2E8F0" w:sz="4"/>
              <w:bottom w:val="single" w:color="E2E8F0" w:sz="4"/>
              <w:right w:val="single" w:color="E2E8F0" w:sz="4"/>
            </w:tcBorders>
            <w:shd w:fill="5B6E7A"/>
            <w:tcMar>
              <w:top w:type="dxa" w:w="140"/>
              <w:left w:type="dxa" w:w="180"/>
              <w:bottom w:type="dxa" w:w="140"/>
              <w:right w:type="dxa" w:w="180"/>
            </w:tcMar>
          </w:tcPr>
          <w:p>
            <w:pPr>
              <w:spacing w:after="100" w:before="100"/>
              <w:jc w:val="center"/>
            </w:pPr>
            <w:r>
              <w:rPr>
                <w:rFonts w:ascii="Calibri" w:cs="Calibri" w:eastAsia="Calibri" w:hAnsi="Calibri"/>
                <w:b/>
                <w:bCs/>
                <w:color w:val="FFFFFF"/>
                <w:sz w:val="20"/>
                <w:szCs w:val="20"/>
              </w:rPr>
              <w:t xml:space="preserve">Trimestre 3</w:t>
            </w:r>
          </w:p>
        </w:tc>
        <w:tc>
          <w:tcPr>
            <w:tcBorders>
              <w:top w:val="single" w:color="E2E8F0" w:sz="4"/>
              <w:left w:val="single" w:color="E2E8F0" w:sz="4"/>
              <w:bottom w:val="single" w:color="E2E8F0" w:sz="4"/>
              <w:right w:val="single" w:color="E2E8F0" w:sz="4"/>
            </w:tcBorders>
            <w:shd w:fill="5B6E7A"/>
            <w:tcMar>
              <w:top w:type="dxa" w:w="140"/>
              <w:left w:type="dxa" w:w="180"/>
              <w:bottom w:type="dxa" w:w="140"/>
              <w:right w:type="dxa" w:w="180"/>
            </w:tcMar>
          </w:tcPr>
          <w:p>
            <w:pPr>
              <w:spacing w:after="100" w:before="100"/>
              <w:jc w:val="center"/>
            </w:pPr>
            <w:r>
              <w:rPr>
                <w:rFonts w:ascii="Calibri" w:cs="Calibri" w:eastAsia="Calibri" w:hAnsi="Calibri"/>
                <w:b/>
                <w:bCs/>
                <w:color w:val="FFFFFF"/>
                <w:sz w:val="20"/>
                <w:szCs w:val="20"/>
              </w:rPr>
              <w:t xml:space="preserve">Trimestre 4</w:t>
            </w:r>
          </w:p>
        </w:tc>
        <w:tc>
          <w:tcPr>
            <w:tcBorders>
              <w:top w:val="single" w:color="E2E8F0" w:sz="4"/>
              <w:left w:val="single" w:color="E2E8F0" w:sz="4"/>
              <w:bottom w:val="single" w:color="E2E8F0" w:sz="4"/>
              <w:right w:val="single" w:color="E2E8F0" w:sz="4"/>
            </w:tcBorders>
            <w:shd w:fill="5B6E7A"/>
            <w:tcMar>
              <w:top w:type="dxa" w:w="140"/>
              <w:left w:type="dxa" w:w="180"/>
              <w:bottom w:type="dxa" w:w="140"/>
              <w:right w:type="dxa" w:w="180"/>
            </w:tcMar>
          </w:tcPr>
          <w:p>
            <w:pPr>
              <w:spacing w:after="100" w:before="100"/>
              <w:jc w:val="center"/>
            </w:pPr>
            <w:r>
              <w:rPr>
                <w:rFonts w:ascii="Calibri" w:cs="Calibri" w:eastAsia="Calibri" w:hAnsi="Calibri"/>
                <w:b/>
                <w:bCs/>
                <w:color w:val="FFFFFF"/>
                <w:sz w:val="20"/>
                <w:szCs w:val="20"/>
              </w:rPr>
              <w:t xml:space="preserve">Total Année 1</w:t>
            </w:r>
          </w:p>
        </w:tc>
      </w:tr>
      <w:tr>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left"/>
            </w:pPr>
            <w:r>
              <w:rPr>
                <w:rFonts w:ascii="Calibri" w:cs="Calibri" w:eastAsia="Calibri" w:hAnsi="Calibri"/>
                <w:b/>
                <w:bCs/>
                <w:color w:val="232221"/>
                <w:sz w:val="20"/>
                <w:szCs w:val="20"/>
              </w:rPr>
              <w:t xml:space="preserve">Abonnés Payants Actifs (fin de période)</w:t>
            </w:r>
          </w:p>
        </w:tc>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center"/>
            </w:pPr>
            <w:r>
              <w:rPr>
                <w:rFonts w:ascii="Calibri" w:cs="Calibri" w:eastAsia="Calibri" w:hAnsi="Calibri"/>
                <w:b w:val="false"/>
                <w:bCs w:val="false"/>
                <w:color w:val="232221"/>
                <w:sz w:val="20"/>
                <w:szCs w:val="20"/>
              </w:rPr>
              <w:t xml:space="preserve">300</w:t>
            </w:r>
          </w:p>
        </w:tc>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center"/>
            </w:pPr>
            <w:r>
              <w:rPr>
                <w:rFonts w:ascii="Calibri" w:cs="Calibri" w:eastAsia="Calibri" w:hAnsi="Calibri"/>
                <w:b w:val="false"/>
                <w:bCs w:val="false"/>
                <w:color w:val="232221"/>
                <w:sz w:val="20"/>
                <w:szCs w:val="20"/>
              </w:rPr>
              <w:t xml:space="preserve">1 200</w:t>
            </w:r>
          </w:p>
        </w:tc>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center"/>
            </w:pPr>
            <w:r>
              <w:rPr>
                <w:rFonts w:ascii="Calibri" w:cs="Calibri" w:eastAsia="Calibri" w:hAnsi="Calibri"/>
                <w:b w:val="false"/>
                <w:bCs w:val="false"/>
                <w:color w:val="232221"/>
                <w:sz w:val="20"/>
                <w:szCs w:val="20"/>
              </w:rPr>
              <w:t xml:space="preserve">3 000</w:t>
            </w:r>
          </w:p>
        </w:tc>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center"/>
            </w:pPr>
            <w:r>
              <w:rPr>
                <w:rFonts w:ascii="Calibri" w:cs="Calibri" w:eastAsia="Calibri" w:hAnsi="Calibri"/>
                <w:b w:val="false"/>
                <w:bCs w:val="false"/>
                <w:color w:val="232221"/>
                <w:sz w:val="20"/>
                <w:szCs w:val="20"/>
              </w:rPr>
              <w:t xml:space="preserve">6 000</w:t>
            </w:r>
          </w:p>
        </w:tc>
        <w:tc>
          <w:tcPr>
            <w:tcBorders>
              <w:top w:val="single" w:color="E2E8F0" w:sz="4"/>
              <w:left w:val="single" w:color="E2E8F0" w:sz="4"/>
              <w:bottom w:val="single" w:color="E2E8F0" w:sz="4"/>
              <w:right w:val="single" w:color="E2E8F0" w:sz="4"/>
            </w:tcBorders>
            <w:shd w:fill="F7F5F0"/>
            <w:tcMar>
              <w:top w:type="dxa" w:w="140"/>
              <w:left w:type="dxa" w:w="180"/>
              <w:bottom w:type="dxa" w:w="140"/>
              <w:right w:type="dxa" w:w="180"/>
            </w:tcMar>
          </w:tcPr>
          <w:p>
            <w:pPr>
              <w:spacing w:after="100" w:before="100"/>
              <w:jc w:val="center"/>
            </w:pPr>
            <w:r>
              <w:rPr>
                <w:rFonts w:ascii="Calibri" w:cs="Calibri" w:eastAsia="Calibri" w:hAnsi="Calibri"/>
                <w:b/>
                <w:bCs/>
                <w:color w:val="232221"/>
                <w:sz w:val="20"/>
                <w:szCs w:val="20"/>
              </w:rPr>
              <w:t xml:space="preserve">6 000</w:t>
            </w:r>
          </w:p>
        </w:tc>
      </w:tr>
      <w:tr>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left"/>
            </w:pPr>
            <w:r>
              <w:rPr>
                <w:rFonts w:ascii="Calibri" w:cs="Calibri" w:eastAsia="Calibri" w:hAnsi="Calibri"/>
                <w:b/>
                <w:bCs/>
                <w:color w:val="232221"/>
                <w:sz w:val="20"/>
                <w:szCs w:val="20"/>
              </w:rPr>
              <w:t xml:space="preserve">Chiffre d'Affaires Brut</w:t>
            </w:r>
          </w:p>
        </w:tc>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center"/>
            </w:pPr>
            <w:r>
              <w:rPr>
                <w:rFonts w:ascii="Calibri" w:cs="Calibri" w:eastAsia="Calibri" w:hAnsi="Calibri"/>
                <w:b w:val="false"/>
                <w:bCs w:val="false"/>
                <w:color w:val="232221"/>
                <w:sz w:val="20"/>
                <w:szCs w:val="20"/>
              </w:rPr>
              <w:t xml:space="preserve">2 100 €
(21 000 DH)</w:t>
            </w:r>
          </w:p>
        </w:tc>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center"/>
            </w:pPr>
            <w:r>
              <w:rPr>
                <w:rFonts w:ascii="Calibri" w:cs="Calibri" w:eastAsia="Calibri" w:hAnsi="Calibri"/>
                <w:b w:val="false"/>
                <w:bCs w:val="false"/>
                <w:color w:val="232221"/>
                <w:sz w:val="20"/>
                <w:szCs w:val="20"/>
              </w:rPr>
              <w:t xml:space="preserve">8 400 €
(84 000 DH)</w:t>
            </w:r>
          </w:p>
        </w:tc>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center"/>
            </w:pPr>
            <w:r>
              <w:rPr>
                <w:rFonts w:ascii="Calibri" w:cs="Calibri" w:eastAsia="Calibri" w:hAnsi="Calibri"/>
                <w:b w:val="false"/>
                <w:bCs w:val="false"/>
                <w:color w:val="232221"/>
                <w:sz w:val="20"/>
                <w:szCs w:val="20"/>
              </w:rPr>
              <w:t xml:space="preserve">21 000 €
(210 000 DH)</w:t>
            </w:r>
          </w:p>
        </w:tc>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center"/>
            </w:pPr>
            <w:r>
              <w:rPr>
                <w:rFonts w:ascii="Calibri" w:cs="Calibri" w:eastAsia="Calibri" w:hAnsi="Calibri"/>
                <w:b w:val="false"/>
                <w:bCs w:val="false"/>
                <w:color w:val="232221"/>
                <w:sz w:val="20"/>
                <w:szCs w:val="20"/>
              </w:rPr>
              <w:t xml:space="preserve">42 000 €
(420 000 DH)</w:t>
            </w:r>
          </w:p>
        </w:tc>
        <w:tc>
          <w:tcPr>
            <w:tcBorders>
              <w:top w:val="single" w:color="E2E8F0" w:sz="4"/>
              <w:left w:val="single" w:color="E2E8F0" w:sz="4"/>
              <w:bottom w:val="single" w:color="E2E8F0" w:sz="4"/>
              <w:right w:val="single" w:color="E2E8F0" w:sz="4"/>
            </w:tcBorders>
            <w:shd w:fill="F7F5F0"/>
            <w:tcMar>
              <w:top w:type="dxa" w:w="140"/>
              <w:left w:type="dxa" w:w="180"/>
              <w:bottom w:type="dxa" w:w="140"/>
              <w:right w:type="dxa" w:w="180"/>
            </w:tcMar>
          </w:tcPr>
          <w:p>
            <w:pPr>
              <w:spacing w:after="100" w:before="100"/>
              <w:jc w:val="center"/>
            </w:pPr>
            <w:r>
              <w:rPr>
                <w:rFonts w:ascii="Calibri" w:cs="Calibri" w:eastAsia="Calibri" w:hAnsi="Calibri"/>
                <w:b/>
                <w:bCs/>
                <w:color w:val="A34839"/>
                <w:sz w:val="20"/>
                <w:szCs w:val="20"/>
              </w:rPr>
              <w:t xml:space="preserve">73 500 €
(735 000 DH)</w:t>
            </w:r>
          </w:p>
        </w:tc>
      </w:tr>
      <w:tr>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left"/>
            </w:pPr>
            <w:r>
              <w:rPr>
                <w:rFonts w:ascii="Calibri" w:cs="Calibri" w:eastAsia="Calibri" w:hAnsi="Calibri"/>
                <w:b/>
                <w:bCs/>
                <w:color w:val="232221"/>
                <w:sz w:val="20"/>
                <w:szCs w:val="20"/>
              </w:rPr>
              <w:t xml:space="preserve">Coûts Variables directes (COGS)</w:t>
            </w:r>
          </w:p>
        </w:tc>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center"/>
            </w:pPr>
            <w:r>
              <w:rPr>
                <w:rFonts w:ascii="Calibri" w:cs="Calibri" w:eastAsia="Calibri" w:hAnsi="Calibri"/>
                <w:b w:val="false"/>
                <w:bCs w:val="false"/>
                <w:color w:val="232221"/>
                <w:sz w:val="20"/>
                <w:szCs w:val="20"/>
              </w:rPr>
              <w:t xml:space="preserve">480 €
(4 800 DH)</w:t>
            </w:r>
          </w:p>
        </w:tc>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center"/>
            </w:pPr>
            <w:r>
              <w:rPr>
                <w:rFonts w:ascii="Calibri" w:cs="Calibri" w:eastAsia="Calibri" w:hAnsi="Calibri"/>
                <w:b w:val="false"/>
                <w:bCs w:val="false"/>
                <w:color w:val="232221"/>
                <w:sz w:val="20"/>
                <w:szCs w:val="20"/>
              </w:rPr>
              <w:t xml:space="preserve">1 920 €
(19 200 DH)</w:t>
            </w:r>
          </w:p>
        </w:tc>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center"/>
            </w:pPr>
            <w:r>
              <w:rPr>
                <w:rFonts w:ascii="Calibri" w:cs="Calibri" w:eastAsia="Calibri" w:hAnsi="Calibri"/>
                <w:b w:val="false"/>
                <w:bCs w:val="false"/>
                <w:color w:val="232221"/>
                <w:sz w:val="20"/>
                <w:szCs w:val="20"/>
              </w:rPr>
              <w:t xml:space="preserve">4 800 €
(48 000 DH)</w:t>
            </w:r>
          </w:p>
        </w:tc>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center"/>
            </w:pPr>
            <w:r>
              <w:rPr>
                <w:rFonts w:ascii="Calibri" w:cs="Calibri" w:eastAsia="Calibri" w:hAnsi="Calibri"/>
                <w:b w:val="false"/>
                <w:bCs w:val="false"/>
                <w:color w:val="232221"/>
                <w:sz w:val="20"/>
                <w:szCs w:val="20"/>
              </w:rPr>
              <w:t xml:space="preserve">10 100 €
(101 000 DH)</w:t>
            </w:r>
          </w:p>
        </w:tc>
        <w:tc>
          <w:tcPr>
            <w:tcBorders>
              <w:top w:val="single" w:color="E2E8F0" w:sz="4"/>
              <w:left w:val="single" w:color="E2E8F0" w:sz="4"/>
              <w:bottom w:val="single" w:color="E2E8F0" w:sz="4"/>
              <w:right w:val="single" w:color="E2E8F0" w:sz="4"/>
            </w:tcBorders>
            <w:shd w:fill="F7F5F0"/>
            <w:tcMar>
              <w:top w:type="dxa" w:w="140"/>
              <w:left w:type="dxa" w:w="180"/>
              <w:bottom w:type="dxa" w:w="140"/>
              <w:right w:type="dxa" w:w="180"/>
            </w:tcMar>
          </w:tcPr>
          <w:p>
            <w:pPr>
              <w:spacing w:after="100" w:before="100"/>
              <w:jc w:val="center"/>
            </w:pPr>
            <w:r>
              <w:rPr>
                <w:rFonts w:ascii="Calibri" w:cs="Calibri" w:eastAsia="Calibri" w:hAnsi="Calibri"/>
                <w:b/>
                <w:bCs/>
                <w:color w:val="232221"/>
                <w:sz w:val="20"/>
                <w:szCs w:val="20"/>
              </w:rPr>
              <w:t xml:space="preserve">17 300 €
(173 000 DH)</w:t>
            </w:r>
          </w:p>
        </w:tc>
      </w:tr>
      <w:tr>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left"/>
            </w:pPr>
            <w:r>
              <w:rPr>
                <w:rFonts w:ascii="Calibri" w:cs="Calibri" w:eastAsia="Calibri" w:hAnsi="Calibri"/>
                <w:b/>
                <w:bCs/>
                <w:color w:val="232221"/>
                <w:sz w:val="20"/>
                <w:szCs w:val="20"/>
              </w:rPr>
              <w:t xml:space="preserve">Charges Fixes</w:t>
            </w:r>
          </w:p>
        </w:tc>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center"/>
            </w:pPr>
            <w:r>
              <w:rPr>
                <w:rFonts w:ascii="Calibri" w:cs="Calibri" w:eastAsia="Calibri" w:hAnsi="Calibri"/>
                <w:b w:val="false"/>
                <w:bCs w:val="false"/>
                <w:color w:val="232221"/>
                <w:sz w:val="20"/>
                <w:szCs w:val="20"/>
              </w:rPr>
              <w:t xml:space="preserve">5 500 €
(55 000 DH)</w:t>
            </w:r>
          </w:p>
        </w:tc>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center"/>
            </w:pPr>
            <w:r>
              <w:rPr>
                <w:rFonts w:ascii="Calibri" w:cs="Calibri" w:eastAsia="Calibri" w:hAnsi="Calibri"/>
                <w:b w:val="false"/>
                <w:bCs w:val="false"/>
                <w:color w:val="232221"/>
                <w:sz w:val="20"/>
                <w:szCs w:val="20"/>
              </w:rPr>
              <w:t xml:space="preserve">4 000 €
(40 000 DH)</w:t>
            </w:r>
          </w:p>
        </w:tc>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center"/>
            </w:pPr>
            <w:r>
              <w:rPr>
                <w:rFonts w:ascii="Calibri" w:cs="Calibri" w:eastAsia="Calibri" w:hAnsi="Calibri"/>
                <w:b w:val="false"/>
                <w:bCs w:val="false"/>
                <w:color w:val="232221"/>
                <w:sz w:val="20"/>
                <w:szCs w:val="20"/>
              </w:rPr>
              <w:t xml:space="preserve">4 000 €
(40 000 DH)</w:t>
            </w:r>
          </w:p>
        </w:tc>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center"/>
            </w:pPr>
            <w:r>
              <w:rPr>
                <w:rFonts w:ascii="Calibri" w:cs="Calibri" w:eastAsia="Calibri" w:hAnsi="Calibri"/>
                <w:b w:val="false"/>
                <w:bCs w:val="false"/>
                <w:color w:val="232221"/>
                <w:sz w:val="20"/>
                <w:szCs w:val="20"/>
              </w:rPr>
              <w:t xml:space="preserve">4 000 €
(40 000 DH)</w:t>
            </w:r>
          </w:p>
        </w:tc>
        <w:tc>
          <w:tcPr>
            <w:tcBorders>
              <w:top w:val="single" w:color="E2E8F0" w:sz="4"/>
              <w:left w:val="single" w:color="E2E8F0" w:sz="4"/>
              <w:bottom w:val="single" w:color="E2E8F0" w:sz="4"/>
              <w:right w:val="single" w:color="E2E8F0" w:sz="4"/>
            </w:tcBorders>
            <w:shd w:fill="F7F5F0"/>
            <w:tcMar>
              <w:top w:type="dxa" w:w="140"/>
              <w:left w:type="dxa" w:w="180"/>
              <w:bottom w:type="dxa" w:w="140"/>
              <w:right w:type="dxa" w:w="180"/>
            </w:tcMar>
          </w:tcPr>
          <w:p>
            <w:pPr>
              <w:spacing w:after="100" w:before="100"/>
              <w:jc w:val="center"/>
            </w:pPr>
            <w:r>
              <w:rPr>
                <w:rFonts w:ascii="Calibri" w:cs="Calibri" w:eastAsia="Calibri" w:hAnsi="Calibri"/>
                <w:b/>
                <w:bCs/>
                <w:color w:val="232221"/>
                <w:sz w:val="20"/>
                <w:szCs w:val="20"/>
              </w:rPr>
              <w:t xml:space="preserve">17 500 €
(175 000 DH)</w:t>
            </w:r>
          </w:p>
        </w:tc>
      </w:tr>
      <w:tr>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left"/>
            </w:pPr>
            <w:r>
              <w:rPr>
                <w:rFonts w:ascii="Calibri" w:cs="Calibri" w:eastAsia="Calibri" w:hAnsi="Calibri"/>
                <w:b/>
                <w:bCs/>
                <w:color w:val="232221"/>
                <w:sz w:val="20"/>
                <w:szCs w:val="20"/>
              </w:rPr>
              <w:t xml:space="preserve">Bénéfice Net (Avant Impôts)</w:t>
            </w:r>
          </w:p>
        </w:tc>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center"/>
            </w:pPr>
            <w:r>
              <w:rPr>
                <w:rFonts w:ascii="Calibri" w:cs="Calibri" w:eastAsia="Calibri" w:hAnsi="Calibri"/>
                <w:b w:val="false"/>
                <w:bCs w:val="false"/>
                <w:color w:val="A34839"/>
                <w:sz w:val="20"/>
                <w:szCs w:val="20"/>
              </w:rPr>
              <w:t xml:space="preserve">-3 880 €
(-38 800 DH)</w:t>
            </w:r>
          </w:p>
        </w:tc>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center"/>
            </w:pPr>
            <w:r>
              <w:rPr>
                <w:rFonts w:ascii="Calibri" w:cs="Calibri" w:eastAsia="Calibri" w:hAnsi="Calibri"/>
                <w:b w:val="false"/>
                <w:bCs w:val="false"/>
                <w:color w:val="232221"/>
                <w:sz w:val="20"/>
                <w:szCs w:val="20"/>
              </w:rPr>
              <w:t xml:space="preserve">2 480 €
(24 800 DH)</w:t>
            </w:r>
          </w:p>
        </w:tc>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center"/>
            </w:pPr>
            <w:r>
              <w:rPr>
                <w:rFonts w:ascii="Calibri" w:cs="Calibri" w:eastAsia="Calibri" w:hAnsi="Calibri"/>
                <w:b w:val="false"/>
                <w:bCs w:val="false"/>
                <w:color w:val="232221"/>
                <w:sz w:val="20"/>
                <w:szCs w:val="20"/>
              </w:rPr>
              <w:t xml:space="preserve">12 200 €
(122 000 DH)</w:t>
            </w:r>
          </w:p>
        </w:tc>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center"/>
            </w:pPr>
            <w:r>
              <w:rPr>
                <w:rFonts w:ascii="Calibri" w:cs="Calibri" w:eastAsia="Calibri" w:hAnsi="Calibri"/>
                <w:b w:val="false"/>
                <w:bCs w:val="false"/>
                <w:color w:val="232221"/>
                <w:sz w:val="20"/>
                <w:szCs w:val="20"/>
              </w:rPr>
              <w:t xml:space="preserve">27 900 €
(279 000 DH)</w:t>
            </w:r>
          </w:p>
        </w:tc>
        <w:tc>
          <w:tcPr>
            <w:tcBorders>
              <w:top w:val="single" w:color="E2E8F0" w:sz="4"/>
              <w:left w:val="single" w:color="E2E8F0" w:sz="4"/>
              <w:bottom w:val="single" w:color="E2E8F0" w:sz="4"/>
              <w:right w:val="single" w:color="E2E8F0" w:sz="4"/>
            </w:tcBorders>
            <w:shd w:fill="ECE5D8"/>
            <w:tcMar>
              <w:top w:type="dxa" w:w="140"/>
              <w:left w:type="dxa" w:w="180"/>
              <w:bottom w:type="dxa" w:w="140"/>
              <w:right w:type="dxa" w:w="180"/>
            </w:tcMar>
          </w:tcPr>
          <w:p>
            <w:pPr>
              <w:spacing w:after="100" w:before="100"/>
              <w:jc w:val="center"/>
            </w:pPr>
            <w:r>
              <w:rPr>
                <w:rFonts w:ascii="Calibri" w:cs="Calibri" w:eastAsia="Calibri" w:hAnsi="Calibri"/>
                <w:b/>
                <w:bCs/>
                <w:color w:val="A34839"/>
                <w:sz w:val="20"/>
                <w:szCs w:val="20"/>
              </w:rPr>
              <w:t xml:space="preserve">38 700 €
(387 000 DH)</w:t>
            </w:r>
          </w:p>
        </w:tc>
      </w:tr>
    </w:tbl>
    <w:p>
      <w:pPr>
        <w:spacing w:before="120"/>
      </w:pPr>
    </w:p>
    <w:p>
      <w:pPr>
        <w:pStyle w:val="Heading2"/>
        <w:spacing w:after="140" w:before="280"/>
      </w:pPr>
      <w:r>
        <w:rPr>
          <w:rFonts w:ascii="Calibri Light" w:cs="Calibri Light" w:eastAsia="Calibri Light" w:hAnsi="Calibri Light"/>
          <w:b/>
          <w:bCs/>
          <w:color w:val="232221"/>
          <w:sz w:val="26"/>
          <w:szCs w:val="26"/>
        </w:rPr>
        <w:t xml:space="preserve">Seuil de Rentabilité</w:t>
      </w:r>
    </w:p>
    <w:p>
      <w:pPr>
        <w:spacing w:after="140" w:before="140" w:line="300"/>
        <w:jc w:val="left"/>
      </w:pPr>
      <w:r>
        <w:rPr>
          <w:rFonts w:ascii="Calibri" w:cs="Calibri" w:eastAsia="Calibri" w:hAnsi="Calibri"/>
          <w:b w:val="false"/>
          <w:bCs w:val="false"/>
          <w:color w:val="232221"/>
          <w:sz w:val="22"/>
          <w:szCs w:val="22"/>
        </w:rPr>
        <w:t xml:space="preserve">Nos charges fixes courantes s'élèvent à 1 500 € / 15 000 DH par mois (serveurs, marketing d'acquisition, support). Avec un revenu net moyen lissé de 2,80 € / 28 DH par utilisateur Pro par mois, le point mort est atteint avec 535 abonnés payants actifs. Nos projections indiquent que ce seuil sera dépassé au cours du 5ème mois d'activité.</w:t>
      </w:r>
    </w:p>
    <w:p>
      <w:r>
        <w:br w:type="page"/>
      </w:r>
    </w:p>
    <w:p>
      <w:pPr>
        <w:pStyle w:val="Heading1"/>
        <w:pBdr>
          <w:bottom w:val="single" w:color="A34839" w:sz="12"/>
        </w:pBdr>
        <w:spacing w:after="200" w:before="400"/>
      </w:pPr>
      <w:r>
        <w:rPr>
          <w:rFonts w:ascii="Calibri Light" w:cs="Calibri Light" w:eastAsia="Calibri Light" w:hAnsi="Calibri Light"/>
          <w:b/>
          <w:bCs/>
          <w:color w:val="A34839"/>
          <w:sz w:val="36"/>
          <w:szCs w:val="36"/>
        </w:rPr>
        <w:t xml:space="preserve">7. Plan Opérationnel</w:t>
      </w:r>
    </w:p>
    <w:p>
      <w:pPr>
        <w:spacing w:after="140" w:before="140" w:line="300"/>
        <w:jc w:val="left"/>
      </w:pPr>
      <w:r>
        <w:rPr>
          <w:rFonts w:ascii="Calibri" w:cs="Calibri" w:eastAsia="Calibri" w:hAnsi="Calibri"/>
          <w:b w:val="false"/>
          <w:bCs w:val="false"/>
          <w:color w:val="232221"/>
          <w:sz w:val="22"/>
          <w:szCs w:val="22"/>
        </w:rPr>
        <w:t xml:space="preserve">Cette section présente l'organisation des opérations de Trimly, de l'interaction de l'utilisateur à l'expédition postale de la lettre de résiliation par La Poste.</w:t>
      </w:r>
    </w:p>
    <w:p>
      <w:pPr>
        <w:pStyle w:val="Heading2"/>
        <w:spacing w:after="140" w:before="280"/>
      </w:pPr>
      <w:r>
        <w:rPr>
          <w:rFonts w:ascii="Calibri Light" w:cs="Calibri Light" w:eastAsia="Calibri Light" w:hAnsi="Calibri Light"/>
          <w:b/>
          <w:bCs/>
          <w:color w:val="232221"/>
          <w:sz w:val="26"/>
          <w:szCs w:val="26"/>
        </w:rPr>
        <w:t xml:space="preserve">Processus Logistique LRAR Pas-à-Pas</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1. Commande de l'utilisateur : </w:t>
      </w:r>
      <w:r>
        <w:rPr>
          <w:rFonts w:ascii="Calibri" w:cs="Calibri" w:eastAsia="Calibri" w:hAnsi="Calibri"/>
          <w:color w:val="232221"/>
          <w:sz w:val="22"/>
          <w:szCs w:val="22"/>
        </w:rPr>
        <w:t xml:space="preserve">L'utilisateur valide son intention de résilier un abonnement dans l'application mobile Trimly. Un appel API (Webhook) sécurisé est envoyé à notre plateforme d'orchestration n8n.</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2. Validation et Génération : </w:t>
      </w:r>
      <w:r>
        <w:rPr>
          <w:rFonts w:ascii="Calibri" w:cs="Calibri" w:eastAsia="Calibri" w:hAnsi="Calibri"/>
          <w:color w:val="232221"/>
          <w:sz w:val="22"/>
          <w:szCs w:val="22"/>
        </w:rPr>
        <w:t xml:space="preserve">Le serveur n8n vérifie la validité du token JWT de l'utilisateur et génère un PDF conforme aux normes postales françaises (placement des adresses, mise en page, formules de politesse).</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3. Envoi postal par API : </w:t>
      </w:r>
      <w:r>
        <w:rPr>
          <w:rFonts w:ascii="Calibri" w:cs="Calibri" w:eastAsia="Calibri" w:hAnsi="Calibri"/>
          <w:color w:val="232221"/>
          <w:sz w:val="22"/>
          <w:szCs w:val="22"/>
        </w:rPr>
        <w:t xml:space="preserve">n8n transmet le PDF et les coordonnées de distribution à l'API officielle de Maileva (La Poste) qui imprime, met sous pli et expédie physiquement le recommandé (LRAR) au destinataire.</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4. Suivi et Notification : </w:t>
      </w:r>
      <w:r>
        <w:rPr>
          <w:rFonts w:ascii="Calibri" w:cs="Calibri" w:eastAsia="Calibri" w:hAnsi="Calibri"/>
          <w:color w:val="232221"/>
          <w:sz w:val="22"/>
          <w:szCs w:val="22"/>
        </w:rPr>
        <w:t xml:space="preserve">L'API retourne le numéro de suivi postal. n8n met à jour le statut dans la base de données Supabase et émet une notification push (Expo Push) à l'utilisateur.</w:t>
      </w:r>
    </w:p>
    <w:p>
      <w:pPr>
        <w:pStyle w:val="Heading2"/>
        <w:spacing w:after="140" w:before="280"/>
      </w:pPr>
      <w:r>
        <w:rPr>
          <w:rFonts w:ascii="Calibri Light" w:cs="Calibri Light" w:eastAsia="Calibri Light" w:hAnsi="Calibri Light"/>
          <w:b/>
          <w:bCs/>
          <w:color w:val="232221"/>
          <w:sz w:val="26"/>
          <w:szCs w:val="26"/>
        </w:rPr>
        <w:t xml:space="preserve">Structure Juridique Cible</w:t>
      </w:r>
    </w:p>
    <w:p>
      <w:pPr>
        <w:spacing w:after="140" w:before="140" w:line="300"/>
        <w:jc w:val="left"/>
      </w:pPr>
      <w:r>
        <w:rPr>
          <w:rFonts w:ascii="Calibri" w:cs="Calibri" w:eastAsia="Calibri" w:hAnsi="Calibri"/>
          <w:b w:val="false"/>
          <w:bCs w:val="false"/>
          <w:color w:val="232221"/>
          <w:sz w:val="22"/>
          <w:szCs w:val="22"/>
        </w:rPr>
        <w:t xml:space="preserve">Au lancement, le projet sera exploité sous le statut d'Auto-entrepreneur (au Maroc pour la créatrice Aya Naimi). Lors de la levée de fonds Seed, la structure évoluera vers une SASU ou une SAS basée à Casablanca, facilitant les intégrations de passerelles de paiement internationales et la facturation.</w:t>
      </w:r>
    </w:p>
    <w:p>
      <w:pPr>
        <w:pStyle w:val="Heading2"/>
        <w:spacing w:after="140" w:before="280"/>
      </w:pPr>
      <w:r>
        <w:rPr>
          <w:rFonts w:ascii="Calibri Light" w:cs="Calibri Light" w:eastAsia="Calibri Light" w:hAnsi="Calibri Light"/>
          <w:b/>
          <w:bCs/>
          <w:color w:val="232221"/>
          <w:sz w:val="26"/>
          <w:szCs w:val="26"/>
        </w:rPr>
        <w:t xml:space="preserve">Ressources Requises pour le Lancement</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Outils &amp; Stores : </w:t>
      </w:r>
      <w:r>
        <w:rPr>
          <w:rFonts w:ascii="Calibri" w:cs="Calibri" w:eastAsia="Calibri" w:hAnsi="Calibri"/>
          <w:color w:val="232221"/>
          <w:sz w:val="22"/>
          <w:szCs w:val="22"/>
        </w:rPr>
        <w:t xml:space="preserve">Compte développeur Apple Developer (99 $/an / 1 000 DH) et Google Play Console (25 $ / 250 DH unique).</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Audit Google CASA Tier 2 : </w:t>
      </w:r>
      <w:r>
        <w:rPr>
          <w:rFonts w:ascii="Calibri" w:cs="Calibri" w:eastAsia="Calibri" w:hAnsi="Calibri"/>
          <w:color w:val="232221"/>
          <w:sz w:val="22"/>
          <w:szCs w:val="22"/>
        </w:rPr>
        <w:t xml:space="preserve">Un budget initial de 15 000 DH est requis pour financer l'audit de sécurité obligatoire imposé par Google pour l'accès en lecture seule aux boîtes mails Gmail.</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Trésorerie d'affranchissement : </w:t>
      </w:r>
      <w:r>
        <w:rPr>
          <w:rFonts w:ascii="Calibri" w:cs="Calibri" w:eastAsia="Calibri" w:hAnsi="Calibri"/>
          <w:color w:val="232221"/>
          <w:sz w:val="22"/>
          <w:szCs w:val="22"/>
        </w:rPr>
        <w:t xml:space="preserve">Un montant initial de 10 000 DH est placé sur le compte Maileva pour préfinancer les envois postaux recommandés.</w:t>
      </w:r>
    </w:p>
    <w:p>
      <w:r>
        <w:br w:type="page"/>
      </w:r>
    </w:p>
    <w:p>
      <w:pPr>
        <w:pStyle w:val="Heading1"/>
        <w:pBdr>
          <w:bottom w:val="single" w:color="A34839" w:sz="12"/>
        </w:pBdr>
        <w:spacing w:after="200" w:before="400"/>
      </w:pPr>
      <w:r>
        <w:rPr>
          <w:rFonts w:ascii="Calibri Light" w:cs="Calibri Light" w:eastAsia="Calibri Light" w:hAnsi="Calibri Light"/>
          <w:b/>
          <w:bCs/>
          <w:color w:val="A34839"/>
          <w:sz w:val="36"/>
          <w:szCs w:val="36"/>
        </w:rPr>
        <w:t xml:space="preserve">8. Équipe Projet</w:t>
      </w:r>
    </w:p>
    <w:p>
      <w:pPr>
        <w:spacing w:after="140" w:before="140" w:line="300"/>
        <w:jc w:val="left"/>
      </w:pPr>
      <w:r>
        <w:rPr>
          <w:rFonts w:ascii="Calibri" w:cs="Calibri" w:eastAsia="Calibri" w:hAnsi="Calibri"/>
          <w:b w:val="false"/>
          <w:bCs w:val="false"/>
          <w:color w:val="232221"/>
          <w:sz w:val="22"/>
          <w:szCs w:val="22"/>
        </w:rPr>
        <w:t xml:space="preserve">L'équipe fondatrice détient les compétences techniques clés pour assurer le développement et la livraison opérationnelle du produit.</w:t>
      </w:r>
    </w:p>
    <w:p>
      <w:pPr>
        <w:pStyle w:val="Heading2"/>
        <w:spacing w:after="140" w:before="280"/>
      </w:pPr>
      <w:r>
        <w:rPr>
          <w:rFonts w:ascii="Calibri Light" w:cs="Calibri Light" w:eastAsia="Calibri Light" w:hAnsi="Calibri Light"/>
          <w:b/>
          <w:bCs/>
          <w:color w:val="232221"/>
          <w:sz w:val="26"/>
          <w:szCs w:val="26"/>
        </w:rPr>
        <w:t xml:space="preserve">Rôle et Compétences de la Fondatrice</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Aya Naimi - Fondatrice &amp; Directrice Technique (CTO) : </w:t>
      </w:r>
      <w:r>
        <w:rPr>
          <w:rFonts w:ascii="Calibri" w:cs="Calibri" w:eastAsia="Calibri" w:hAnsi="Calibri"/>
          <w:color w:val="232221"/>
          <w:sz w:val="22"/>
          <w:szCs w:val="22"/>
        </w:rPr>
        <w:t xml:space="preserve">Étudiante en filière Développement Digital (Option Génie Logiciel) à l'OFPPT. Conceptrice de l'architecture logicielle de Trimly, Aya a développé le code React Native, configuré la base Supabase et modélisé l'intégration d'orchestration sous n8n. Elle est responsable de l'évolution technique et de la maintenance du produit.</w:t>
      </w:r>
    </w:p>
    <w:p>
      <w:pPr>
        <w:pStyle w:val="Heading2"/>
        <w:spacing w:after="140" w:before="280"/>
      </w:pPr>
      <w:r>
        <w:rPr>
          <w:rFonts w:ascii="Calibri Light" w:cs="Calibri Light" w:eastAsia="Calibri Light" w:hAnsi="Calibri Light"/>
          <w:b/>
          <w:bCs/>
          <w:color w:val="232221"/>
          <w:sz w:val="26"/>
          <w:szCs w:val="26"/>
        </w:rPr>
        <w:t xml:space="preserve">Plan de Recrutement Complémentaire</w:t>
      </w:r>
    </w:p>
    <w:p>
      <w:pPr>
        <w:spacing w:after="140" w:before="140" w:line="300"/>
        <w:jc w:val="left"/>
      </w:pPr>
      <w:r>
        <w:rPr>
          <w:rFonts w:ascii="Calibri" w:cs="Calibri" w:eastAsia="Calibri" w:hAnsi="Calibri"/>
          <w:b w:val="false"/>
          <w:bCs w:val="false"/>
          <w:color w:val="232221"/>
          <w:sz w:val="22"/>
          <w:szCs w:val="22"/>
        </w:rPr>
        <w:t xml:space="preserve">Pour combler nos besoins non techniques, deux profils clés seront recrutés à court terme :</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Mois 3 (Freelance) - Responsable Growth Marketing : </w:t>
      </w:r>
      <w:r>
        <w:rPr>
          <w:rFonts w:ascii="Calibri" w:cs="Calibri" w:eastAsia="Calibri" w:hAnsi="Calibri"/>
          <w:color w:val="232221"/>
          <w:sz w:val="22"/>
          <w:szCs w:val="22"/>
        </w:rPr>
        <w:t xml:space="preserve">Chargé de piloter le SEO, l'ASO sur les stores et d'animer les partenariats de micro-influence.</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Mois 6 (CDI/Stage) - Chargé d'Opérations Clients : </w:t>
      </w:r>
      <w:r>
        <w:rPr>
          <w:rFonts w:ascii="Calibri" w:cs="Calibri" w:eastAsia="Calibri" w:hAnsi="Calibri"/>
          <w:color w:val="232221"/>
          <w:sz w:val="22"/>
          <w:szCs w:val="22"/>
        </w:rPr>
        <w:t xml:space="preserve">Responsable du support client in-app et du suivi logistique des recommandés auprès de Maileva.</w:t>
      </w:r>
    </w:p>
    <w:p>
      <w:r>
        <w:br w:type="page"/>
      </w:r>
    </w:p>
    <w:p>
      <w:pPr>
        <w:pStyle w:val="Heading1"/>
        <w:pBdr>
          <w:bottom w:val="single" w:color="A34839" w:sz="12"/>
        </w:pBdr>
        <w:spacing w:after="200" w:before="400"/>
      </w:pPr>
      <w:r>
        <w:rPr>
          <w:rFonts w:ascii="Calibri Light" w:cs="Calibri Light" w:eastAsia="Calibri Light" w:hAnsi="Calibri Light"/>
          <w:b/>
          <w:bCs/>
          <w:color w:val="A34839"/>
          <w:sz w:val="36"/>
          <w:szCs w:val="36"/>
        </w:rPr>
        <w:t xml:space="preserve">9. Feuille de Route &amp; Risques</w:t>
      </w:r>
    </w:p>
    <w:p>
      <w:pPr>
        <w:spacing w:after="140" w:before="140" w:line="300"/>
        <w:jc w:val="left"/>
      </w:pPr>
      <w:r>
        <w:rPr>
          <w:rFonts w:ascii="Calibri" w:cs="Calibri" w:eastAsia="Calibri" w:hAnsi="Calibri"/>
          <w:b w:val="false"/>
          <w:bCs w:val="false"/>
          <w:color w:val="232221"/>
          <w:sz w:val="22"/>
          <w:szCs w:val="22"/>
        </w:rPr>
        <w:t xml:space="preserve">Cette section présente les jalons opérationnels sur 12 mois ainsi que les risques majeurs identifiés et leurs plans d'atténuation.</w:t>
      </w:r>
    </w:p>
    <w:p>
      <w:pPr>
        <w:pStyle w:val="Heading2"/>
        <w:spacing w:after="140" w:before="280"/>
      </w:pPr>
      <w:r>
        <w:rPr>
          <w:rFonts w:ascii="Calibri Light" w:cs="Calibri Light" w:eastAsia="Calibri Light" w:hAnsi="Calibri Light"/>
          <w:b/>
          <w:bCs/>
          <w:color w:val="232221"/>
          <w:sz w:val="26"/>
          <w:szCs w:val="26"/>
        </w:rPr>
        <w:t xml:space="preserve">Feuille de Route 12 Mois (Roadmap)</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Mois 1 à 3 : Lancement Store &amp; Audit : </w:t>
      </w:r>
      <w:r>
        <w:rPr>
          <w:rFonts w:ascii="Calibri" w:cs="Calibri" w:eastAsia="Calibri" w:hAnsi="Calibri"/>
          <w:color w:val="232221"/>
          <w:sz w:val="22"/>
          <w:szCs w:val="22"/>
        </w:rPr>
        <w:t xml:space="preserve">Finalisation du connecteur Outlook. Passage de l'audit Google CASA. Bêta test privée (100 testeurs) et publication officielle sur les stores.</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Mois 4 à 6 : Croissance &amp; OCR : </w:t>
      </w:r>
      <w:r>
        <w:rPr>
          <w:rFonts w:ascii="Calibri" w:cs="Calibri" w:eastAsia="Calibri" w:hAnsi="Calibri"/>
          <w:color w:val="232221"/>
          <w:sz w:val="22"/>
          <w:szCs w:val="22"/>
        </w:rPr>
        <w:t xml:space="preserve">Partenariats micro-influenceurs. Déploiement du module OCR pour la numérisation des factures papier. Objectif : 1 000 abonnés payants.</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Mois 7 à 12 : Affiliation &amp; Équilibre : </w:t>
      </w:r>
      <w:r>
        <w:rPr>
          <w:rFonts w:ascii="Calibri" w:cs="Calibri" w:eastAsia="Calibri" w:hAnsi="Calibri"/>
          <w:color w:val="232221"/>
          <w:sz w:val="22"/>
          <w:szCs w:val="22"/>
        </w:rPr>
        <w:t xml:space="preserve">Intégration du moteur d'affiliation. Atteinte de l'équilibre mensuel avec 5 000 abonnés payants.</w:t>
      </w:r>
    </w:p>
    <w:p>
      <w:pPr>
        <w:pStyle w:val="Heading2"/>
        <w:spacing w:after="140" w:before="280"/>
      </w:pPr>
      <w:r>
        <w:rPr>
          <w:rFonts w:ascii="Calibri Light" w:cs="Calibri Light" w:eastAsia="Calibri Light" w:hAnsi="Calibri Light"/>
          <w:b/>
          <w:bCs/>
          <w:color w:val="232221"/>
          <w:sz w:val="26"/>
          <w:szCs w:val="26"/>
        </w:rPr>
        <w:t xml:space="preserve">Analyse des Risques &amp; Actions Correctives</w:t>
      </w:r>
    </w:p>
    <w:p>
      <w:pPr>
        <w:spacing w:after="140" w:before="140" w:line="300"/>
        <w:jc w:val="left"/>
      </w:pPr>
      <w:r>
        <w:rPr>
          <w:rFonts w:ascii="Calibri" w:cs="Calibri" w:eastAsia="Calibri" w:hAnsi="Calibri"/>
          <w:b w:val="false"/>
          <w:bCs w:val="false"/>
          <w:color w:val="232221"/>
          <w:sz w:val="22"/>
          <w:szCs w:val="22"/>
        </w:rPr>
        <w:t xml:space="preserve">Trois risques clés ont été identifiés pour le projet Trimly :</w:t>
      </w:r>
    </w:p>
    <w:p>
      <w:pPr>
        <w:spacing w:after="120" w:before="12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E2E8F0" w:sz="4"/>
              <w:left w:val="single" w:color="E2E8F0" w:sz="4"/>
              <w:bottom w:val="single" w:color="E2E8F0" w:sz="4"/>
              <w:right w:val="single" w:color="E2E8F0" w:sz="4"/>
            </w:tcBorders>
            <w:shd w:fill="5B6E7A"/>
            <w:tcMar>
              <w:top w:type="dxa" w:w="140"/>
              <w:left w:type="dxa" w:w="180"/>
              <w:bottom w:type="dxa" w:w="140"/>
              <w:right w:type="dxa" w:w="180"/>
            </w:tcMar>
          </w:tcPr>
          <w:p>
            <w:pPr>
              <w:spacing w:after="100" w:before="100"/>
              <w:jc w:val="center"/>
            </w:pPr>
            <w:r>
              <w:rPr>
                <w:rFonts w:ascii="Calibri" w:cs="Calibri" w:eastAsia="Calibri" w:hAnsi="Calibri"/>
                <w:b/>
                <w:bCs/>
                <w:color w:val="FFFFFF"/>
                <w:sz w:val="20"/>
                <w:szCs w:val="20"/>
              </w:rPr>
              <w:t xml:space="preserve">Type de Risque</w:t>
            </w:r>
          </w:p>
        </w:tc>
        <w:tc>
          <w:tcPr>
            <w:tcBorders>
              <w:top w:val="single" w:color="E2E8F0" w:sz="4"/>
              <w:left w:val="single" w:color="E2E8F0" w:sz="4"/>
              <w:bottom w:val="single" w:color="E2E8F0" w:sz="4"/>
              <w:right w:val="single" w:color="E2E8F0" w:sz="4"/>
            </w:tcBorders>
            <w:shd w:fill="5B6E7A"/>
            <w:tcMar>
              <w:top w:type="dxa" w:w="140"/>
              <w:left w:type="dxa" w:w="180"/>
              <w:bottom w:type="dxa" w:w="140"/>
              <w:right w:type="dxa" w:w="180"/>
            </w:tcMar>
          </w:tcPr>
          <w:p>
            <w:pPr>
              <w:spacing w:after="100" w:before="100"/>
              <w:jc w:val="center"/>
            </w:pPr>
            <w:r>
              <w:rPr>
                <w:rFonts w:ascii="Calibri" w:cs="Calibri" w:eastAsia="Calibri" w:hAnsi="Calibri"/>
                <w:b/>
                <w:bCs/>
                <w:color w:val="FFFFFF"/>
                <w:sz w:val="20"/>
                <w:szCs w:val="20"/>
              </w:rPr>
              <w:t xml:space="preserve">Description du Risque</w:t>
            </w:r>
          </w:p>
        </w:tc>
        <w:tc>
          <w:tcPr>
            <w:tcBorders>
              <w:top w:val="single" w:color="E2E8F0" w:sz="4"/>
              <w:left w:val="single" w:color="E2E8F0" w:sz="4"/>
              <w:bottom w:val="single" w:color="E2E8F0" w:sz="4"/>
              <w:right w:val="single" w:color="E2E8F0" w:sz="4"/>
            </w:tcBorders>
            <w:shd w:fill="5B6E7A"/>
            <w:tcMar>
              <w:top w:type="dxa" w:w="140"/>
              <w:left w:type="dxa" w:w="180"/>
              <w:bottom w:type="dxa" w:w="140"/>
              <w:right w:type="dxa" w:w="180"/>
            </w:tcMar>
          </w:tcPr>
          <w:p>
            <w:pPr>
              <w:spacing w:after="100" w:before="100"/>
              <w:jc w:val="center"/>
            </w:pPr>
            <w:r>
              <w:rPr>
                <w:rFonts w:ascii="Calibri" w:cs="Calibri" w:eastAsia="Calibri" w:hAnsi="Calibri"/>
                <w:b/>
                <w:bCs/>
                <w:color w:val="FFFFFF"/>
                <w:sz w:val="20"/>
                <w:szCs w:val="20"/>
              </w:rPr>
              <w:t xml:space="preserve">Gravité (1-5)</w:t>
            </w:r>
          </w:p>
        </w:tc>
        <w:tc>
          <w:tcPr>
            <w:tcBorders>
              <w:top w:val="single" w:color="E2E8F0" w:sz="4"/>
              <w:left w:val="single" w:color="E2E8F0" w:sz="4"/>
              <w:bottom w:val="single" w:color="E2E8F0" w:sz="4"/>
              <w:right w:val="single" w:color="E2E8F0" w:sz="4"/>
            </w:tcBorders>
            <w:shd w:fill="5B6E7A"/>
            <w:tcMar>
              <w:top w:type="dxa" w:w="140"/>
              <w:left w:type="dxa" w:w="180"/>
              <w:bottom w:type="dxa" w:w="140"/>
              <w:right w:type="dxa" w:w="180"/>
            </w:tcMar>
          </w:tcPr>
          <w:p>
            <w:pPr>
              <w:spacing w:after="100" w:before="100"/>
              <w:jc w:val="center"/>
            </w:pPr>
            <w:r>
              <w:rPr>
                <w:rFonts w:ascii="Calibri" w:cs="Calibri" w:eastAsia="Calibri" w:hAnsi="Calibri"/>
                <w:b/>
                <w:bCs/>
                <w:color w:val="FFFFFF"/>
                <w:sz w:val="20"/>
                <w:szCs w:val="20"/>
              </w:rPr>
              <w:t xml:space="preserve">Plan d'Atténuation</w:t>
            </w:r>
          </w:p>
        </w:tc>
      </w:tr>
      <w:tr>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left"/>
            </w:pPr>
            <w:r>
              <w:rPr>
                <w:rFonts w:ascii="Calibri" w:cs="Calibri" w:eastAsia="Calibri" w:hAnsi="Calibri"/>
                <w:b/>
                <w:bCs/>
                <w:color w:val="232221"/>
                <w:sz w:val="20"/>
                <w:szCs w:val="20"/>
              </w:rPr>
              <w:t xml:space="preserve">Risque Technique (OAuth Google)</w:t>
            </w:r>
          </w:p>
        </w:tc>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left"/>
            </w:pPr>
            <w:r>
              <w:rPr>
                <w:rFonts w:ascii="Calibri" w:cs="Calibri" w:eastAsia="Calibri" w:hAnsi="Calibri"/>
                <w:b w:val="false"/>
                <w:bCs w:val="false"/>
                <w:color w:val="232221"/>
                <w:sz w:val="20"/>
                <w:szCs w:val="20"/>
              </w:rPr>
              <w:t xml:space="preserve">Rejet ou blocage des clés d'accès OAuth lors de l'audit CASA.</w:t>
            </w:r>
          </w:p>
        </w:tc>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center"/>
            </w:pPr>
            <w:r>
              <w:rPr>
                <w:rFonts w:ascii="Calibri" w:cs="Calibri" w:eastAsia="Calibri" w:hAnsi="Calibri"/>
                <w:b w:val="false"/>
                <w:bCs w:val="false"/>
                <w:color w:val="232221"/>
                <w:sz w:val="20"/>
                <w:szCs w:val="20"/>
              </w:rPr>
              <w:t xml:space="preserve">4</w:t>
            </w:r>
          </w:p>
        </w:tc>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left"/>
            </w:pPr>
            <w:r>
              <w:rPr>
                <w:rFonts w:ascii="Calibri" w:cs="Calibri" w:eastAsia="Calibri" w:hAnsi="Calibri"/>
                <w:b w:val="false"/>
                <w:bCs w:val="false"/>
                <w:color w:val="232221"/>
                <w:sz w:val="20"/>
                <w:szCs w:val="20"/>
              </w:rPr>
              <w:t xml:space="preserve">Limiter les scopes demandés au strict minimum et proposer le mode invité local-first (saisie manuelle assistée) comme alternative immédiate.</w:t>
            </w:r>
          </w:p>
        </w:tc>
      </w:tr>
      <w:tr>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left"/>
            </w:pPr>
            <w:r>
              <w:rPr>
                <w:rFonts w:ascii="Calibri" w:cs="Calibri" w:eastAsia="Calibri" w:hAnsi="Calibri"/>
                <w:b/>
                <w:bCs/>
                <w:color w:val="232221"/>
                <w:sz w:val="20"/>
                <w:szCs w:val="20"/>
              </w:rPr>
              <w:t xml:space="preserve">Risque de Marché (Concurrence)</w:t>
            </w:r>
          </w:p>
        </w:tc>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left"/>
            </w:pPr>
            <w:r>
              <w:rPr>
                <w:rFonts w:ascii="Calibri" w:cs="Calibri" w:eastAsia="Calibri" w:hAnsi="Calibri"/>
                <w:b w:val="false"/>
                <w:bCs w:val="false"/>
                <w:color w:val="232221"/>
                <w:sz w:val="20"/>
                <w:szCs w:val="20"/>
              </w:rPr>
              <w:t xml:space="preserve">Les banques traditionnelles ou néo-banques intègrent un service similaire in-app.</w:t>
            </w:r>
          </w:p>
        </w:tc>
        <w:tc>
          <w:tcPr>
            <w:tcBorders>
              <w:top w:val="single" w:color="E2E8F0" w:sz="4"/>
              <w:left w:val="single" w:color="E2E8F0" w:sz="4"/>
              <w:bottom w:val="single" w:color="E2E8F0" w:sz="4"/>
              <w:right w:val="single" w:color="E2E8F0" w:sz="4"/>
            </w:tcBorders>
            <w:shd w:fill="F7F5F0"/>
            <w:tcMar>
              <w:top w:type="dxa" w:w="140"/>
              <w:left w:type="dxa" w:w="180"/>
              <w:bottom w:type="dxa" w:w="140"/>
              <w:right w:type="dxa" w:w="180"/>
            </w:tcMar>
          </w:tcPr>
          <w:p>
            <w:pPr>
              <w:spacing w:after="100" w:before="100"/>
              <w:jc w:val="center"/>
            </w:pPr>
            <w:r>
              <w:rPr>
                <w:rFonts w:ascii="Calibri" w:cs="Calibri" w:eastAsia="Calibri" w:hAnsi="Calibri"/>
                <w:b w:val="false"/>
                <w:bCs w:val="false"/>
                <w:color w:val="232221"/>
                <w:sz w:val="20"/>
                <w:szCs w:val="20"/>
              </w:rPr>
              <w:t xml:space="preserve">3</w:t>
            </w:r>
          </w:p>
        </w:tc>
        <w:tc>
          <w:tcPr>
            <w:tcBorders>
              <w:top w:val="single" w:color="E2E8F0" w:sz="4"/>
              <w:left w:val="single" w:color="E2E8F0" w:sz="4"/>
              <w:bottom w:val="single" w:color="E2E8F0" w:sz="4"/>
              <w:right w:val="single" w:color="E2E8F0" w:sz="4"/>
            </w:tcBorders>
            <w:shd w:fill="F7F5F0"/>
            <w:tcMar>
              <w:top w:type="dxa" w:w="140"/>
              <w:left w:type="dxa" w:w="180"/>
              <w:bottom w:type="dxa" w:w="140"/>
              <w:right w:type="dxa" w:w="180"/>
            </w:tcMar>
          </w:tcPr>
          <w:p>
            <w:pPr>
              <w:spacing w:after="100" w:before="100"/>
              <w:jc w:val="left"/>
            </w:pPr>
            <w:r>
              <w:rPr>
                <w:rFonts w:ascii="Calibri" w:cs="Calibri" w:eastAsia="Calibri" w:hAnsi="Calibri"/>
                <w:b w:val="false"/>
                <w:bCs w:val="false"/>
                <w:color w:val="232221"/>
                <w:sz w:val="20"/>
                <w:szCs w:val="20"/>
              </w:rPr>
              <w:t xml:space="preserve">Se concentrer sur le service de résiliation postale LRAR automatisée que les banques ne veulent pas gérer à cause de la complexité logistique.</w:t>
            </w:r>
          </w:p>
        </w:tc>
      </w:tr>
      <w:tr>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left"/>
            </w:pPr>
            <w:r>
              <w:rPr>
                <w:rFonts w:ascii="Calibri" w:cs="Calibri" w:eastAsia="Calibri" w:hAnsi="Calibri"/>
                <w:b/>
                <w:bCs/>
                <w:color w:val="232221"/>
                <w:sz w:val="20"/>
                <w:szCs w:val="20"/>
              </w:rPr>
              <w:t xml:space="preserve">Risque Financier (Churn)</w:t>
            </w:r>
          </w:p>
        </w:tc>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left"/>
            </w:pPr>
            <w:r>
              <w:rPr>
                <w:rFonts w:ascii="Calibri" w:cs="Calibri" w:eastAsia="Calibri" w:hAnsi="Calibri"/>
                <w:b w:val="false"/>
                <w:bCs w:val="false"/>
                <w:color w:val="232221"/>
                <w:sz w:val="20"/>
                <w:szCs w:val="20"/>
              </w:rPr>
              <w:t xml:space="preserve">Désabonnement des utilisateurs de Trimly une fois leurs résiliations effectuées.</w:t>
            </w:r>
          </w:p>
        </w:tc>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center"/>
            </w:pPr>
            <w:r>
              <w:rPr>
                <w:rFonts w:ascii="Calibri" w:cs="Calibri" w:eastAsia="Calibri" w:hAnsi="Calibri"/>
                <w:b w:val="false"/>
                <w:bCs w:val="false"/>
                <w:color w:val="232221"/>
                <w:sz w:val="20"/>
                <w:szCs w:val="20"/>
              </w:rPr>
              <w:t xml:space="preserve">3</w:t>
            </w:r>
          </w:p>
        </w:tc>
        <w:tc>
          <w:tcPr>
            <w:tcBorders>
              <w:top w:val="single" w:color="E2E8F0" w:sz="4"/>
              <w:left w:val="single" w:color="E2E8F0" w:sz="4"/>
              <w:bottom w:val="single" w:color="E2E8F0" w:sz="4"/>
              <w:right w:val="single" w:color="E2E8F0" w:sz="4"/>
            </w:tcBorders>
            <w:tcMar>
              <w:top w:type="dxa" w:w="140"/>
              <w:left w:type="dxa" w:w="180"/>
              <w:bottom w:type="dxa" w:w="140"/>
              <w:right w:type="dxa" w:w="180"/>
            </w:tcMar>
          </w:tcPr>
          <w:p>
            <w:pPr>
              <w:spacing w:after="100" w:before="100"/>
              <w:jc w:val="left"/>
            </w:pPr>
            <w:r>
              <w:rPr>
                <w:rFonts w:ascii="Calibri" w:cs="Calibri" w:eastAsia="Calibri" w:hAnsi="Calibri"/>
                <w:b w:val="false"/>
                <w:bCs w:val="false"/>
                <w:color w:val="232221"/>
                <w:sz w:val="20"/>
                <w:szCs w:val="20"/>
              </w:rPr>
              <w:t xml:space="preserve">Proposer des rapports d'analyses graphiques Victory Native et un système d'alerte sur les hausses tarifaires pour pérenniser l'utilité in-app.</w:t>
            </w:r>
          </w:p>
        </w:tc>
      </w:tr>
    </w:tbl>
    <w:p>
      <w:pPr>
        <w:spacing w:before="120"/>
      </w:pPr>
    </w:p>
    <w:p>
      <w:r>
        <w:br w:type="page"/>
      </w:r>
    </w:p>
    <w:p>
      <w:pPr>
        <w:pStyle w:val="Heading1"/>
        <w:pBdr>
          <w:bottom w:val="single" w:color="A34839" w:sz="12"/>
        </w:pBdr>
        <w:spacing w:after="200" w:before="400"/>
      </w:pPr>
      <w:r>
        <w:rPr>
          <w:rFonts w:ascii="Calibri Light" w:cs="Calibri Light" w:eastAsia="Calibri Light" w:hAnsi="Calibri Light"/>
          <w:b/>
          <w:bCs/>
          <w:color w:val="A34839"/>
          <w:sz w:val="36"/>
          <w:szCs w:val="36"/>
        </w:rPr>
        <w:t xml:space="preserve">10. Annexes</w:t>
      </w:r>
    </w:p>
    <w:p>
      <w:pPr>
        <w:spacing w:after="140" w:before="140" w:line="300"/>
        <w:jc w:val="left"/>
      </w:pPr>
      <w:r>
        <w:rPr>
          <w:rFonts w:ascii="Calibri" w:cs="Calibri" w:eastAsia="Calibri" w:hAnsi="Calibri"/>
          <w:b w:val="false"/>
          <w:bCs w:val="false"/>
          <w:color w:val="232221"/>
          <w:sz w:val="22"/>
          <w:szCs w:val="22"/>
        </w:rPr>
        <w:t xml:space="preserve">Cette section présente la méthodologie d'enquête terrain et les formules mathématiques exploitées pour valider le modèle financier.</w:t>
      </w:r>
    </w:p>
    <w:p>
      <w:pPr>
        <w:pStyle w:val="Heading2"/>
        <w:spacing w:after="140" w:before="280"/>
      </w:pPr>
      <w:r>
        <w:rPr>
          <w:rFonts w:ascii="Calibri Light" w:cs="Calibri Light" w:eastAsia="Calibri Light" w:hAnsi="Calibri Light"/>
          <w:b/>
          <w:bCs/>
          <w:color w:val="232221"/>
          <w:sz w:val="26"/>
          <w:szCs w:val="26"/>
        </w:rPr>
        <w:t xml:space="preserve">Annexe A : Le Questionnaire d'Enquête</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Question 1 : </w:t>
      </w:r>
      <w:r>
        <w:rPr>
          <w:rFonts w:ascii="Calibri" w:cs="Calibri" w:eastAsia="Calibri" w:hAnsi="Calibri"/>
          <w:color w:val="232221"/>
          <w:sz w:val="22"/>
          <w:szCs w:val="22"/>
        </w:rPr>
        <w:t xml:space="preserve">« Combien d'abonnements payants actifs (streaming, cloud, sport, presse) possédez-vous actuellement ? » (Moyenne : 6,2).</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Question 2 : </w:t>
      </w:r>
      <w:r>
        <w:rPr>
          <w:rFonts w:ascii="Calibri" w:cs="Calibri" w:eastAsia="Calibri" w:hAnsi="Calibri"/>
          <w:color w:val="232221"/>
          <w:sz w:val="22"/>
          <w:szCs w:val="22"/>
        </w:rPr>
        <w:t xml:space="preserve">« Avez-vous déjà oublié de résilier un abonnement avant son renouvellement automatique ? » (Oui : 84%).</w:t>
      </w:r>
    </w:p>
    <w:p>
      <w:pPr>
        <w:spacing w:after="100" w:before="100" w:line="260"/>
        <w:ind w:left="480" w:hanging="240"/>
        <w:jc w:val="left"/>
      </w:pPr>
      <w:r>
        <w:rPr>
          <w:rFonts w:ascii="Calibri" w:cs="Calibri" w:eastAsia="Calibri" w:hAnsi="Calibri"/>
          <w:b/>
          <w:bCs/>
          <w:color w:val="A34839"/>
          <w:sz w:val="22"/>
          <w:szCs w:val="22"/>
        </w:rPr>
        <w:t xml:space="preserve">•	</w:t>
      </w:r>
      <w:r>
        <w:rPr>
          <w:rFonts w:ascii="Calibri" w:cs="Calibri" w:eastAsia="Calibri" w:hAnsi="Calibri"/>
          <w:b/>
          <w:bCs/>
          <w:color w:val="232221"/>
          <w:sz w:val="22"/>
          <w:szCs w:val="22"/>
        </w:rPr>
        <w:t xml:space="preserve">Question 3 : </w:t>
      </w:r>
      <w:r>
        <w:rPr>
          <w:rFonts w:ascii="Calibri" w:cs="Calibri" w:eastAsia="Calibri" w:hAnsi="Calibri"/>
          <w:color w:val="232221"/>
          <w:sz w:val="22"/>
          <w:szCs w:val="22"/>
        </w:rPr>
        <w:t xml:space="preserve">« Seriez-vous prêt à confier l'analyse de vos abonnements à une IA en connectant votre boîte mail de manière sécurisée (sans accès bancaire) ? » (Oui : 72%, Non/Hésitant : 28%).</w:t>
      </w:r>
    </w:p>
    <w:p>
      <w:pPr>
        <w:pStyle w:val="Heading2"/>
        <w:spacing w:after="140" w:before="280"/>
      </w:pPr>
      <w:r>
        <w:rPr>
          <w:rFonts w:ascii="Calibri Light" w:cs="Calibri Light" w:eastAsia="Calibri Light" w:hAnsi="Calibri Light"/>
          <w:b/>
          <w:bCs/>
          <w:color w:val="232221"/>
          <w:sz w:val="26"/>
          <w:szCs w:val="26"/>
        </w:rPr>
        <w:t xml:space="preserve">Annexe B : Équation de la Valeur Vie Client (LTV)</w:t>
      </w:r>
    </w:p>
    <w:p>
      <w:pPr>
        <w:spacing w:after="140" w:before="140" w:line="300"/>
        <w:jc w:val="left"/>
      </w:pPr>
      <w:r>
        <w:rPr>
          <w:rFonts w:ascii="Calibri" w:cs="Calibri" w:eastAsia="Calibri" w:hAnsi="Calibri"/>
          <w:b w:val="false"/>
          <w:bCs w:val="false"/>
          <w:color w:val="232221"/>
          <w:sz w:val="22"/>
          <w:szCs w:val="22"/>
        </w:rPr>
        <w:t xml:space="preserve">Le calcul de la LTV est basé sur la formule suivante (exprimé en deux devises) :</w:t>
      </w:r>
    </w:p>
    <w:p>
      <w:pPr>
        <w:spacing w:after="120" w:before="120"/>
        <w:jc w:val="center"/>
      </w:pPr>
      <w:r>
        <w:rPr>
          <w:rFonts w:ascii="Calibri" w:cs="Calibri" w:eastAsia="Calibri" w:hAnsi="Calibri"/>
          <w:b/>
          <w:bCs/>
          <w:color w:val="A34839"/>
          <w:sz w:val="20"/>
          <w:szCs w:val="20"/>
        </w:rPr>
        <w:t xml:space="preserve">LTV = ( Revenu Moyen Mensuel Net × Durée de Rétention Moyenne ) + Marge Moyenne LRAR par Client</w:t>
      </w:r>
    </w:p>
    <w:p>
      <w:pPr>
        <w:spacing w:after="140" w:before="140" w:line="300"/>
        <w:jc w:val="left"/>
      </w:pPr>
      <w:r>
        <w:rPr>
          <w:rFonts w:ascii="Calibri" w:cs="Calibri" w:eastAsia="Calibri" w:hAnsi="Calibri"/>
          <w:b w:val="false"/>
          <w:bCs w:val="false"/>
          <w:color w:val="232221"/>
          <w:sz w:val="22"/>
          <w:szCs w:val="22"/>
        </w:rPr>
        <w:t xml:space="preserve">En Euros : LTV = ( 2,80 € × 18 mois ) + 2,49 € = 52,89 €. Retenu : 45,00 €.
En Dirhams : LTV = ( 28 DH × 18 mois ) + 24,90 DH = 528,90 DH. Retenu : 450,00 DH.</w:t>
      </w:r>
    </w:p>
    <w:p>
      <w:pPr>
        <w:pStyle w:val="Heading2"/>
        <w:spacing w:after="140" w:before="280"/>
      </w:pPr>
      <w:r>
        <w:rPr>
          <w:rFonts w:ascii="Calibri Light" w:cs="Calibri Light" w:eastAsia="Calibri Light" w:hAnsi="Calibri Light"/>
          <w:b/>
          <w:bCs/>
          <w:color w:val="232221"/>
          <w:sz w:val="26"/>
          <w:szCs w:val="26"/>
        </w:rPr>
        <w:t xml:space="preserve">Annexe C : Captures d'Écran du MVP &amp; Landing Page</w:t>
      </w:r>
    </w:p>
    <w:p>
      <w:pPr>
        <w:spacing w:after="140" w:before="140" w:line="300"/>
        <w:jc w:val="left"/>
      </w:pPr>
      <w:r>
        <w:rPr>
          <w:rFonts w:ascii="Calibri" w:cs="Calibri" w:eastAsia="Calibri" w:hAnsi="Calibri"/>
          <w:b w:val="false"/>
          <w:bCs w:val="false"/>
          <w:color w:val="232221"/>
          <w:sz w:val="22"/>
          <w:szCs w:val="22"/>
        </w:rPr>
        <w:t xml:space="preserve">[Note : Les captures d'écran réelles du tableau de bord de l'application mobile React Native avec les graphiques Skia et Victory Native, ainsi que le schéma de workflow d'automatisation n8n, sont intégrées dans le dossier numérique compressé d'accompagnement de la soutenance.]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E7A"/>
        <w:sz w:val="18"/>
        <w:szCs w:val="18"/>
      </w:rPr>
      <w:t xml:space="preserve">Page </w:t>
    </w:r>
    <w:r>
      <w:rPr>
        <w:rFonts w:ascii="Calibri" w:cs="Calibri" w:eastAsia="Calibri" w:hAnsi="Calibri"/>
        <w:b/>
        <w:bCs/>
        <w:color w:val="5B6E7A"/>
        <w:sz w:val="18"/>
        <w:szCs w:val="18"/>
      </w:rPr>
      <w:fldChar w:fldCharType="begin"/>
      <w:instrText xml:space="preserve">PAGE</w:instrText>
      <w:fldChar w:fldCharType="separate"/>
      <w:fldChar w:fldCharType="end"/>
    </w:r>
    <w:r>
      <w:rPr>
        <w:rFonts w:ascii="Calibri" w:cs="Calibri" w:eastAsia="Calibri" w:hAnsi="Calibri"/>
        <w:color w:val="5B6E7A"/>
        <w:sz w:val="18"/>
        <w:szCs w:val="18"/>
      </w:rPr>
      <w:t xml:space="preserve"> sur </w:t>
    </w:r>
    <w:r>
      <w:rPr>
        <w:rFonts w:ascii="Calibri" w:cs="Calibri" w:eastAsia="Calibri" w:hAnsi="Calibri"/>
        <w:color w:val="5B6E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rFonts w:ascii="Calibri" w:cs="Calibri" w:eastAsia="Calibri" w:hAnsi="Calibri"/>
        <w:color w:val="5B6E7A"/>
        <w:sz w:val="16"/>
        <w:szCs w:val="16"/>
      </w:rPr>
      <w:t xml:space="preserve">TRIMLY ✦ BUSINESS PLAN PIE (OFPPT)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2026-06-09T19:40:54.986Z</dcterms:created>
  <dcterms:modified xsi:type="dcterms:W3CDTF">2026-06-09T19:40:54.987Z</dcterms:modified>
</cp:coreProperties>
</file>

<file path=docProps/custom.xml><?xml version="1.0" encoding="utf-8"?>
<Properties xmlns="http://schemas.openxmlformats.org/officeDocument/2006/custom-properties" xmlns:vt="http://schemas.openxmlformats.org/officeDocument/2006/docPropsVTypes"/>
</file>