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17365D"/>
          <w:sz w:val="48"/>
        </w:rPr>
        <w:t>SIH 26035 Phase 1 Audit Report</w:t>
      </w:r>
    </w:p>
    <w:p>
      <w:pPr>
        <w:spacing w:after="240" w:line="259" w:lineRule="auto"/>
      </w:pPr>
      <w:r>
        <w:rPr>
          <w:rFonts w:ascii="Aptos" w:hAnsi="Aptos"/>
          <w:b w:val="0"/>
          <w:i w:val="0"/>
          <w:color w:val="475569"/>
          <w:sz w:val="24"/>
        </w:rPr>
        <w:t>Digital Metrology Test Report System for Non Automatic Weighing Instruments</w:t>
      </w:r>
    </w:p>
    <w:p>
      <w:pPr>
        <w:spacing w:after="360" w:line="259" w:lineRule="auto"/>
      </w:pPr>
      <w:r>
        <w:rPr>
          <w:rFonts w:ascii="Aptos" w:hAnsi="Aptos"/>
          <w:b w:val="0"/>
          <w:i w:val="0"/>
          <w:color w:val="475569"/>
          <w:sz w:val="19"/>
        </w:rPr>
        <w:t>Audit basis: next_ps.docx master blueprint | Repository: SIH-26035 | Review date: 29 September 2026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Phase 1 conclusion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repository implements a testable end-to-end workflow for session capture, deterministic evaluation, report generation, repository search, public verification, and role-scoped access. It is not yet a high-confidence legal-record implementation because the default signing path is HMAC, audit/state changes are not transactional, public verification checks only the PDF artifact, and several OIML rule choices require metrology-domain approval. Confidence in this overall conclusion: medium, 88%; the percentage scores are transparent estimates because the blueprint does not define a weighting formula.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Evidence boundaries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Source of truth: C:\Users\AVES\OneDrive\Desktop\next_ps.docx. The current checked-out repository was audited; no source files were changed in Phase 1.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Out-of-scope infrastructure items are excluded from scoring and appear only on the final page, as requested.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Claims marked high confidence are directly supported by a test/build run or an explicit source-code path. Medium/low confidence marks review interpretation or requires a domain decision.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1 Executive Summary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Functional requirements FR-01 to FR-15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Estimated closeness: 73% (confidence: medium, 75%). Scoring is Done = 1, Partial = 0.5, Missing = 0. The result is 7 Done and 8 Partial requirements out of 15. “Partial” includes functionality that exists but is not blueprint-complete, has a security/integrity limitation, or depends on a human metrology decision.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008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Count</w:t>
            </w:r>
          </w:p>
        </w:tc>
        <w:tc>
          <w:tcPr>
            <w:tcW w:type="dxa" w:w="7776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Scoring</w:t>
            </w:r>
          </w:p>
        </w:tc>
      </w:tr>
      <w:tr>
        <w:tc>
          <w:tcPr>
            <w:tcW w:type="dxa" w:w="144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Done</w:t>
            </w:r>
          </w:p>
        </w:tc>
        <w:tc>
          <w:tcPr>
            <w:tcW w:type="dxa" w:w="10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777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7.0 points</w:t>
            </w:r>
          </w:p>
        </w:tc>
      </w:tr>
      <w:tr>
        <w:tc>
          <w:tcPr>
            <w:tcW w:type="dxa" w:w="144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Partial</w:t>
            </w:r>
          </w:p>
        </w:tc>
        <w:tc>
          <w:tcPr>
            <w:tcW w:type="dxa" w:w="10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777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4.0 points</w:t>
            </w:r>
          </w:p>
        </w:tc>
      </w:tr>
      <w:tr>
        <w:tc>
          <w:tcPr>
            <w:tcW w:type="dxa" w:w="144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Missing</w:t>
            </w:r>
          </w:p>
        </w:tc>
        <w:tc>
          <w:tcPr>
            <w:tcW w:type="dxa" w:w="10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777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0.0 points</w:t>
            </w:r>
          </w:p>
        </w:tc>
      </w:tr>
      <w:tr>
        <w:tc>
          <w:tcPr>
            <w:tcW w:type="dxa" w:w="1440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Total</w:t>
            </w:r>
          </w:p>
        </w:tc>
        <w:tc>
          <w:tcPr>
            <w:tcW w:type="dxa" w:w="1008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777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11.0 / 15 = 73%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Full in-scope blueprint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Estimated closeness excluding Docker, deployment, CI/CD, HSM/PKI hardware, Kubernetes, replication, and encryption at rest: 65% (confidence: medium, 68%). The core application workflow and deterministic test path are materially implemented, but legal-signature timing, audit atomicity, object-storage requirements, full offline conflict behavior, bilingual completeness, and several security/reproducibility details remain incomplete or conditional.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What was actually proven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Server: MongoDB-backed Jest run completed with 14/14 suites and 60/60 tests passing; confidence high, 99%.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Client: Vitest completed with 2/2 files and 6/6 tests passing before the later dependency reinstall lock failure; Vite production build completed successfully in that same successful dependency state; confidence high for those runs, 99%.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Client and server dependency installation was not fully reproducible in this Windows worktree: server npm ci stalled after deprecation warnings, and client npm ci failed to unlink a locked esbuild executable. Confidence high, 99%.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No browser E2E, import-resolution check, or boot/login smoke check was run in this Phase 1 audit; confidence high, 99%.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2 Requirement Traceability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statuses below compare the implementation with the specific requirement wording in Appendix B of next_ps.docx. Evidence is intentionally concise; the detailed review findings follow.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037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621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Requirement / differentiator</w:t>
            </w:r>
          </w:p>
        </w:tc>
        <w:tc>
          <w:tcPr>
            <w:tcW w:type="dxa" w:w="1037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5112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Evidence</w:t>
            </w:r>
          </w:p>
        </w:tc>
        <w:tc>
          <w:tcPr>
            <w:tcW w:type="dxa" w:w="1123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FR-01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Capture manufacturer, model and technical specification details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server/src/controllers/instrumentModel.controller.js createInstrumentModel; Manufacturer and InstrumentModel models; client instrument model pages.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95%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FR-02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Record laboratory identity and environmental test conditions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server/src/controllers/testSession.controller.js createSessionRecord; TestSession environmentalConditions schema; client NewTestSessionPage.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95%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FR-03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Enter observations for all applicable OIML R-76 procedures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structured/manual observation forms and seeded annexes exist; coverage depends on configured TestType/RuleConfig data and does not prove every Annex A/B procedure.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Medium 78%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FR-04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Validate completeness, type and range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Zod validators and submit-time checks in testSession.controller.js; legacy/duplicate offline path and some UI strings remain, and exhaustive range coverage was not independently run.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Medium 82%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FR-05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Calculate errors, e/mpe ratios and derived values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complianceEngine.service.js evaluateObservation/evaluateAnnex persists computed fields; discrimination rule semantics require advisor review.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for code 96%; low for metrology correctness 45%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FR-06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Determine pass/fail per OIML R-76 clause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evaluateSession and criterion dispatch determine outcomes; exact seeded A4 discrimination rule is explicitly questionable and mandatory configuration can be empty.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for execution 95%; low for domain correctness 45%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FR-07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Generate standardised printable digital reports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reportGenerator.service.js generateReport plus reportBuilders.js; e2e.test.js passed report generation.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98%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FR-08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Export PDF and editable DOCX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renderPdf/renderDocx in reportGenerator.service.js; e2e.test.js passed both lifecycle generation and verification path.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98%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FR-09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Attach photographs and supporting documents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attachment.controller.js multerUpload/uploadAttachment persists and hashes files; storage is local disk and text magic-byte acceptance is broad.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96% for feature; Medium 70% for blueprint fit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FR-10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Apply digital signatures to approved reports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digitalSignature.service.js supports external RSA signing, but report generation defaults to HMAC and is performed before approval; no officer sign-off signature endpoint.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99%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FR-11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Repository of completed reports with search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report.controller.js listReports filters report number/content/docx hash and scoped session fields.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94%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FR-12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Instrument-wise test history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instrumentModel.controller.js getInstrumentModelHistory; wp0/p10 tests cover history.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96%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FR-13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Secure role-based user access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authorize middleware, route roles, tenantAccess scopes, RoleGuard and privacy tests exist; JWT is persisted by Zustand/localStorage and exhaustive client route checks were not run.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for tested API 94%; Medium overall 78%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FR-14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Dashboard of activity and report status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E2F0D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Done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dashboard.controller.js getDashboardStats; dashboard route; server tests cover dashboard behavior.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94%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FR-15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Future OIML revisions without core rewrites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FF2CC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versioned RuleConfig, resolver, sandbox and activation workflow exist; rule values and mandatory semantics need domain governance and regression/UAT.</w:t>
            </w:r>
          </w:p>
        </w:tc>
        <w:tc>
          <w:tcPr>
            <w:tcW w:type="dxa" w:w="1123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for mechanism 92%; Medium overall 72%</w:t>
            </w:r>
          </w:p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configuration-first rules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ruleConfig.controller.js workflow plus ruleSandbox.service.js and ruleResolver.service.js; silent empty mandatory configuration remains possible.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92%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multi-lab isolation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tenantAccess.js scopes lab roles; privacy tests passed; some authenticated catalog endpoints expose all active laboratories and the review did not exhaust every endpoint.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for tested privacy 94%; Medium overall 80%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offline client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IndexedDB outbox in services/offlineSync.js and server batchSyncTestSessions; duplicate localStorage implementation remains and no browser offline E2E was run.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94% for code; Medium 68% overall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hash-chained audit log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auditLogger.service.js and AuditLog model hash-chain/immutability; append is not transactionally coupled to state changes and evaluation values are not in details.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98%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public verification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verify.controller.js exposes report number/hash and status; it validates PDF only, not DOCX.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99%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anomaly detection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anomalyDetector.service.js is advisory and wired into submit; roadmap behavior and historical data quality were not independently validated.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Medium 82%</w:t>
            </w:r>
          </w:p>
        </w:tc>
        <w:tc>
          <w:tcPr>
            <w:tcW w:type="dxa" w:w="2091"/>
          </w:tcPr>
          <w:p/>
        </w:tc>
      </w:tr>
      <w:tr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§12 Hindi/English</w:t>
            </w:r>
          </w:p>
        </w:tc>
        <w:tc>
          <w:tcPr>
            <w:tcW w:type="dxa" w:w="2621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Partial</w:t>
            </w:r>
          </w:p>
        </w:tc>
        <w:tc>
          <w:tcPr>
            <w:tcW w:type="dxa" w:w="1037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i18n dictionary and tests cover dictionary completeness; multiple JSX strings remain hard-coded English.</w:t>
            </w:r>
          </w:p>
        </w:tc>
        <w:tc>
          <w:tcPr>
            <w:tcW w:type="dxa" w:w="511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High 94% for test; Medium 75% overall</w:t>
            </w:r>
          </w:p>
        </w:tc>
        <w:tc>
          <w:tcPr>
            <w:tcW w:type="dxa" w:w="2091"/>
          </w:tcPr>
          <w:p/>
        </w:tc>
      </w:tr>
    </w:tbl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3 Test Results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Test execution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Command</w:t>
            </w:r>
          </w:p>
        </w:tc>
        <w:tc>
          <w:tcPr>
            <w:tcW w:type="dxa" w:w="7056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Observed result</w:t>
            </w:r>
          </w:p>
        </w:tc>
        <w:tc>
          <w:tcPr>
            <w:tcW w:type="dxa" w:w="1296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server: npm ci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Attempted with PUPPETEER_SKIP_DOWNLOAD=1. Stalled for several minutes after deprecation warnings; stopped. Existing installed dependencies were used for the test run.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server: MONGO_URI=mongodb://127.0.0.1:27017/nawi_test npm test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PASS. MongoDB connected. Test Suites: 14 passed, 14 total. Tests: 60 passed, 60 total. Time: 38.731 s.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client: npm ci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FAILED: EPERM unlink on client/node_modules/@esbuild/win32-x64/esbuild.exe; the file was locked by an active Vite/Node process.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client: npm test (before failed reinstall)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PASS. 2 test files passed; 6 tests passed. i18n and metrology tests.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client: npm run build (before failed reinstall)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PASS. 2,371 modules transformed; Vite/PWA output generated in 10.81 s.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client: npm test (after failed reinstall)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BLOCKED: vitest was not recognized because npm ci left node_modules incomplete.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client: npm run test:e2e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Not run. No real browser/backend smoke run was performed in this audit.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  <w:tr>
        <w:tc>
          <w:tcPr>
            <w:tcW w:type="dxa" w:w="223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import check / boot check / login matrix</w:t>
            </w:r>
          </w:p>
        </w:tc>
        <w:tc>
          <w:tcPr>
            <w:tcW w:type="dxa" w:w="705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Not run.</w:t>
            </w:r>
          </w:p>
        </w:tc>
        <w:tc>
          <w:tcPr>
            <w:tcW w:type="dxa" w:w="129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High 99%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Server suites observed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All 14 suites passed: auth.test.js, complianceEngine.test.js, digitalSignature.test.js, e2e.test.js, p10.test.js, p11.test.js, p12.test.js, privacy.test.js, reportBuilders.test.js, ruleConfig.test.js, ruleResolver.test.js, ruleSandbox.test.js, structuredEngine.test.js, and wp0.test.js. This is a direct command result, confidence high, 99%.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Failing tests and messages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No server or client test assertions failed in the successful server/client test runs. The failed commands were environment/dependency operations: server npm ci stalled; client npm ci failed with EPERM unlink of esbuild.exe; the post-failure client test could not find vitest. Confidence high, 99%.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Limitations on “works” claims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passing server suite proves the exercised API/test paths against the available MongoDB instance, not production deployment, multi-process audit concurrency, browser offline behavior, or HSM-backed signing. The passing client test/build proves the executed unit tests and production compilation at that point in time, not route-level browser behavior. Confidence high, 99%.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4 Code Review Findings</w:t>
      </w:r>
    </w:p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Priority convention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P0 blocks legal-record integrity or creates a material trust boundary failure. P1 can produce incorrect regulatory decisions, lifecycle records, or cross-tenant exposure. P2 is important correctness, maintainability, or operational hardening. P3 is lower-risk cleanup or completeness. Confidence is the confidence that the finding exists as described, not confidence that the proposed fix is the only acceptable design.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P0  Report signing is optional HMAC and occurs at generation, not officer sign-off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server/src/services/digitalSignature.service.js:43-49; server/src/services/reportGenerator.service.js:172-214; server/src/routes/report.routes.js:19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Without configured external PKI the report is tagged HMAC-SHA256; generateReport is authorized for reviewer but there is no separate approval-signature event. This conflicts with FR-10 and §8.2/§11.2 evidentiary flow.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Make approval/signature a distinct state transition; require a configured PKI signer for production; bind signer, timestamp, certificate and both artifact digests to the approval audit event. HSM implementation remains infrastructure scope.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P0  Audit append is not atomic with state changes and is only process-serialized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server/src/services/auditLogger.service.js:4-40; server/src/controllers/testSession.controller.js:248-260; report.controller.js:194-202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A session/report save can succeed while its audit append fails. appendQueue coordinates one process only; separate processes can race even with the unique prevHash retry. The blueprint requires every state transition/calculation/signature event to be durable and chained.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Use MongoDB transactions or a database-backed append writer with a state-change/outbox invariant; make audit write failure fail the business transaction; include request/correlation IDs and process-safe sequencing.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98%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P0  Evaluation audit entries omit computed error and applied mpe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server/src/controllers/testSession.controller.js:203-238; server/src/models/AuditLog.js:4-23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observation is persisted with computed fields, but the evaluation audit entry only stores ruleConfigId/outcome in the action string. §7.2/§9.3/§11.2 require the raw-to-computed evidence chain.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Store immutable evaluation details including rule version, computedError(s), appliedMpe, errorRatioE, margin, outcome and input snapshot.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98%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P1  Archive/revoke reset session status instead of preserving archived/revoked lifecycle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server/src/controllers/report.controller.js:224-226 and 259-266; TestSession.js:37-45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Report status changes, but the session is changed back to passed/failed. This makes session-level lifecycle queries unable to represent archived/revoked states and conflicts with §8.2.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Define one authoritative state machine and retain report/session history; transition session to archived/revoked or model report lifecycle independently with explicit projections and tests.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P1  Public verification validates PDF only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server/src/controllers/verify.controller.js:39-45 and 62-68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portal reports integrity based only on report.pdfPath/contentHash. DOCX hash/signature exists in the model and download path but is not verified or exposed by public verification, contrary to §12.4’s report authenticity claim.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Verify and return both PDF and DOCX integrity/signature states, or explicitly define PDF as the sole public artifact and remove any broader claim.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P1  Mandatory-test validation can pass with an empty approved mandatory configuration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server/src/controllers/testSession.controller.js:155-170; server/src/seed/seedTestTypes.js:77-83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query returns zero mandatory types and the check succeeds. A misconfigured approved catalog therefore permits submission without required coverage.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Fail closed when a class/stage has no governed mandatory definition, or introduce an explicit “no mandatory tests” policy requiring administrator approval and audit.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97%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P1  A4 discrimination rule is technically questionable and needs metrology decision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server/src/seed/seedRuleConfigs.js:33-38; complianceEngine.service.js:132-149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seeded rule uses change_le_factor_of_e with factor 1.4; the code passes when change is less than or equal to 1.4e. The code fact is certain; whether this is OIML-correct is not inferable from software tests.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Stop activation of this rule until a qualified metrology advisor confirms the criterion direction, readings and factor; add known-answer tests from the approved R-76 edition.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for code 99%; low for metrology correctness 35%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P1  Tenant isolation is strong in tested session/report paths but not uniformly demonstrated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server/src/utils/tenantAccess.js:48-99; laboratory.controller.js:5-12; instrumentModel.controller.js:70-101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Lab-scoped sessions and reports are filtered and privacy tests passed. However, every authenticated user can list all active laboratories, and exhaustive endpoint-by-endpoint scope testing was not run.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Create a route/data access matrix from §4/§11.1, enforce lab/manufacturer scope at every catalog/history endpoint, and add cross-lab negative tests for all reads and writes.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Medium 82%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P2  Offline implementation has a dead/duplicate localStorage service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client/src/services/offlineSync.js:1-297; client/src/services/offlineSync.service.js:1-60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active UI imports IndexedDB offlineSync.js, while offlineSync.service.js implements a separate localStorage queue and is not referenced by the active imports. The two implementations also expect different response/queue shapes.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Remove the dead implementation or consolidate both behind one tested adapter; add browser offline/conflict E2E coverage.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98%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P2  Client demo-status calls create expected 403 noise for non-admin users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client/src/components/layout/Header.jsx:48-54; server/src/routes/demo.routes.js:14-22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Header calls getDemoStatus for every authenticated user, but the API requires admin. Non-admin sessions therefore produce a forbidden request even though the feature is not available to them; this is a client/server route-role mismatch.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Render demo controls only for admin and do not call the endpoint for other roles; add a role smoke test.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P2  Attachments use local disk and permissive printable-text magic check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server/src/controllers/attachment.controller.js:12-35 and 38-65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Files are stored under uploads/attachments on local disk. Any first 12 bytes consisting of printable ASCII/whitespace are accepted as text, so content is not strongly type-authenticated.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Use the infrastructure-approved object store boundary and format-specific parsers/signature checks; quarantine or scan uploaded documents.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 for code; infrastructure storage decision out of scope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P2  JWT is persisted in browser localStorage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client/src/store/useAuthStore.js:4-16; client/src/main.jsx:29-32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A bearer token is persisted in the Zustand storage entry nawi_auth and read from localStorage for offline replay. XSS can expose it, which is weaker than an HttpOnly same-site cookie/session design for a regulatory portal.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Use an HttpOnly secure session or short-lived access token with protected refresh flow; make offline authentication a deliberate security decision.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99%</w:t>
      </w:r>
    </w:p>
    <w:p>
      <w:pPr>
        <w:pStyle w:val="Heading2"/>
        <w:spacing w:after="100" w:line="259" w:lineRule="auto"/>
        <w:keepLines/>
        <w:keepNext/>
      </w:pPr>
      <w:r>
        <w:rPr>
          <w:rFonts w:ascii="Aptos" w:hAnsi="Aptos"/>
          <w:b w:val="0"/>
          <w:i w:val="0"/>
          <w:color w:val="1F2937"/>
          <w:sz w:val="19"/>
        </w:rPr>
        <w:t>P3  Stray replacement scripts and hard-coded English remain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Location:</w:t>
      </w:r>
      <w:r>
        <w:rPr>
          <w:rFonts w:ascii="Aptos" w:hAnsi="Aptos"/>
          <w:b w:val="0"/>
          <w:i w:val="0"/>
          <w:color w:val="1F2937"/>
          <w:sz w:val="17"/>
        </w:rPr>
        <w:t xml:space="preserve"> server/replace.cjs; server/replaceDocx.cjs; client JSX including Header.jsx and DashboardPage.jsx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Why it matters:</w:t>
      </w:r>
      <w:r>
        <w:rPr>
          <w:rFonts w:ascii="Aptos" w:hAnsi="Aptos"/>
          <w:b w:val="0"/>
          <w:i w:val="0"/>
          <w:color w:val="1F2937"/>
          <w:sz w:val="17"/>
        </w:rPr>
        <w:t xml:space="preserve"> The replacement scripts are not part of the runtime path. The i18n tests pass dictionary completeness, but user-visible strings remain hard-coded in several components, so bilingual coverage is incomplete.</w:t>
      </w:r>
    </w:p>
    <w:p>
      <w:pPr>
        <w:spacing w:after="40" w:line="259" w:lineRule="auto"/>
      </w:pPr>
      <w:r>
        <w:rPr>
          <w:rFonts w:ascii="Aptos" w:hAnsi="Aptos"/>
          <w:b/>
          <w:i w:val="0"/>
          <w:color w:val="1F2937"/>
          <w:sz w:val="17"/>
        </w:rPr>
        <w:t>Proposed fix:</w:t>
      </w:r>
      <w:r>
        <w:rPr>
          <w:rFonts w:ascii="Aptos" w:hAnsi="Aptos"/>
          <w:b w:val="0"/>
          <w:i w:val="0"/>
          <w:color w:val="1F2937"/>
          <w:sz w:val="17"/>
        </w:rPr>
        <w:t xml:space="preserve"> Delete or document one-off scripts; route every user-visible label, toast, placeholder and aria label through the translation dictionary, then scan JSX in CI.</w:t>
      </w:r>
    </w:p>
    <w:p>
      <w:pPr>
        <w:spacing w:after="140" w:line="259" w:lineRule="auto"/>
      </w:pPr>
      <w:r>
        <w:rPr>
          <w:rFonts w:ascii="Aptos" w:hAnsi="Aptos"/>
          <w:b/>
          <w:i w:val="0"/>
          <w:color w:val="1F2937"/>
          <w:sz w:val="17"/>
        </w:rPr>
        <w:t>Confidence:</w:t>
      </w:r>
      <w:r>
        <w:rPr>
          <w:rFonts w:ascii="Aptos" w:hAnsi="Aptos"/>
          <w:b w:val="0"/>
          <w:i w:val="0"/>
          <w:color w:val="1F2937"/>
          <w:sz w:val="17"/>
        </w:rPr>
        <w:t xml:space="preserve"> High 95%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5 What Is Left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9216"/>
            <w:shd w:fill="17365D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Remaining work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Make report approval/signature a distinct, mandatory PKI-backed transition; decide the legal meaning of HMAC integrity tags.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Make state mutation and audit append atomic and persist complete evaluation evidence.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Resolve archived/revoked session/report state semantics and add lifecycle transition tests.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Obtain metrology-advisor decisions for A4 discrimination and all seeded OIML parameters; add known-answer regression fixtures.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Fail closed or explicitly govern empty mandatory test definitions.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Complete public verification for both artifacts or narrow the public authenticity contract.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Run a full cross-lab RBAC matrix, including catalog, history, attachment, export and report routes.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Consolidate offline sync, test conflict resolution in a real browser, and remove the duplicate localStorage service.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Replace local attachment storage and strengthen type/content validation through the agreed infrastructure boundary.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Replace localStorage JWT persistence with the security-approved session design.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P3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Finish bilingual UI scan and remove/document dead scripts; add CI checks for translation keys and route-role parity.</w:t>
            </w:r>
          </w:p>
        </w:tc>
      </w:tr>
      <w:tr>
        <w:tc>
          <w:tcPr>
            <w:tcW w:type="dxa" w:w="1152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P3</w:t>
            </w:r>
          </w:p>
        </w:tc>
        <w:tc>
          <w:tcPr>
            <w:tcW w:type="dxa" w:w="9216"/>
            <w:tcBorders>
              <w:top w:val="single" w:sz="4" w:space="0" w:color="C9D3DD"/>
              <w:left w:val="single" w:sz="4" w:space="0" w:color="C9D3DD"/>
              <w:bottom w:val="single" w:sz="4" w:space="0" w:color="C9D3DD"/>
              <w:right w:val="single" w:sz="4" w:space="0" w:color="C9D3DD"/>
              <w:insideH w:val="single" w:sz="4" w:space="0" w:color="C9D3DD"/>
              <w:insideV w:val="single" w:sz="4" w:space="0" w:color="C9D3DD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B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7"/>
              </w:rPr>
              <w:t>Run client npm ci in a clean process-free worktree, then rerun unit, build, browser E2E, import and boot/login checks.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Human decisions required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Qualified metrology advisor: confirm OIML R-76 edition/amendment, permissible-error bands, A4 discrimination direction/factor, and mandatory procedure applicability.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Security/legal owner: approve PKI sign-off timing, HMAC fallback policy, JWT storage model, audit retention and evidentiary requirements.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Product owner: decide whether archived/revoked are session states, report states, or both, and define public verification scope for DOCX.</w:t>
      </w:r>
    </w:p>
    <w:p>
      <w:r>
        <w:br w:type="page"/>
      </w:r>
    </w:p>
    <w:p>
      <w:pPr>
        <w:pStyle w:val="Heading1"/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6 Out of Scope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following areas were intentionally not audited or fixed, per instruction. They are handled by the infrastructure teammate: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Docker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Deployment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CI/CD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HSM/PKI hardware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Kubernetes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DR replication</w:t>
      </w:r>
    </w:p>
    <w:p>
      <w:pPr>
        <w:pStyle w:val="ListBullet"/>
        <w:spacing w:after="40" w:line="252" w:lineRule="auto"/>
      </w:pPr>
      <w:r>
        <w:rPr>
          <w:rFonts w:ascii="Aptos" w:hAnsi="Aptos"/>
          <w:b w:val="0"/>
          <w:i w:val="0"/>
          <w:color w:val="1F2937"/>
          <w:sz w:val="18"/>
        </w:rPr>
        <w:t>Encryption at rest</w:t>
      </w:r>
    </w:p>
    <w:p>
      <w:pPr>
        <w:spacing w:after="100" w:line="259" w:lineRule="auto"/>
      </w:pPr>
      <w:r>
        <w:rPr>
          <w:rFonts w:ascii="Aptos" w:hAnsi="Aptos"/>
          <w:b w:val="0"/>
          <w:i w:val="0"/>
          <w:color w:val="1F2937"/>
          <w:sz w:val="19"/>
        </w:rPr>
        <w:t>The application-level PKI integration boundary and its current fallback behavior are documented because FR-10 depends on them; hardware, key custody and infrastructure deployment remain out of scope. Confidence: high, 99%.</w:t>
      </w:r>
    </w:p>
    <w:p>
      <w:pPr>
        <w:spacing w:after="0" w:line="259" w:lineRule="auto"/>
      </w:pPr>
      <w:r>
        <w:rPr>
          <w:rFonts w:ascii="Aptos" w:hAnsi="Aptos"/>
          <w:b w:val="0"/>
          <w:i w:val="0"/>
          <w:color w:val="64748B"/>
          <w:sz w:val="18"/>
        </w:rPr>
        <w:t>End of Phase 1 report</w:t>
      </w:r>
    </w:p>
    <w:sectPr w:rsidR="00FC693F" w:rsidRPr="0006063C" w:rsidSect="00034616">
      <w:footerReference w:type="default" r:id="rId9"/>
      <w:pgSz w:w="12240" w:h="15840"/>
      <w:pgMar w:top="893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48B"/>
        <w:sz w:val="16"/>
      </w:rPr>
      <w:t xml:space="preserve">SIH-26035 Phase 1 Audit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 26035 Phase 1 Audit Report</dc:title>
  <dc:subject>Audit against next_ps.docx master blueprint</dc:subject>
  <dc:creator>Codex</dc:creator>
  <cp:keywords/>
  <dc:description>Phase 1 report only; no source fixes.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