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82FD" w14:textId="77777777" w:rsidR="0052593A" w:rsidRDefault="00000000">
      <w:pPr>
        <w:spacing w:after="40"/>
      </w:pPr>
      <w:r>
        <w:rPr>
          <w:b/>
          <w:bCs/>
          <w:caps/>
          <w:color w:val="6B6560"/>
          <w:spacing w:val="120"/>
          <w:sz w:val="14"/>
          <w:szCs w:val="14"/>
        </w:rPr>
        <w:t>REPUBLIC OF CHILE</w:t>
      </w:r>
    </w:p>
    <w:p w14:paraId="6517E924" w14:textId="77777777" w:rsidR="0052593A" w:rsidRDefault="00000000">
      <w:pPr>
        <w:spacing w:after="80"/>
      </w:pPr>
      <w:r>
        <w:rPr>
          <w:b/>
          <w:bCs/>
          <w:color w:val="1C1C1C"/>
          <w:sz w:val="40"/>
          <w:szCs w:val="40"/>
        </w:rPr>
        <w:t>Sovereign Natural Resource Dependency</w:t>
      </w:r>
    </w:p>
    <w:p w14:paraId="615803FC" w14:textId="77777777" w:rsidR="0052593A" w:rsidRDefault="00000000">
      <w:pPr>
        <w:spacing w:after="60"/>
      </w:pPr>
      <w:r>
        <w:rPr>
          <w:color w:val="6B6560"/>
        </w:rPr>
        <w:t>Case Study: Mining, Fiscal Institutions, and Economic Complexity</w:t>
      </w:r>
    </w:p>
    <w:p w14:paraId="089DC8B2" w14:textId="77777777" w:rsidR="0052593A" w:rsidRDefault="00000000">
      <w:pPr>
        <w:spacing w:after="20"/>
      </w:pPr>
      <w:r>
        <w:rPr>
          <w:color w:val="6B6560"/>
          <w:sz w:val="19"/>
          <w:szCs w:val="19"/>
        </w:rPr>
        <w:t xml:space="preserve">Sovereign Ratings:  </w:t>
      </w:r>
      <w:r>
        <w:rPr>
          <w:b/>
          <w:bCs/>
          <w:color w:val="1C1C1C"/>
          <w:sz w:val="21"/>
          <w:szCs w:val="21"/>
        </w:rPr>
        <w:t xml:space="preserve">Moody’s </w:t>
      </w:r>
      <w:proofErr w:type="spellStart"/>
      <w:r>
        <w:rPr>
          <w:b/>
          <w:bCs/>
          <w:color w:val="1C1C1C"/>
          <w:sz w:val="21"/>
          <w:szCs w:val="21"/>
        </w:rPr>
        <w:t>A2</w:t>
      </w:r>
      <w:proofErr w:type="spellEnd"/>
      <w:r>
        <w:rPr>
          <w:b/>
          <w:bCs/>
          <w:color w:val="1C1C1C"/>
          <w:sz w:val="21"/>
          <w:szCs w:val="21"/>
        </w:rPr>
        <w:t xml:space="preserve"> </w:t>
      </w:r>
      <w:r>
        <w:rPr>
          <w:color w:val="6B6560"/>
          <w:sz w:val="18"/>
          <w:szCs w:val="18"/>
        </w:rPr>
        <w:t>(</w:t>
      </w:r>
      <w:proofErr w:type="gramStart"/>
      <w:r>
        <w:rPr>
          <w:color w:val="6B6560"/>
          <w:sz w:val="18"/>
          <w:szCs w:val="18"/>
        </w:rPr>
        <w:t xml:space="preserve">Stable)   </w:t>
      </w:r>
      <w:proofErr w:type="gramEnd"/>
      <w:r>
        <w:rPr>
          <w:b/>
          <w:bCs/>
          <w:color w:val="1C1C1C"/>
          <w:sz w:val="21"/>
          <w:szCs w:val="21"/>
        </w:rPr>
        <w:t xml:space="preserve">S&amp;P A </w:t>
      </w:r>
      <w:r>
        <w:rPr>
          <w:color w:val="6B6560"/>
          <w:sz w:val="18"/>
          <w:szCs w:val="18"/>
        </w:rPr>
        <w:t>(</w:t>
      </w:r>
      <w:proofErr w:type="gramStart"/>
      <w:r>
        <w:rPr>
          <w:color w:val="6B6560"/>
          <w:sz w:val="18"/>
          <w:szCs w:val="18"/>
        </w:rPr>
        <w:t xml:space="preserve">Stable)   </w:t>
      </w:r>
      <w:proofErr w:type="gramEnd"/>
      <w:r>
        <w:rPr>
          <w:b/>
          <w:bCs/>
          <w:color w:val="1C1C1C"/>
          <w:sz w:val="21"/>
          <w:szCs w:val="21"/>
        </w:rPr>
        <w:t xml:space="preserve">Fitch A- </w:t>
      </w:r>
      <w:r>
        <w:rPr>
          <w:color w:val="6B6560"/>
          <w:sz w:val="18"/>
          <w:szCs w:val="18"/>
        </w:rPr>
        <w:t>(Stable)</w:t>
      </w:r>
    </w:p>
    <w:p w14:paraId="28290897" w14:textId="77777777" w:rsidR="0052593A" w:rsidRDefault="0052593A">
      <w:pPr>
        <w:pBdr>
          <w:bottom w:val="single" w:sz="4" w:space="6" w:color="B5232A"/>
        </w:pBdr>
        <w:spacing w:before="200" w:after="200"/>
      </w:pPr>
    </w:p>
    <w:p w14:paraId="493B5DF9" w14:textId="77777777" w:rsidR="0052593A" w:rsidRDefault="00000000">
      <w:pPr>
        <w:pStyle w:val="Heading2"/>
      </w:pPr>
      <w:r>
        <w:t>1. Why We Chose This Country</w:t>
      </w:r>
    </w:p>
    <w:p w14:paraId="0591007D" w14:textId="77777777" w:rsidR="0052593A" w:rsidRDefault="00000000">
      <w:pPr>
        <w:spacing w:after="180" w:line="276" w:lineRule="auto"/>
      </w:pPr>
      <w:r>
        <w:rPr>
          <w:color w:val="1C1C1C"/>
          <w:sz w:val="21"/>
          <w:szCs w:val="21"/>
        </w:rPr>
        <w:t xml:space="preserve">Chile is the world’s largest copper producer, accounting for roughly 24% of global mine output and holding 19% of known copper reserves (USGS, 2024). The mining sector contributes approximately 14% of GDP, 58% of export revenues, and attracted USD 9.3 billion in </w:t>
      </w:r>
      <w:proofErr w:type="spellStart"/>
      <w:r>
        <w:rPr>
          <w:color w:val="1C1C1C"/>
          <w:sz w:val="21"/>
          <w:szCs w:val="21"/>
        </w:rPr>
        <w:t>FDI</w:t>
      </w:r>
      <w:proofErr w:type="spellEnd"/>
      <w:r>
        <w:rPr>
          <w:color w:val="1C1C1C"/>
          <w:sz w:val="21"/>
          <w:szCs w:val="21"/>
        </w:rPr>
        <w:t xml:space="preserve"> flows to the sector in 2023 alone. At the same time, Chile holds 34% of global lithium reserves and ranks as the second-largest lithium producer (27% of output), positioning the country at the </w:t>
      </w:r>
      <w:proofErr w:type="spellStart"/>
      <w:r>
        <w:rPr>
          <w:color w:val="1C1C1C"/>
          <w:sz w:val="21"/>
          <w:szCs w:val="21"/>
        </w:rPr>
        <w:t>centre</w:t>
      </w:r>
      <w:proofErr w:type="spellEnd"/>
      <w:r>
        <w:rPr>
          <w:color w:val="1C1C1C"/>
          <w:sz w:val="21"/>
          <w:szCs w:val="21"/>
        </w:rPr>
        <w:t xml:space="preserve"> of the global energy transition supply chain.</w:t>
      </w:r>
    </w:p>
    <w:p w14:paraId="26CC6586" w14:textId="77777777" w:rsidR="0052593A" w:rsidRDefault="00000000">
      <w:pPr>
        <w:spacing w:after="180" w:line="276" w:lineRule="auto"/>
      </w:pPr>
      <w:r>
        <w:rPr>
          <w:color w:val="1C1C1C"/>
          <w:sz w:val="21"/>
          <w:szCs w:val="21"/>
        </w:rPr>
        <w:t>This concentration of natural resource wealth is paired with comparatively strong institutional quality. Chile holds the highest sovereign credit rating in Latin America across all three major agencies (</w:t>
      </w:r>
      <w:proofErr w:type="spellStart"/>
      <w:r>
        <w:rPr>
          <w:color w:val="1C1C1C"/>
          <w:sz w:val="21"/>
          <w:szCs w:val="21"/>
        </w:rPr>
        <w:t>A2</w:t>
      </w:r>
      <w:proofErr w:type="spellEnd"/>
      <w:r>
        <w:rPr>
          <w:color w:val="1C1C1C"/>
          <w:sz w:val="21"/>
          <w:szCs w:val="21"/>
        </w:rPr>
        <w:t xml:space="preserve">/A/A-), has been an OECD member since 2010, and maintains 34 active trade agreements covering 65 economies. The structural fiscal balance rule, in operation since 2001, has dampened the transmission of copper price volatility to government spending, supported by two sovereign wealth funds (the </w:t>
      </w:r>
      <w:proofErr w:type="spellStart"/>
      <w:r>
        <w:rPr>
          <w:color w:val="1C1C1C"/>
          <w:sz w:val="21"/>
          <w:szCs w:val="21"/>
        </w:rPr>
        <w:t>ESSF</w:t>
      </w:r>
      <w:proofErr w:type="spellEnd"/>
      <w:r>
        <w:rPr>
          <w:color w:val="1C1C1C"/>
          <w:sz w:val="21"/>
          <w:szCs w:val="21"/>
        </w:rPr>
        <w:t xml:space="preserve"> and PRF) and an independent central bank with a flexible inflation-targeting regime.</w:t>
      </w:r>
    </w:p>
    <w:p w14:paraId="0A5F7C4E" w14:textId="77777777" w:rsidR="0052593A" w:rsidRDefault="00000000">
      <w:pPr>
        <w:spacing w:after="180" w:line="276" w:lineRule="auto"/>
      </w:pPr>
      <w:r>
        <w:rPr>
          <w:color w:val="1C1C1C"/>
          <w:sz w:val="21"/>
          <w:szCs w:val="21"/>
        </w:rPr>
        <w:t xml:space="preserve">The combination of high resource dependency, above-average governance frameworks, and a well-documented historical cycle of commodity booms and busts makes Chile a useful case for </w:t>
      </w:r>
      <w:proofErr w:type="spellStart"/>
      <w:r>
        <w:rPr>
          <w:color w:val="1C1C1C"/>
          <w:sz w:val="21"/>
          <w:szCs w:val="21"/>
        </w:rPr>
        <w:t>analysing</w:t>
      </w:r>
      <w:proofErr w:type="spellEnd"/>
      <w:r>
        <w:rPr>
          <w:color w:val="1C1C1C"/>
          <w:sz w:val="21"/>
          <w:szCs w:val="21"/>
        </w:rPr>
        <w:t xml:space="preserve"> how resource-rich economies manage the tension between extraction-driven growth and economic diversification. Three features make the case particularly relevant:</w:t>
      </w:r>
    </w:p>
    <w:p w14:paraId="0C307FC6" w14:textId="77777777" w:rsidR="0052593A" w:rsidRDefault="00000000">
      <w:pPr>
        <w:spacing w:after="180" w:line="276" w:lineRule="auto"/>
        <w:ind w:left="360"/>
      </w:pPr>
      <w:r>
        <w:rPr>
          <w:b/>
          <w:bCs/>
          <w:color w:val="1C1C1C"/>
          <w:sz w:val="21"/>
          <w:szCs w:val="21"/>
        </w:rPr>
        <w:t xml:space="preserve">Repeated commodity transitions. </w:t>
      </w:r>
      <w:r>
        <w:rPr>
          <w:color w:val="1C1C1C"/>
          <w:sz w:val="21"/>
          <w:szCs w:val="21"/>
        </w:rPr>
        <w:t>Chile has passed through three distinct resource cycles since the late nineteenth century: nitrates (1880-1930), copper (</w:t>
      </w:r>
      <w:proofErr w:type="spellStart"/>
      <w:r>
        <w:rPr>
          <w:color w:val="1C1C1C"/>
          <w:sz w:val="21"/>
          <w:szCs w:val="21"/>
        </w:rPr>
        <w:t>1930s</w:t>
      </w:r>
      <w:proofErr w:type="spellEnd"/>
      <w:r>
        <w:rPr>
          <w:color w:val="1C1C1C"/>
          <w:sz w:val="21"/>
          <w:szCs w:val="21"/>
        </w:rPr>
        <w:t xml:space="preserve"> onwards), and the emerging lithium market. Each transition involved different institutional responses to the pressures of resource dependence.</w:t>
      </w:r>
    </w:p>
    <w:p w14:paraId="3BA294B0" w14:textId="77777777" w:rsidR="0052593A" w:rsidRDefault="00000000">
      <w:pPr>
        <w:spacing w:after="180" w:line="276" w:lineRule="auto"/>
        <w:ind w:left="360"/>
      </w:pPr>
      <w:r>
        <w:rPr>
          <w:b/>
          <w:bCs/>
          <w:color w:val="1C1C1C"/>
          <w:sz w:val="21"/>
          <w:szCs w:val="21"/>
        </w:rPr>
        <w:t xml:space="preserve">Measurable fiscal architecture. </w:t>
      </w:r>
      <w:r>
        <w:rPr>
          <w:color w:val="1C1C1C"/>
          <w:sz w:val="21"/>
          <w:szCs w:val="21"/>
        </w:rPr>
        <w:t xml:space="preserve">Chile’s structural balance rule, copper compensation fund, and sovereign wealth funds provide a documented example of how a resource-dependent economy can insulate itself from commodity price shocks. Between 2003 and 2007, the fiscal rule saved approximately 3 percentage points of GDP per year during a copper price boom; by end-2008, the </w:t>
      </w:r>
      <w:proofErr w:type="spellStart"/>
      <w:r>
        <w:rPr>
          <w:color w:val="1C1C1C"/>
          <w:sz w:val="21"/>
          <w:szCs w:val="21"/>
        </w:rPr>
        <w:t>ESSF</w:t>
      </w:r>
      <w:proofErr w:type="spellEnd"/>
      <w:r>
        <w:rPr>
          <w:color w:val="1C1C1C"/>
          <w:sz w:val="21"/>
          <w:szCs w:val="21"/>
        </w:rPr>
        <w:t xml:space="preserve"> had accumulated over USD 20 billion (14% of GDP).</w:t>
      </w:r>
    </w:p>
    <w:p w14:paraId="672F01E5" w14:textId="77777777" w:rsidR="0052593A" w:rsidRDefault="00000000">
      <w:pPr>
        <w:spacing w:after="180" w:line="276" w:lineRule="auto"/>
        <w:ind w:left="360"/>
      </w:pPr>
      <w:r>
        <w:rPr>
          <w:b/>
          <w:bCs/>
          <w:color w:val="1C1C1C"/>
          <w:sz w:val="21"/>
          <w:szCs w:val="21"/>
        </w:rPr>
        <w:t xml:space="preserve">Persistent structural vulnerabilities. </w:t>
      </w:r>
      <w:r>
        <w:rPr>
          <w:color w:val="1C1C1C"/>
          <w:sz w:val="21"/>
          <w:szCs w:val="21"/>
        </w:rPr>
        <w:t>Despite strong institutions, Chile exhibits features common to resource-dependent economies: a product-level export HHI of approximately 0.18 (Harvard Atlas of Economic Complexity), among the highest in the OECD; very high (but decreasing) income inequality; worker productivity roughly 50% below the OECD average; and an Economic Complexity Index that has declined since the mid-</w:t>
      </w:r>
      <w:proofErr w:type="spellStart"/>
      <w:r>
        <w:rPr>
          <w:color w:val="1C1C1C"/>
          <w:sz w:val="21"/>
          <w:szCs w:val="21"/>
        </w:rPr>
        <w:t>2000s</w:t>
      </w:r>
      <w:proofErr w:type="spellEnd"/>
      <w:r>
        <w:rPr>
          <w:color w:val="1C1C1C"/>
          <w:sz w:val="21"/>
          <w:szCs w:val="21"/>
        </w:rPr>
        <w:t>.</w:t>
      </w:r>
    </w:p>
    <w:p w14:paraId="1168A5DB" w14:textId="77777777" w:rsidR="0052593A" w:rsidRDefault="00000000">
      <w:pPr>
        <w:pStyle w:val="Heading3"/>
      </w:pPr>
      <w:r>
        <w:t>Key Indicators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53"/>
      </w:tblGrid>
      <w:tr w:rsidR="0052593A" w14:paraId="76BAD488"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76AF791A" w14:textId="77777777" w:rsidR="0052593A" w:rsidRDefault="00000000">
            <w:r>
              <w:rPr>
                <w:color w:val="6B6560"/>
                <w:sz w:val="18"/>
                <w:szCs w:val="18"/>
              </w:rPr>
              <w:t>Population (2024)</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44C5E3A4" w14:textId="77777777" w:rsidR="0052593A" w:rsidRDefault="00000000">
            <w:pPr>
              <w:jc w:val="right"/>
            </w:pPr>
            <w:r>
              <w:rPr>
                <w:b/>
                <w:bCs/>
                <w:color w:val="1C1C1C"/>
                <w:sz w:val="19"/>
                <w:szCs w:val="19"/>
              </w:rPr>
              <w:t>19.2 million</w:t>
            </w:r>
          </w:p>
        </w:tc>
      </w:tr>
      <w:tr w:rsidR="0052593A" w14:paraId="3745DEC7"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787849F5" w14:textId="77777777" w:rsidR="0052593A" w:rsidRDefault="00000000">
            <w:r>
              <w:rPr>
                <w:color w:val="6B6560"/>
                <w:sz w:val="18"/>
                <w:szCs w:val="18"/>
              </w:rPr>
              <w:t>GDP, nominal (2024)</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39BA3311" w14:textId="77777777" w:rsidR="0052593A" w:rsidRDefault="00000000">
            <w:pPr>
              <w:jc w:val="right"/>
            </w:pPr>
            <w:r>
              <w:rPr>
                <w:b/>
                <w:bCs/>
                <w:color w:val="1C1C1C"/>
                <w:sz w:val="19"/>
                <w:szCs w:val="19"/>
              </w:rPr>
              <w:t>USD 323 billion</w:t>
            </w:r>
          </w:p>
        </w:tc>
      </w:tr>
      <w:tr w:rsidR="0052593A" w14:paraId="235E7628"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0E805CB3" w14:textId="77777777" w:rsidR="0052593A" w:rsidRPr="006C6499" w:rsidRDefault="00000000">
            <w:pPr>
              <w:rPr>
                <w:lang w:val="it-IT"/>
              </w:rPr>
            </w:pPr>
            <w:r w:rsidRPr="006C6499">
              <w:rPr>
                <w:color w:val="6B6560"/>
                <w:sz w:val="18"/>
                <w:szCs w:val="18"/>
                <w:lang w:val="it-IT"/>
              </w:rPr>
              <w:t>GDP per capita, PPP (</w:t>
            </w:r>
            <w:proofErr w:type="spellStart"/>
            <w:r w:rsidRPr="006C6499">
              <w:rPr>
                <w:color w:val="6B6560"/>
                <w:sz w:val="18"/>
                <w:szCs w:val="18"/>
                <w:lang w:val="it-IT"/>
              </w:rPr>
              <w:t>2024e</w:t>
            </w:r>
            <w:proofErr w:type="spellEnd"/>
            <w:r w:rsidRPr="006C6499">
              <w:rPr>
                <w:color w:val="6B6560"/>
                <w:sz w:val="18"/>
                <w:szCs w:val="18"/>
                <w:lang w:val="it-IT"/>
              </w:rPr>
              <w:t>)</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6D7101C9" w14:textId="77777777" w:rsidR="0052593A" w:rsidRDefault="00000000">
            <w:pPr>
              <w:jc w:val="right"/>
            </w:pPr>
            <w:r>
              <w:rPr>
                <w:b/>
                <w:bCs/>
                <w:color w:val="1C1C1C"/>
                <w:sz w:val="19"/>
                <w:szCs w:val="19"/>
              </w:rPr>
              <w:t>USD 33,574</w:t>
            </w:r>
          </w:p>
        </w:tc>
      </w:tr>
      <w:tr w:rsidR="0052593A" w14:paraId="5BE7D04A"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79E792DA" w14:textId="77777777" w:rsidR="0052593A" w:rsidRDefault="00000000">
            <w:r>
              <w:rPr>
                <w:color w:val="6B6560"/>
                <w:sz w:val="18"/>
                <w:szCs w:val="18"/>
              </w:rPr>
              <w:t>Real GDP growth (2024)</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43F9A97C" w14:textId="77777777" w:rsidR="0052593A" w:rsidRDefault="00000000">
            <w:pPr>
              <w:jc w:val="right"/>
            </w:pPr>
            <w:r>
              <w:rPr>
                <w:b/>
                <w:bCs/>
                <w:color w:val="1C1C1C"/>
                <w:sz w:val="19"/>
                <w:szCs w:val="19"/>
              </w:rPr>
              <w:t>2.5%</w:t>
            </w:r>
          </w:p>
        </w:tc>
      </w:tr>
      <w:tr w:rsidR="0052593A" w14:paraId="6907AD4C"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672E8358" w14:textId="77777777" w:rsidR="0052593A" w:rsidRDefault="00000000">
            <w:r>
              <w:rPr>
                <w:color w:val="6B6560"/>
                <w:sz w:val="18"/>
                <w:szCs w:val="18"/>
              </w:rPr>
              <w:lastRenderedPageBreak/>
              <w:t>CPI inflation (2024)</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7E71A659" w14:textId="77777777" w:rsidR="0052593A" w:rsidRDefault="00000000">
            <w:pPr>
              <w:jc w:val="right"/>
            </w:pPr>
            <w:r>
              <w:rPr>
                <w:b/>
                <w:bCs/>
                <w:color w:val="1C1C1C"/>
                <w:sz w:val="19"/>
                <w:szCs w:val="19"/>
              </w:rPr>
              <w:t>4.5%</w:t>
            </w:r>
          </w:p>
        </w:tc>
      </w:tr>
      <w:tr w:rsidR="0052593A" w14:paraId="66AA21FF"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66903E4F" w14:textId="77777777" w:rsidR="0052593A" w:rsidRDefault="00000000">
            <w:r>
              <w:rPr>
                <w:color w:val="6B6560"/>
                <w:sz w:val="18"/>
                <w:szCs w:val="18"/>
              </w:rPr>
              <w:t>Policy rate (end-2024)</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46B346A6" w14:textId="77777777" w:rsidR="0052593A" w:rsidRDefault="00000000">
            <w:pPr>
              <w:jc w:val="right"/>
            </w:pPr>
            <w:r>
              <w:rPr>
                <w:b/>
                <w:bCs/>
                <w:color w:val="1C1C1C"/>
                <w:sz w:val="19"/>
                <w:szCs w:val="19"/>
              </w:rPr>
              <w:t>5.00%</w:t>
            </w:r>
          </w:p>
        </w:tc>
      </w:tr>
      <w:tr w:rsidR="0052593A" w14:paraId="0AEA3BB3"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27E72FB8" w14:textId="77777777" w:rsidR="0052593A" w:rsidRDefault="00000000">
            <w:r>
              <w:rPr>
                <w:color w:val="6B6560"/>
                <w:sz w:val="18"/>
                <w:szCs w:val="18"/>
              </w:rPr>
              <w:t>Gross central govt. debt / GDP</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6B1E77E3" w14:textId="77777777" w:rsidR="0052593A" w:rsidRDefault="00000000">
            <w:pPr>
              <w:jc w:val="right"/>
            </w:pPr>
            <w:r>
              <w:rPr>
                <w:b/>
                <w:bCs/>
                <w:color w:val="1C1C1C"/>
                <w:sz w:val="19"/>
                <w:szCs w:val="19"/>
              </w:rPr>
              <w:t>42.4%</w:t>
            </w:r>
          </w:p>
        </w:tc>
      </w:tr>
      <w:tr w:rsidR="0052593A" w14:paraId="5DA27731"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5700FBA5" w14:textId="77777777" w:rsidR="0052593A" w:rsidRDefault="00000000">
            <w:r>
              <w:rPr>
                <w:color w:val="6B6560"/>
                <w:sz w:val="18"/>
                <w:szCs w:val="18"/>
              </w:rPr>
              <w:t>FX reserves</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5BC2DCEE" w14:textId="77777777" w:rsidR="0052593A" w:rsidRDefault="00000000">
            <w:pPr>
              <w:jc w:val="right"/>
            </w:pPr>
            <w:r>
              <w:rPr>
                <w:b/>
                <w:bCs/>
                <w:color w:val="1C1C1C"/>
                <w:sz w:val="19"/>
                <w:szCs w:val="19"/>
              </w:rPr>
              <w:t>USD 45.6 billion</w:t>
            </w:r>
          </w:p>
        </w:tc>
      </w:tr>
      <w:tr w:rsidR="0052593A" w14:paraId="6CF967C2"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3CC37FBF" w14:textId="77777777" w:rsidR="0052593A" w:rsidRDefault="00000000">
            <w:r>
              <w:rPr>
                <w:color w:val="6B6560"/>
                <w:sz w:val="18"/>
                <w:szCs w:val="18"/>
              </w:rPr>
              <w:t>Mining / GDP</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3308A046" w14:textId="77777777" w:rsidR="0052593A" w:rsidRDefault="00000000">
            <w:pPr>
              <w:jc w:val="right"/>
            </w:pPr>
            <w:r>
              <w:rPr>
                <w:b/>
                <w:bCs/>
                <w:color w:val="1C1C1C"/>
                <w:sz w:val="19"/>
                <w:szCs w:val="19"/>
              </w:rPr>
              <w:t>~14%</w:t>
            </w:r>
          </w:p>
        </w:tc>
      </w:tr>
      <w:tr w:rsidR="0052593A" w14:paraId="3B677DD9"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370E5E82" w14:textId="77777777" w:rsidR="0052593A" w:rsidRDefault="00000000">
            <w:r>
              <w:rPr>
                <w:color w:val="6B6560"/>
                <w:sz w:val="18"/>
                <w:szCs w:val="18"/>
              </w:rPr>
              <w:t>Copper / total exports</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3D4C83C2" w14:textId="77777777" w:rsidR="0052593A" w:rsidRDefault="00000000">
            <w:pPr>
              <w:jc w:val="right"/>
            </w:pPr>
            <w:r>
              <w:rPr>
                <w:b/>
                <w:bCs/>
                <w:color w:val="1C1C1C"/>
                <w:sz w:val="19"/>
                <w:szCs w:val="19"/>
              </w:rPr>
              <w:t>~44%</w:t>
            </w:r>
          </w:p>
        </w:tc>
      </w:tr>
      <w:tr w:rsidR="0052593A" w14:paraId="74CA3561"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0C53B58B" w14:textId="77777777" w:rsidR="0052593A" w:rsidRDefault="00000000">
            <w:r>
              <w:rPr>
                <w:color w:val="6B6560"/>
                <w:sz w:val="18"/>
                <w:szCs w:val="18"/>
              </w:rPr>
              <w:t>Mining / total exports</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02684275" w14:textId="77777777" w:rsidR="0052593A" w:rsidRDefault="00000000">
            <w:pPr>
              <w:jc w:val="right"/>
            </w:pPr>
            <w:r>
              <w:rPr>
                <w:b/>
                <w:bCs/>
                <w:color w:val="1C1C1C"/>
                <w:sz w:val="19"/>
                <w:szCs w:val="19"/>
              </w:rPr>
              <w:t>~58%</w:t>
            </w:r>
          </w:p>
        </w:tc>
      </w:tr>
      <w:tr w:rsidR="0052593A" w14:paraId="433A784F"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0C6EB0E5" w14:textId="77777777" w:rsidR="0052593A" w:rsidRDefault="00000000">
            <w:r>
              <w:rPr>
                <w:color w:val="6B6560"/>
                <w:sz w:val="18"/>
                <w:szCs w:val="18"/>
              </w:rPr>
              <w:t>Trade agreements</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0D8505C1" w14:textId="77777777" w:rsidR="0052593A" w:rsidRDefault="00000000">
            <w:pPr>
              <w:jc w:val="right"/>
            </w:pPr>
            <w:r>
              <w:rPr>
                <w:b/>
                <w:bCs/>
                <w:color w:val="1C1C1C"/>
                <w:sz w:val="19"/>
                <w:szCs w:val="19"/>
              </w:rPr>
              <w:t>34 (65 economies)</w:t>
            </w:r>
          </w:p>
        </w:tc>
      </w:tr>
      <w:tr w:rsidR="0052593A" w14:paraId="0270AB70"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35263535" w14:textId="77777777" w:rsidR="0052593A" w:rsidRDefault="00000000">
            <w:r>
              <w:rPr>
                <w:color w:val="6B6560"/>
                <w:sz w:val="18"/>
                <w:szCs w:val="18"/>
              </w:rPr>
              <w:t>HDI (2022)</w:t>
            </w:r>
          </w:p>
        </w:tc>
        <w:tc>
          <w:tcPr>
            <w:tcW w:w="4680" w:type="dxa"/>
            <w:tcBorders>
              <w:top w:val="single" w:sz="1" w:space="0" w:color="D6D1C8"/>
              <w:left w:val="single" w:sz="1" w:space="0" w:color="D6D1C8"/>
              <w:bottom w:val="single" w:sz="1" w:space="0" w:color="D6D1C8"/>
              <w:right w:val="single" w:sz="1" w:space="0" w:color="D6D1C8"/>
            </w:tcBorders>
            <w:shd w:val="clear" w:color="auto" w:fill="FFFFFF"/>
            <w:tcMar>
              <w:top w:w="50" w:type="dxa"/>
              <w:left w:w="100" w:type="dxa"/>
              <w:bottom w:w="50" w:type="dxa"/>
              <w:right w:w="100" w:type="dxa"/>
            </w:tcMar>
          </w:tcPr>
          <w:p w14:paraId="15D4092C" w14:textId="77777777" w:rsidR="0052593A" w:rsidRDefault="00000000">
            <w:pPr>
              <w:jc w:val="right"/>
            </w:pPr>
            <w:r>
              <w:rPr>
                <w:b/>
                <w:bCs/>
                <w:color w:val="1C1C1C"/>
                <w:sz w:val="19"/>
                <w:szCs w:val="19"/>
              </w:rPr>
              <w:t>0.860 (Very High)</w:t>
            </w:r>
          </w:p>
        </w:tc>
      </w:tr>
      <w:tr w:rsidR="0052593A" w14:paraId="0FCF1DE8" w14:textId="77777777">
        <w:tblPrEx>
          <w:tblCellMar>
            <w:top w:w="0" w:type="dxa"/>
            <w:bottom w:w="0" w:type="dxa"/>
          </w:tblCellMar>
        </w:tblPrEx>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376DA1FC" w14:textId="77777777" w:rsidR="0052593A" w:rsidRDefault="00000000">
            <w:r>
              <w:rPr>
                <w:color w:val="6B6560"/>
                <w:sz w:val="18"/>
                <w:szCs w:val="18"/>
              </w:rPr>
              <w:t>OECD member since</w:t>
            </w:r>
          </w:p>
        </w:tc>
        <w:tc>
          <w:tcPr>
            <w:tcW w:w="4680" w:type="dxa"/>
            <w:tcBorders>
              <w:top w:val="single" w:sz="1" w:space="0" w:color="D6D1C8"/>
              <w:left w:val="single" w:sz="1" w:space="0" w:color="D6D1C8"/>
              <w:bottom w:val="single" w:sz="1" w:space="0" w:color="D6D1C8"/>
              <w:right w:val="single" w:sz="1" w:space="0" w:color="D6D1C8"/>
            </w:tcBorders>
            <w:shd w:val="clear" w:color="auto" w:fill="F4F2ED"/>
            <w:tcMar>
              <w:top w:w="50" w:type="dxa"/>
              <w:left w:w="100" w:type="dxa"/>
              <w:bottom w:w="50" w:type="dxa"/>
              <w:right w:w="100" w:type="dxa"/>
            </w:tcMar>
          </w:tcPr>
          <w:p w14:paraId="03EC002B" w14:textId="77777777" w:rsidR="0052593A" w:rsidRDefault="00000000">
            <w:pPr>
              <w:jc w:val="right"/>
            </w:pPr>
            <w:r>
              <w:rPr>
                <w:b/>
                <w:bCs/>
                <w:color w:val="1C1C1C"/>
                <w:sz w:val="19"/>
                <w:szCs w:val="19"/>
              </w:rPr>
              <w:t>2010</w:t>
            </w:r>
          </w:p>
        </w:tc>
      </w:tr>
    </w:tbl>
    <w:p w14:paraId="17BB0E2C" w14:textId="77777777" w:rsidR="0052593A" w:rsidRDefault="0052593A">
      <w:pPr>
        <w:spacing w:after="60"/>
      </w:pPr>
    </w:p>
    <w:p w14:paraId="7E1B6CFF" w14:textId="77777777" w:rsidR="0052593A" w:rsidRDefault="00000000">
      <w:pPr>
        <w:spacing w:after="180" w:line="276" w:lineRule="auto"/>
      </w:pPr>
      <w:r>
        <w:rPr>
          <w:color w:val="6B6560"/>
          <w:sz w:val="18"/>
          <w:szCs w:val="18"/>
        </w:rPr>
        <w:t xml:space="preserve">Sources: Central Bank of Chile, IMF WEO, OECD, USGS, </w:t>
      </w:r>
      <w:proofErr w:type="spellStart"/>
      <w:r>
        <w:rPr>
          <w:color w:val="6B6560"/>
          <w:sz w:val="18"/>
          <w:szCs w:val="18"/>
        </w:rPr>
        <w:t>Cochilco</w:t>
      </w:r>
      <w:proofErr w:type="spellEnd"/>
      <w:r>
        <w:rPr>
          <w:color w:val="6B6560"/>
          <w:sz w:val="18"/>
          <w:szCs w:val="18"/>
        </w:rPr>
        <w:t>, EY Chile Mining &amp; Metals Investment Guide 2025.</w:t>
      </w:r>
    </w:p>
    <w:p w14:paraId="7D31699F" w14:textId="77777777" w:rsidR="0052593A" w:rsidRDefault="00000000">
      <w:pPr>
        <w:pStyle w:val="Heading2"/>
      </w:pPr>
      <w:r>
        <w:t>2. Credit Positives &amp; Negatives</w:t>
      </w:r>
    </w:p>
    <w:p w14:paraId="6BADE3AF" w14:textId="77777777" w:rsidR="0052593A" w:rsidRDefault="00000000">
      <w:pPr>
        <w:spacing w:after="180" w:line="276" w:lineRule="auto"/>
      </w:pPr>
      <w:r>
        <w:rPr>
          <w:color w:val="1C1C1C"/>
          <w:sz w:val="21"/>
          <w:szCs w:val="21"/>
        </w:rPr>
        <w:t>Chile’s credit profile reflects a well-established tension: strong fiscal and monetary institutions on one side, and structural commodity dependence on the other. The sovereign ratings (</w:t>
      </w:r>
      <w:proofErr w:type="spellStart"/>
      <w:r>
        <w:rPr>
          <w:color w:val="1C1C1C"/>
          <w:sz w:val="21"/>
          <w:szCs w:val="21"/>
        </w:rPr>
        <w:t>A2</w:t>
      </w:r>
      <w:proofErr w:type="spellEnd"/>
      <w:r>
        <w:rPr>
          <w:color w:val="1C1C1C"/>
          <w:sz w:val="21"/>
          <w:szCs w:val="21"/>
        </w:rPr>
        <w:t>/A/A-) are the highest in Latin America by a wide margin, with Uruguay and Peru sitting two full notches below. The ratings reflect both the strengths of the policy framework and the vulnerabilities that constrain an upgrade to higher investment-grade territory.</w:t>
      </w:r>
    </w:p>
    <w:p w14:paraId="09049236" w14:textId="77777777" w:rsidR="0052593A" w:rsidRDefault="00000000">
      <w:pPr>
        <w:spacing w:before="240" w:after="120"/>
      </w:pPr>
      <w:r>
        <w:rPr>
          <w:b/>
          <w:bCs/>
          <w:caps/>
          <w:color w:val="1D6B3A"/>
          <w:spacing w:val="80"/>
          <w:sz w:val="20"/>
          <w:szCs w:val="20"/>
        </w:rPr>
        <w:t>CREDIT POSITIVES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9000"/>
      </w:tblGrid>
      <w:tr w:rsidR="0052593A" w14:paraId="620BBEA6" w14:textId="77777777">
        <w:tblPrEx>
          <w:tblCellMar>
            <w:top w:w="0" w:type="dxa"/>
            <w:bottom w:w="0" w:type="dxa"/>
          </w:tblCellMar>
        </w:tblPrEx>
        <w:tc>
          <w:tcPr>
            <w:tcW w:w="60" w:type="dxa"/>
            <w:tcBorders>
              <w:left w:val="single" w:sz="12" w:space="0" w:color="1D6B3A"/>
            </w:tcBorders>
            <w:shd w:val="clear" w:color="auto" w:fill="E6F2EB"/>
            <w:tcMar>
              <w:top w:w="0" w:type="dxa"/>
              <w:left w:w="0" w:type="dxa"/>
              <w:bottom w:w="0" w:type="dxa"/>
              <w:right w:w="0" w:type="dxa"/>
            </w:tcMar>
          </w:tcPr>
          <w:p w14:paraId="0F69C8CF" w14:textId="77777777" w:rsidR="0052593A" w:rsidRDefault="0052593A"/>
        </w:tc>
        <w:tc>
          <w:tcPr>
            <w:tcW w:w="9000" w:type="dxa"/>
            <w:shd w:val="clear" w:color="auto" w:fill="E6F2EB"/>
            <w:tcMar>
              <w:top w:w="60" w:type="dxa"/>
              <w:left w:w="120" w:type="dxa"/>
              <w:bottom w:w="60" w:type="dxa"/>
              <w:right w:w="120" w:type="dxa"/>
            </w:tcMar>
          </w:tcPr>
          <w:p w14:paraId="68496099" w14:textId="77777777" w:rsidR="0052593A" w:rsidRDefault="00000000">
            <w:r>
              <w:rPr>
                <w:color w:val="1C1C1C"/>
                <w:sz w:val="20"/>
                <w:szCs w:val="20"/>
              </w:rPr>
              <w:t>Highest sovereign rating in Latin America (</w:t>
            </w:r>
            <w:proofErr w:type="spellStart"/>
            <w:r>
              <w:rPr>
                <w:color w:val="1C1C1C"/>
                <w:sz w:val="20"/>
                <w:szCs w:val="20"/>
              </w:rPr>
              <w:t>A2</w:t>
            </w:r>
            <w:proofErr w:type="spellEnd"/>
            <w:r>
              <w:rPr>
                <w:color w:val="1C1C1C"/>
                <w:sz w:val="20"/>
                <w:szCs w:val="20"/>
              </w:rPr>
              <w:t>/A/A-); OECD member since 2010, which subjects Chile to regular peer review on fiscal, regulatory, and governance standards.</w:t>
            </w:r>
          </w:p>
        </w:tc>
      </w:tr>
      <w:tr w:rsidR="0052593A" w14:paraId="67A0FFA4" w14:textId="77777777">
        <w:tblPrEx>
          <w:tblCellMar>
            <w:top w:w="0" w:type="dxa"/>
            <w:bottom w:w="0" w:type="dxa"/>
          </w:tblCellMar>
        </w:tblPrEx>
        <w:tc>
          <w:tcPr>
            <w:tcW w:w="60" w:type="dxa"/>
          </w:tcPr>
          <w:p w14:paraId="779DC3D0" w14:textId="77777777" w:rsidR="0052593A" w:rsidRDefault="0052593A"/>
        </w:tc>
        <w:tc>
          <w:tcPr>
            <w:tcW w:w="9000" w:type="dxa"/>
          </w:tcPr>
          <w:p w14:paraId="7A6DF6C6" w14:textId="77777777" w:rsidR="0052593A" w:rsidRDefault="0052593A"/>
        </w:tc>
      </w:tr>
      <w:tr w:rsidR="0052593A" w14:paraId="3ECD8BC5" w14:textId="77777777">
        <w:tblPrEx>
          <w:tblCellMar>
            <w:top w:w="0" w:type="dxa"/>
            <w:bottom w:w="0" w:type="dxa"/>
          </w:tblCellMar>
        </w:tblPrEx>
        <w:tc>
          <w:tcPr>
            <w:tcW w:w="60" w:type="dxa"/>
            <w:tcBorders>
              <w:left w:val="single" w:sz="12" w:space="0" w:color="1D6B3A"/>
            </w:tcBorders>
            <w:shd w:val="clear" w:color="auto" w:fill="E6F2EB"/>
            <w:tcMar>
              <w:top w:w="0" w:type="dxa"/>
              <w:left w:w="0" w:type="dxa"/>
              <w:bottom w:w="0" w:type="dxa"/>
              <w:right w:w="0" w:type="dxa"/>
            </w:tcMar>
          </w:tcPr>
          <w:p w14:paraId="267C1E35" w14:textId="77777777" w:rsidR="0052593A" w:rsidRDefault="0052593A"/>
        </w:tc>
        <w:tc>
          <w:tcPr>
            <w:tcW w:w="9000" w:type="dxa"/>
            <w:shd w:val="clear" w:color="auto" w:fill="E6F2EB"/>
            <w:tcMar>
              <w:top w:w="60" w:type="dxa"/>
              <w:left w:w="120" w:type="dxa"/>
              <w:bottom w:w="60" w:type="dxa"/>
              <w:right w:w="120" w:type="dxa"/>
            </w:tcMar>
          </w:tcPr>
          <w:p w14:paraId="029F92C0" w14:textId="77777777" w:rsidR="0052593A" w:rsidRDefault="00000000">
            <w:r>
              <w:rPr>
                <w:color w:val="1C1C1C"/>
                <w:sz w:val="20"/>
                <w:szCs w:val="20"/>
              </w:rPr>
              <w:t xml:space="preserve">Fiscal framework targeting debt below 45% of GDP, backed by the structural balance rule (in force since 2001), the </w:t>
            </w:r>
            <w:proofErr w:type="spellStart"/>
            <w:r>
              <w:rPr>
                <w:color w:val="1C1C1C"/>
                <w:sz w:val="20"/>
                <w:szCs w:val="20"/>
              </w:rPr>
              <w:t>ESSF</w:t>
            </w:r>
            <w:proofErr w:type="spellEnd"/>
            <w:r>
              <w:rPr>
                <w:color w:val="1C1C1C"/>
                <w:sz w:val="20"/>
                <w:szCs w:val="20"/>
              </w:rPr>
              <w:t xml:space="preserve"> (USD 5.2 bn as of mid-2024), and the Pension Reserve Fund (PRF, USD 7.8 bn).</w:t>
            </w:r>
          </w:p>
        </w:tc>
      </w:tr>
      <w:tr w:rsidR="0052593A" w14:paraId="7AF24B24" w14:textId="77777777">
        <w:tblPrEx>
          <w:tblCellMar>
            <w:top w:w="0" w:type="dxa"/>
            <w:bottom w:w="0" w:type="dxa"/>
          </w:tblCellMar>
        </w:tblPrEx>
        <w:tc>
          <w:tcPr>
            <w:tcW w:w="60" w:type="dxa"/>
          </w:tcPr>
          <w:p w14:paraId="6E77CB00" w14:textId="77777777" w:rsidR="0052593A" w:rsidRDefault="0052593A"/>
        </w:tc>
        <w:tc>
          <w:tcPr>
            <w:tcW w:w="9000" w:type="dxa"/>
          </w:tcPr>
          <w:p w14:paraId="04B3A5F5" w14:textId="77777777" w:rsidR="0052593A" w:rsidRDefault="0052593A"/>
        </w:tc>
      </w:tr>
      <w:tr w:rsidR="0052593A" w14:paraId="6FC5D0CC" w14:textId="77777777">
        <w:tblPrEx>
          <w:tblCellMar>
            <w:top w:w="0" w:type="dxa"/>
            <w:bottom w:w="0" w:type="dxa"/>
          </w:tblCellMar>
        </w:tblPrEx>
        <w:tc>
          <w:tcPr>
            <w:tcW w:w="60" w:type="dxa"/>
            <w:tcBorders>
              <w:left w:val="single" w:sz="12" w:space="0" w:color="1D6B3A"/>
            </w:tcBorders>
            <w:shd w:val="clear" w:color="auto" w:fill="E6F2EB"/>
            <w:tcMar>
              <w:top w:w="0" w:type="dxa"/>
              <w:left w:w="0" w:type="dxa"/>
              <w:bottom w:w="0" w:type="dxa"/>
              <w:right w:w="0" w:type="dxa"/>
            </w:tcMar>
          </w:tcPr>
          <w:p w14:paraId="3C39AB8D" w14:textId="77777777" w:rsidR="0052593A" w:rsidRDefault="0052593A"/>
        </w:tc>
        <w:tc>
          <w:tcPr>
            <w:tcW w:w="9000" w:type="dxa"/>
            <w:shd w:val="clear" w:color="auto" w:fill="E6F2EB"/>
            <w:tcMar>
              <w:top w:w="60" w:type="dxa"/>
              <w:left w:w="120" w:type="dxa"/>
              <w:bottom w:w="60" w:type="dxa"/>
              <w:right w:w="120" w:type="dxa"/>
            </w:tcMar>
          </w:tcPr>
          <w:p w14:paraId="0B770349" w14:textId="77777777" w:rsidR="0052593A" w:rsidRDefault="00000000">
            <w:r>
              <w:rPr>
                <w:color w:val="1C1C1C"/>
                <w:sz w:val="20"/>
                <w:szCs w:val="20"/>
              </w:rPr>
              <w:t>Independent central bank with a floating exchange rate and inflation-targeting regime (3% target). The Bank raised the policy rate to 11.25% in 2022 to counter rising inflation (12.8%), bringing it back toward target by end-2024.</w:t>
            </w:r>
          </w:p>
        </w:tc>
      </w:tr>
      <w:tr w:rsidR="0052593A" w14:paraId="53102575" w14:textId="77777777">
        <w:tblPrEx>
          <w:tblCellMar>
            <w:top w:w="0" w:type="dxa"/>
            <w:bottom w:w="0" w:type="dxa"/>
          </w:tblCellMar>
        </w:tblPrEx>
        <w:tc>
          <w:tcPr>
            <w:tcW w:w="60" w:type="dxa"/>
          </w:tcPr>
          <w:p w14:paraId="12E814AE" w14:textId="77777777" w:rsidR="0052593A" w:rsidRDefault="0052593A"/>
        </w:tc>
        <w:tc>
          <w:tcPr>
            <w:tcW w:w="9000" w:type="dxa"/>
          </w:tcPr>
          <w:p w14:paraId="6C6E0058" w14:textId="77777777" w:rsidR="0052593A" w:rsidRDefault="0052593A"/>
        </w:tc>
      </w:tr>
      <w:tr w:rsidR="0052593A" w14:paraId="07C3BF78" w14:textId="77777777">
        <w:tblPrEx>
          <w:tblCellMar>
            <w:top w:w="0" w:type="dxa"/>
            <w:bottom w:w="0" w:type="dxa"/>
          </w:tblCellMar>
        </w:tblPrEx>
        <w:tc>
          <w:tcPr>
            <w:tcW w:w="60" w:type="dxa"/>
            <w:tcBorders>
              <w:left w:val="single" w:sz="12" w:space="0" w:color="1D6B3A"/>
            </w:tcBorders>
            <w:shd w:val="clear" w:color="auto" w:fill="E6F2EB"/>
            <w:tcMar>
              <w:top w:w="0" w:type="dxa"/>
              <w:left w:w="0" w:type="dxa"/>
              <w:bottom w:w="0" w:type="dxa"/>
              <w:right w:w="0" w:type="dxa"/>
            </w:tcMar>
          </w:tcPr>
          <w:p w14:paraId="2D79CC27" w14:textId="77777777" w:rsidR="0052593A" w:rsidRDefault="0052593A"/>
        </w:tc>
        <w:tc>
          <w:tcPr>
            <w:tcW w:w="9000" w:type="dxa"/>
            <w:shd w:val="clear" w:color="auto" w:fill="E6F2EB"/>
            <w:tcMar>
              <w:top w:w="60" w:type="dxa"/>
              <w:left w:w="120" w:type="dxa"/>
              <w:bottom w:w="60" w:type="dxa"/>
              <w:right w:w="120" w:type="dxa"/>
            </w:tcMar>
          </w:tcPr>
          <w:p w14:paraId="3499B50F" w14:textId="77777777" w:rsidR="0052593A" w:rsidRDefault="00000000">
            <w:r>
              <w:rPr>
                <w:color w:val="1C1C1C"/>
                <w:sz w:val="20"/>
                <w:szCs w:val="20"/>
              </w:rPr>
              <w:t>FX reserves of USD 45.6 billion, covering 7+ months of imports.</w:t>
            </w:r>
          </w:p>
        </w:tc>
      </w:tr>
      <w:tr w:rsidR="0052593A" w14:paraId="45D02688" w14:textId="77777777">
        <w:tblPrEx>
          <w:tblCellMar>
            <w:top w:w="0" w:type="dxa"/>
            <w:bottom w:w="0" w:type="dxa"/>
          </w:tblCellMar>
        </w:tblPrEx>
        <w:tc>
          <w:tcPr>
            <w:tcW w:w="60" w:type="dxa"/>
          </w:tcPr>
          <w:p w14:paraId="7B9508DA" w14:textId="77777777" w:rsidR="0052593A" w:rsidRDefault="0052593A"/>
        </w:tc>
        <w:tc>
          <w:tcPr>
            <w:tcW w:w="9000" w:type="dxa"/>
          </w:tcPr>
          <w:p w14:paraId="1F817E1F" w14:textId="77777777" w:rsidR="0052593A" w:rsidRDefault="0052593A"/>
        </w:tc>
      </w:tr>
      <w:tr w:rsidR="0052593A" w14:paraId="54091261" w14:textId="77777777">
        <w:tblPrEx>
          <w:tblCellMar>
            <w:top w:w="0" w:type="dxa"/>
            <w:bottom w:w="0" w:type="dxa"/>
          </w:tblCellMar>
        </w:tblPrEx>
        <w:tc>
          <w:tcPr>
            <w:tcW w:w="60" w:type="dxa"/>
            <w:tcBorders>
              <w:left w:val="single" w:sz="12" w:space="0" w:color="1D6B3A"/>
            </w:tcBorders>
            <w:shd w:val="clear" w:color="auto" w:fill="E6F2EB"/>
            <w:tcMar>
              <w:top w:w="0" w:type="dxa"/>
              <w:left w:w="0" w:type="dxa"/>
              <w:bottom w:w="0" w:type="dxa"/>
              <w:right w:w="0" w:type="dxa"/>
            </w:tcMar>
          </w:tcPr>
          <w:p w14:paraId="5D62FCE1" w14:textId="77777777" w:rsidR="0052593A" w:rsidRDefault="0052593A"/>
        </w:tc>
        <w:tc>
          <w:tcPr>
            <w:tcW w:w="9000" w:type="dxa"/>
            <w:shd w:val="clear" w:color="auto" w:fill="E6F2EB"/>
            <w:tcMar>
              <w:top w:w="60" w:type="dxa"/>
              <w:left w:w="120" w:type="dxa"/>
              <w:bottom w:w="60" w:type="dxa"/>
              <w:right w:w="120" w:type="dxa"/>
            </w:tcMar>
          </w:tcPr>
          <w:p w14:paraId="398C3CE6" w14:textId="77777777" w:rsidR="0052593A" w:rsidRDefault="00000000">
            <w:r>
              <w:rPr>
                <w:color w:val="1C1C1C"/>
                <w:sz w:val="20"/>
                <w:szCs w:val="20"/>
              </w:rPr>
              <w:t>34 free trade agreements covering 88% of global GDP, including with the US, EU, China, Japan, and South Korea.</w:t>
            </w:r>
          </w:p>
        </w:tc>
      </w:tr>
      <w:tr w:rsidR="0052593A" w14:paraId="2ABEA8C5" w14:textId="77777777">
        <w:tblPrEx>
          <w:tblCellMar>
            <w:top w:w="0" w:type="dxa"/>
            <w:bottom w:w="0" w:type="dxa"/>
          </w:tblCellMar>
        </w:tblPrEx>
        <w:tc>
          <w:tcPr>
            <w:tcW w:w="60" w:type="dxa"/>
          </w:tcPr>
          <w:p w14:paraId="7B12F05F" w14:textId="77777777" w:rsidR="0052593A" w:rsidRDefault="0052593A"/>
        </w:tc>
        <w:tc>
          <w:tcPr>
            <w:tcW w:w="9000" w:type="dxa"/>
          </w:tcPr>
          <w:p w14:paraId="209C6440" w14:textId="77777777" w:rsidR="0052593A" w:rsidRDefault="0052593A"/>
        </w:tc>
      </w:tr>
      <w:tr w:rsidR="0052593A" w14:paraId="5D27A07A" w14:textId="77777777">
        <w:tblPrEx>
          <w:tblCellMar>
            <w:top w:w="0" w:type="dxa"/>
            <w:bottom w:w="0" w:type="dxa"/>
          </w:tblCellMar>
        </w:tblPrEx>
        <w:tc>
          <w:tcPr>
            <w:tcW w:w="60" w:type="dxa"/>
            <w:tcBorders>
              <w:left w:val="single" w:sz="12" w:space="0" w:color="1D6B3A"/>
            </w:tcBorders>
            <w:shd w:val="clear" w:color="auto" w:fill="E6F2EB"/>
            <w:tcMar>
              <w:top w:w="0" w:type="dxa"/>
              <w:left w:w="0" w:type="dxa"/>
              <w:bottom w:w="0" w:type="dxa"/>
              <w:right w:w="0" w:type="dxa"/>
            </w:tcMar>
          </w:tcPr>
          <w:p w14:paraId="6F5D45E9" w14:textId="77777777" w:rsidR="0052593A" w:rsidRDefault="0052593A"/>
        </w:tc>
        <w:tc>
          <w:tcPr>
            <w:tcW w:w="9000" w:type="dxa"/>
            <w:shd w:val="clear" w:color="auto" w:fill="E6F2EB"/>
            <w:tcMar>
              <w:top w:w="60" w:type="dxa"/>
              <w:left w:w="120" w:type="dxa"/>
              <w:bottom w:w="60" w:type="dxa"/>
              <w:right w:w="120" w:type="dxa"/>
            </w:tcMar>
          </w:tcPr>
          <w:p w14:paraId="684FEC42" w14:textId="77777777" w:rsidR="0052593A" w:rsidRDefault="00000000">
            <w:r>
              <w:rPr>
                <w:color w:val="1C1C1C"/>
                <w:sz w:val="20"/>
                <w:szCs w:val="20"/>
              </w:rPr>
              <w:t>Mining investment pipeline of USD 83 billion across 51 projects for 2024-2033 (</w:t>
            </w:r>
            <w:proofErr w:type="spellStart"/>
            <w:r>
              <w:rPr>
                <w:color w:val="1C1C1C"/>
                <w:sz w:val="20"/>
                <w:szCs w:val="20"/>
              </w:rPr>
              <w:t>Cochilco</w:t>
            </w:r>
            <w:proofErr w:type="spellEnd"/>
            <w:r>
              <w:rPr>
                <w:color w:val="1C1C1C"/>
                <w:sz w:val="20"/>
                <w:szCs w:val="20"/>
              </w:rPr>
              <w:t>). Lithium reserves (34% of global total) position Chile to capture value from the energy transition.</w:t>
            </w:r>
          </w:p>
        </w:tc>
      </w:tr>
    </w:tbl>
    <w:p w14:paraId="544455DD" w14:textId="77777777" w:rsidR="0052593A" w:rsidRDefault="0052593A">
      <w:pPr>
        <w:spacing w:after="200"/>
      </w:pPr>
    </w:p>
    <w:p w14:paraId="5C9EEE8D" w14:textId="77777777" w:rsidR="0052593A" w:rsidRDefault="00000000">
      <w:pPr>
        <w:spacing w:before="80" w:after="120"/>
      </w:pPr>
      <w:r>
        <w:rPr>
          <w:b/>
          <w:bCs/>
          <w:caps/>
          <w:color w:val="A32E2E"/>
          <w:spacing w:val="80"/>
          <w:sz w:val="20"/>
          <w:szCs w:val="20"/>
        </w:rPr>
        <w:t>CREDIT NEGATIVES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9000"/>
      </w:tblGrid>
      <w:tr w:rsidR="0052593A" w14:paraId="638A1337" w14:textId="77777777">
        <w:tblPrEx>
          <w:tblCellMar>
            <w:top w:w="0" w:type="dxa"/>
            <w:bottom w:w="0" w:type="dxa"/>
          </w:tblCellMar>
        </w:tblPrEx>
        <w:tc>
          <w:tcPr>
            <w:tcW w:w="60" w:type="dxa"/>
            <w:tcBorders>
              <w:left w:val="single" w:sz="12" w:space="0" w:color="A32E2E"/>
            </w:tcBorders>
            <w:shd w:val="clear" w:color="auto" w:fill="F5E6E6"/>
            <w:tcMar>
              <w:top w:w="0" w:type="dxa"/>
              <w:left w:w="0" w:type="dxa"/>
              <w:bottom w:w="0" w:type="dxa"/>
              <w:right w:w="0" w:type="dxa"/>
            </w:tcMar>
          </w:tcPr>
          <w:p w14:paraId="58328D4F" w14:textId="77777777" w:rsidR="0052593A" w:rsidRDefault="0052593A"/>
        </w:tc>
        <w:tc>
          <w:tcPr>
            <w:tcW w:w="9000" w:type="dxa"/>
            <w:shd w:val="clear" w:color="auto" w:fill="F5E6E6"/>
            <w:tcMar>
              <w:top w:w="60" w:type="dxa"/>
              <w:left w:w="120" w:type="dxa"/>
              <w:bottom w:w="60" w:type="dxa"/>
              <w:right w:w="120" w:type="dxa"/>
            </w:tcMar>
          </w:tcPr>
          <w:p w14:paraId="2663F3BB" w14:textId="77777777" w:rsidR="0052593A" w:rsidRDefault="00000000">
            <w:r>
              <w:rPr>
                <w:color w:val="1C1C1C"/>
                <w:sz w:val="20"/>
                <w:szCs w:val="20"/>
              </w:rPr>
              <w:t>Heavy commodity price exposure: copper generates 44% of export revenues; ores and metals account for 52% of total goods exports (2023). Product-level HHI of ~0.18 (Harvard Atlas), among the highest in the OECD.</w:t>
            </w:r>
          </w:p>
        </w:tc>
      </w:tr>
      <w:tr w:rsidR="0052593A" w14:paraId="168EE88C" w14:textId="77777777">
        <w:tblPrEx>
          <w:tblCellMar>
            <w:top w:w="0" w:type="dxa"/>
            <w:bottom w:w="0" w:type="dxa"/>
          </w:tblCellMar>
        </w:tblPrEx>
        <w:tc>
          <w:tcPr>
            <w:tcW w:w="60" w:type="dxa"/>
          </w:tcPr>
          <w:p w14:paraId="43100D5B" w14:textId="77777777" w:rsidR="0052593A" w:rsidRDefault="0052593A"/>
        </w:tc>
        <w:tc>
          <w:tcPr>
            <w:tcW w:w="9000" w:type="dxa"/>
          </w:tcPr>
          <w:p w14:paraId="59DD36DF" w14:textId="77777777" w:rsidR="0052593A" w:rsidRDefault="0052593A"/>
        </w:tc>
      </w:tr>
      <w:tr w:rsidR="0052593A" w14:paraId="1487C945" w14:textId="77777777">
        <w:tblPrEx>
          <w:tblCellMar>
            <w:top w:w="0" w:type="dxa"/>
            <w:bottom w:w="0" w:type="dxa"/>
          </w:tblCellMar>
        </w:tblPrEx>
        <w:tc>
          <w:tcPr>
            <w:tcW w:w="60" w:type="dxa"/>
            <w:tcBorders>
              <w:left w:val="single" w:sz="12" w:space="0" w:color="A32E2E"/>
            </w:tcBorders>
            <w:shd w:val="clear" w:color="auto" w:fill="F5E6E6"/>
            <w:tcMar>
              <w:top w:w="0" w:type="dxa"/>
              <w:left w:w="0" w:type="dxa"/>
              <w:bottom w:w="0" w:type="dxa"/>
              <w:right w:w="0" w:type="dxa"/>
            </w:tcMar>
          </w:tcPr>
          <w:p w14:paraId="037C0D0B" w14:textId="77777777" w:rsidR="0052593A" w:rsidRDefault="0052593A"/>
        </w:tc>
        <w:tc>
          <w:tcPr>
            <w:tcW w:w="9000" w:type="dxa"/>
            <w:shd w:val="clear" w:color="auto" w:fill="F5E6E6"/>
            <w:tcMar>
              <w:top w:w="60" w:type="dxa"/>
              <w:left w:w="120" w:type="dxa"/>
              <w:bottom w:w="60" w:type="dxa"/>
              <w:right w:w="120" w:type="dxa"/>
            </w:tcMar>
          </w:tcPr>
          <w:p w14:paraId="490D0BBA" w14:textId="77777777" w:rsidR="0052593A" w:rsidRDefault="00000000">
            <w:r>
              <w:rPr>
                <w:color w:val="1C1C1C"/>
                <w:sz w:val="20"/>
                <w:szCs w:val="20"/>
              </w:rPr>
              <w:t xml:space="preserve">Moderate growth (1.5-2.5% projected for 2025-2026) constrains fiscal adjustment. Average annual growth fell from 6.5% in the </w:t>
            </w:r>
            <w:proofErr w:type="spellStart"/>
            <w:r>
              <w:rPr>
                <w:color w:val="1C1C1C"/>
                <w:sz w:val="20"/>
                <w:szCs w:val="20"/>
              </w:rPr>
              <w:t>1990s</w:t>
            </w:r>
            <w:proofErr w:type="spellEnd"/>
            <w:r>
              <w:rPr>
                <w:color w:val="1C1C1C"/>
                <w:sz w:val="20"/>
                <w:szCs w:val="20"/>
              </w:rPr>
              <w:t xml:space="preserve"> to 2.0% over 2013-2023.</w:t>
            </w:r>
          </w:p>
        </w:tc>
      </w:tr>
      <w:tr w:rsidR="0052593A" w14:paraId="15835B47" w14:textId="77777777">
        <w:tblPrEx>
          <w:tblCellMar>
            <w:top w:w="0" w:type="dxa"/>
            <w:bottom w:w="0" w:type="dxa"/>
          </w:tblCellMar>
        </w:tblPrEx>
        <w:tc>
          <w:tcPr>
            <w:tcW w:w="60" w:type="dxa"/>
          </w:tcPr>
          <w:p w14:paraId="384128B8" w14:textId="77777777" w:rsidR="0052593A" w:rsidRDefault="0052593A"/>
        </w:tc>
        <w:tc>
          <w:tcPr>
            <w:tcW w:w="9000" w:type="dxa"/>
          </w:tcPr>
          <w:p w14:paraId="36C3EDB7" w14:textId="77777777" w:rsidR="0052593A" w:rsidRDefault="0052593A"/>
        </w:tc>
      </w:tr>
      <w:tr w:rsidR="0052593A" w14:paraId="1AB33D54" w14:textId="77777777">
        <w:tblPrEx>
          <w:tblCellMar>
            <w:top w:w="0" w:type="dxa"/>
            <w:bottom w:w="0" w:type="dxa"/>
          </w:tblCellMar>
        </w:tblPrEx>
        <w:tc>
          <w:tcPr>
            <w:tcW w:w="60" w:type="dxa"/>
            <w:tcBorders>
              <w:left w:val="single" w:sz="12" w:space="0" w:color="A32E2E"/>
            </w:tcBorders>
            <w:shd w:val="clear" w:color="auto" w:fill="F5E6E6"/>
            <w:tcMar>
              <w:top w:w="0" w:type="dxa"/>
              <w:left w:w="0" w:type="dxa"/>
              <w:bottom w:w="0" w:type="dxa"/>
              <w:right w:w="0" w:type="dxa"/>
            </w:tcMar>
          </w:tcPr>
          <w:p w14:paraId="6B516571" w14:textId="77777777" w:rsidR="0052593A" w:rsidRDefault="0052593A"/>
        </w:tc>
        <w:tc>
          <w:tcPr>
            <w:tcW w:w="9000" w:type="dxa"/>
            <w:shd w:val="clear" w:color="auto" w:fill="F5E6E6"/>
            <w:tcMar>
              <w:top w:w="60" w:type="dxa"/>
              <w:left w:w="120" w:type="dxa"/>
              <w:bottom w:w="60" w:type="dxa"/>
              <w:right w:w="120" w:type="dxa"/>
            </w:tcMar>
          </w:tcPr>
          <w:p w14:paraId="2CAD982A" w14:textId="77777777" w:rsidR="0052593A" w:rsidRDefault="00000000">
            <w:r>
              <w:rPr>
                <w:color w:val="1C1C1C"/>
                <w:sz w:val="20"/>
                <w:szCs w:val="20"/>
              </w:rPr>
              <w:t>Total foreign debt at USD 254 billion (76.5% of GDP). Private liabilities in mining and energy expose the country to risk if commodity prices fall sharply.</w:t>
            </w:r>
          </w:p>
        </w:tc>
      </w:tr>
      <w:tr w:rsidR="0052593A" w14:paraId="6D9FBF1D" w14:textId="77777777">
        <w:tblPrEx>
          <w:tblCellMar>
            <w:top w:w="0" w:type="dxa"/>
            <w:bottom w:w="0" w:type="dxa"/>
          </w:tblCellMar>
        </w:tblPrEx>
        <w:tc>
          <w:tcPr>
            <w:tcW w:w="60" w:type="dxa"/>
          </w:tcPr>
          <w:p w14:paraId="69449096" w14:textId="77777777" w:rsidR="0052593A" w:rsidRDefault="0052593A"/>
        </w:tc>
        <w:tc>
          <w:tcPr>
            <w:tcW w:w="9000" w:type="dxa"/>
          </w:tcPr>
          <w:p w14:paraId="066BB8DE" w14:textId="77777777" w:rsidR="0052593A" w:rsidRDefault="0052593A"/>
        </w:tc>
      </w:tr>
      <w:tr w:rsidR="0052593A" w14:paraId="729D0E11" w14:textId="77777777">
        <w:tblPrEx>
          <w:tblCellMar>
            <w:top w:w="0" w:type="dxa"/>
            <w:bottom w:w="0" w:type="dxa"/>
          </w:tblCellMar>
        </w:tblPrEx>
        <w:tc>
          <w:tcPr>
            <w:tcW w:w="60" w:type="dxa"/>
            <w:tcBorders>
              <w:left w:val="single" w:sz="12" w:space="0" w:color="A32E2E"/>
            </w:tcBorders>
            <w:shd w:val="clear" w:color="auto" w:fill="F5E6E6"/>
            <w:tcMar>
              <w:top w:w="0" w:type="dxa"/>
              <w:left w:w="0" w:type="dxa"/>
              <w:bottom w:w="0" w:type="dxa"/>
              <w:right w:w="0" w:type="dxa"/>
            </w:tcMar>
          </w:tcPr>
          <w:p w14:paraId="2473AAA8" w14:textId="77777777" w:rsidR="0052593A" w:rsidRDefault="0052593A"/>
        </w:tc>
        <w:tc>
          <w:tcPr>
            <w:tcW w:w="9000" w:type="dxa"/>
            <w:shd w:val="clear" w:color="auto" w:fill="F5E6E6"/>
            <w:tcMar>
              <w:top w:w="60" w:type="dxa"/>
              <w:left w:w="120" w:type="dxa"/>
              <w:bottom w:w="60" w:type="dxa"/>
              <w:right w:w="120" w:type="dxa"/>
            </w:tcMar>
          </w:tcPr>
          <w:p w14:paraId="0466B0E6" w14:textId="77777777" w:rsidR="0052593A" w:rsidRDefault="00000000">
            <w:r>
              <w:rPr>
                <w:color w:val="1C1C1C"/>
                <w:sz w:val="20"/>
                <w:szCs w:val="20"/>
              </w:rPr>
              <w:t>Declining ore grades at mature copper deposits. Escondida has experienced grade decline from ~1.5% to below 1.0% over two decades, raising per-unit costs.</w:t>
            </w:r>
          </w:p>
        </w:tc>
      </w:tr>
      <w:tr w:rsidR="0052593A" w14:paraId="3D65AF8D" w14:textId="77777777">
        <w:tblPrEx>
          <w:tblCellMar>
            <w:top w:w="0" w:type="dxa"/>
            <w:bottom w:w="0" w:type="dxa"/>
          </w:tblCellMar>
        </w:tblPrEx>
        <w:tc>
          <w:tcPr>
            <w:tcW w:w="60" w:type="dxa"/>
          </w:tcPr>
          <w:p w14:paraId="0E3189F4" w14:textId="77777777" w:rsidR="0052593A" w:rsidRDefault="0052593A"/>
        </w:tc>
        <w:tc>
          <w:tcPr>
            <w:tcW w:w="9000" w:type="dxa"/>
          </w:tcPr>
          <w:p w14:paraId="1D861F26" w14:textId="77777777" w:rsidR="0052593A" w:rsidRDefault="0052593A"/>
        </w:tc>
      </w:tr>
      <w:tr w:rsidR="0052593A" w14:paraId="47E428AD" w14:textId="77777777">
        <w:tblPrEx>
          <w:tblCellMar>
            <w:top w:w="0" w:type="dxa"/>
            <w:bottom w:w="0" w:type="dxa"/>
          </w:tblCellMar>
        </w:tblPrEx>
        <w:tc>
          <w:tcPr>
            <w:tcW w:w="60" w:type="dxa"/>
            <w:tcBorders>
              <w:left w:val="single" w:sz="12" w:space="0" w:color="A32E2E"/>
            </w:tcBorders>
            <w:shd w:val="clear" w:color="auto" w:fill="F5E6E6"/>
            <w:tcMar>
              <w:top w:w="0" w:type="dxa"/>
              <w:left w:w="0" w:type="dxa"/>
              <w:bottom w:w="0" w:type="dxa"/>
              <w:right w:w="0" w:type="dxa"/>
            </w:tcMar>
          </w:tcPr>
          <w:p w14:paraId="010C774A" w14:textId="77777777" w:rsidR="0052593A" w:rsidRDefault="0052593A"/>
        </w:tc>
        <w:tc>
          <w:tcPr>
            <w:tcW w:w="9000" w:type="dxa"/>
            <w:shd w:val="clear" w:color="auto" w:fill="F5E6E6"/>
            <w:tcMar>
              <w:top w:w="60" w:type="dxa"/>
              <w:left w:w="120" w:type="dxa"/>
              <w:bottom w:w="60" w:type="dxa"/>
              <w:right w:w="120" w:type="dxa"/>
            </w:tcMar>
          </w:tcPr>
          <w:p w14:paraId="5648F4CC" w14:textId="77777777" w:rsidR="0052593A" w:rsidRDefault="00000000">
            <w:r>
              <w:rPr>
                <w:color w:val="1C1C1C"/>
                <w:sz w:val="20"/>
                <w:szCs w:val="20"/>
              </w:rPr>
              <w:t>Worker productivity ~50% below OECD average. R&amp;D spending at 0.34% of GDP vs. OECD average of 2.7%.</w:t>
            </w:r>
          </w:p>
        </w:tc>
      </w:tr>
      <w:tr w:rsidR="0052593A" w14:paraId="1BD50F88" w14:textId="77777777">
        <w:tblPrEx>
          <w:tblCellMar>
            <w:top w:w="0" w:type="dxa"/>
            <w:bottom w:w="0" w:type="dxa"/>
          </w:tblCellMar>
        </w:tblPrEx>
        <w:tc>
          <w:tcPr>
            <w:tcW w:w="60" w:type="dxa"/>
          </w:tcPr>
          <w:p w14:paraId="16F94FBD" w14:textId="77777777" w:rsidR="0052593A" w:rsidRDefault="0052593A"/>
        </w:tc>
        <w:tc>
          <w:tcPr>
            <w:tcW w:w="9000" w:type="dxa"/>
          </w:tcPr>
          <w:p w14:paraId="7574C5CC" w14:textId="77777777" w:rsidR="0052593A" w:rsidRDefault="0052593A"/>
        </w:tc>
      </w:tr>
      <w:tr w:rsidR="0052593A" w14:paraId="47712086" w14:textId="77777777">
        <w:tblPrEx>
          <w:tblCellMar>
            <w:top w:w="0" w:type="dxa"/>
            <w:bottom w:w="0" w:type="dxa"/>
          </w:tblCellMar>
        </w:tblPrEx>
        <w:tc>
          <w:tcPr>
            <w:tcW w:w="60" w:type="dxa"/>
            <w:tcBorders>
              <w:left w:val="single" w:sz="12" w:space="0" w:color="A32E2E"/>
            </w:tcBorders>
            <w:shd w:val="clear" w:color="auto" w:fill="F5E6E6"/>
            <w:tcMar>
              <w:top w:w="0" w:type="dxa"/>
              <w:left w:w="0" w:type="dxa"/>
              <w:bottom w:w="0" w:type="dxa"/>
              <w:right w:w="0" w:type="dxa"/>
            </w:tcMar>
          </w:tcPr>
          <w:p w14:paraId="57C1A7F3" w14:textId="77777777" w:rsidR="0052593A" w:rsidRDefault="0052593A"/>
        </w:tc>
        <w:tc>
          <w:tcPr>
            <w:tcW w:w="9000" w:type="dxa"/>
            <w:shd w:val="clear" w:color="auto" w:fill="F5E6E6"/>
            <w:tcMar>
              <w:top w:w="60" w:type="dxa"/>
              <w:left w:w="120" w:type="dxa"/>
              <w:bottom w:w="60" w:type="dxa"/>
              <w:right w:w="120" w:type="dxa"/>
            </w:tcMar>
          </w:tcPr>
          <w:p w14:paraId="3B55036C" w14:textId="77777777" w:rsidR="0052593A" w:rsidRDefault="00000000">
            <w:r>
              <w:rPr>
                <w:color w:val="1C1C1C"/>
                <w:sz w:val="20"/>
                <w:szCs w:val="20"/>
              </w:rPr>
              <w:t>Political fragmentation following two failed constitutional referendums (2022, 2023). Water scarcity in northern mining regions (OECD, 2016).</w:t>
            </w:r>
          </w:p>
        </w:tc>
      </w:tr>
    </w:tbl>
    <w:p w14:paraId="1CA4CEF6" w14:textId="33C7F59B" w:rsidR="006C6499" w:rsidRDefault="006C6499"/>
    <w:p w14:paraId="55283E23" w14:textId="77777777" w:rsidR="0052593A" w:rsidRDefault="00000000">
      <w:pPr>
        <w:pStyle w:val="Heading2"/>
      </w:pPr>
      <w:r>
        <w:t>3. Country Overview</w:t>
      </w:r>
    </w:p>
    <w:p w14:paraId="03E49531" w14:textId="2FE67526" w:rsidR="0052593A" w:rsidRDefault="00000000">
      <w:pPr>
        <w:spacing w:after="180" w:line="276" w:lineRule="auto"/>
      </w:pPr>
      <w:r>
        <w:rPr>
          <w:color w:val="1C1C1C"/>
          <w:sz w:val="21"/>
          <w:szCs w:val="21"/>
        </w:rPr>
        <w:t xml:space="preserve">Chile stretches 4,270 km along the western coast of South America, with an economy classified as high-income by the World Bank and the </w:t>
      </w:r>
      <w:proofErr w:type="gramStart"/>
      <w:r>
        <w:rPr>
          <w:color w:val="1C1C1C"/>
          <w:sz w:val="21"/>
          <w:szCs w:val="21"/>
        </w:rPr>
        <w:t>fifth-largest</w:t>
      </w:r>
      <w:proofErr w:type="gramEnd"/>
      <w:r>
        <w:rPr>
          <w:color w:val="1C1C1C"/>
          <w:sz w:val="21"/>
          <w:szCs w:val="21"/>
        </w:rPr>
        <w:t xml:space="preserve"> in Latin America by nominal GDP.</w:t>
      </w:r>
      <w:r w:rsidR="006C6499">
        <w:rPr>
          <w:color w:val="1C1C1C"/>
          <w:sz w:val="21"/>
          <w:szCs w:val="21"/>
        </w:rPr>
        <w:t xml:space="preserve"> Most</w:t>
      </w:r>
      <w:r>
        <w:rPr>
          <w:color w:val="1C1C1C"/>
          <w:sz w:val="21"/>
          <w:szCs w:val="21"/>
        </w:rPr>
        <w:t xml:space="preserve"> of </w:t>
      </w:r>
      <w:r w:rsidR="006C6499">
        <w:rPr>
          <w:color w:val="1C1C1C"/>
          <w:sz w:val="21"/>
          <w:szCs w:val="21"/>
        </w:rPr>
        <w:t xml:space="preserve">its </w:t>
      </w:r>
      <w:r>
        <w:rPr>
          <w:color w:val="1C1C1C"/>
          <w:sz w:val="21"/>
          <w:szCs w:val="21"/>
        </w:rPr>
        <w:t xml:space="preserve">population (roughly 40%) is concentrated around the central region, where the capital Santiago serves as the industrial, financial, and demographic </w:t>
      </w:r>
      <w:proofErr w:type="spellStart"/>
      <w:r>
        <w:rPr>
          <w:color w:val="1C1C1C"/>
          <w:sz w:val="21"/>
          <w:szCs w:val="21"/>
        </w:rPr>
        <w:t>centre</w:t>
      </w:r>
      <w:proofErr w:type="spellEnd"/>
      <w:r>
        <w:rPr>
          <w:color w:val="1C1C1C"/>
          <w:sz w:val="21"/>
          <w:szCs w:val="21"/>
        </w:rPr>
        <w:t xml:space="preserve">. The northern regions (Antofagasta, Tarapacá, Atacama) concentrate nearly all mining activity, including Escondida (the world’s largest copper mine) and the Salar de Atacama lithium operations. The south supports forestry, agriculture, and salmon farming. Since returning to democratic governance in 1990, Chile has maintained market-oriented policies, open trade, and fiscal management that is notably disciplined relative to both its Latin American </w:t>
      </w:r>
      <w:proofErr w:type="spellStart"/>
      <w:r>
        <w:rPr>
          <w:color w:val="1C1C1C"/>
          <w:sz w:val="21"/>
          <w:szCs w:val="21"/>
        </w:rPr>
        <w:t>neighbours</w:t>
      </w:r>
      <w:proofErr w:type="spellEnd"/>
      <w:r>
        <w:rPr>
          <w:color w:val="1C1C1C"/>
          <w:sz w:val="21"/>
          <w:szCs w:val="21"/>
        </w:rPr>
        <w:t xml:space="preserve"> and other mineral-dependent economies at comparable income levels.</w:t>
      </w:r>
    </w:p>
    <w:p w14:paraId="733C2F6C" w14:textId="77777777" w:rsidR="0052593A" w:rsidRDefault="00000000">
      <w:pPr>
        <w:spacing w:after="180" w:line="276" w:lineRule="auto"/>
      </w:pPr>
      <w:r>
        <w:rPr>
          <w:color w:val="1C1C1C"/>
          <w:sz w:val="21"/>
          <w:szCs w:val="21"/>
        </w:rPr>
        <w:t xml:space="preserve">Recent performance reflects the post-pandemic adjustment. GDP contracted 6.1% in 2020, rebounded 11.3% in 2021 on pandemic-era stimulus, then settled to 2.5% in 2024. Gross central government debt stands at 42.4% of GDP. Chile received USD 15.3 billion in net </w:t>
      </w:r>
      <w:proofErr w:type="spellStart"/>
      <w:r>
        <w:rPr>
          <w:color w:val="1C1C1C"/>
          <w:sz w:val="21"/>
          <w:szCs w:val="21"/>
        </w:rPr>
        <w:t>FDI</w:t>
      </w:r>
      <w:proofErr w:type="spellEnd"/>
      <w:r>
        <w:rPr>
          <w:color w:val="1C1C1C"/>
          <w:sz w:val="21"/>
          <w:szCs w:val="21"/>
        </w:rPr>
        <w:t xml:space="preserve"> during 2024; </w:t>
      </w:r>
      <w:proofErr w:type="spellStart"/>
      <w:r>
        <w:rPr>
          <w:color w:val="1C1C1C"/>
          <w:sz w:val="21"/>
          <w:szCs w:val="21"/>
        </w:rPr>
        <w:t>InvestChile’s</w:t>
      </w:r>
      <w:proofErr w:type="spellEnd"/>
      <w:r>
        <w:rPr>
          <w:color w:val="1C1C1C"/>
          <w:sz w:val="21"/>
          <w:szCs w:val="21"/>
        </w:rPr>
        <w:t xml:space="preserve"> portfolio reached a record USD 56.2 billion across 474 projects. This institutional discipline is what sets Chile apart in the landscape of resource-rich countries. Many economies share Chile’s geological endowment: Peru, Zambia, and the DRC all produce copper at scale. But Chile is the only major copper producer to hold an A-category sovereign rating, operate a structural fiscal rule calibrated to commodity prices, and maintain sovereign wealth funds built from mining revenues. Understanding why Chile achieved this, and where the model falls short, is the core purpose of this case study.</w:t>
      </w:r>
    </w:p>
    <w:p w14:paraId="66F42C08" w14:textId="77777777" w:rsidR="0052593A" w:rsidRDefault="00000000">
      <w:pPr>
        <w:pStyle w:val="Heading2"/>
      </w:pPr>
      <w:r>
        <w:t>4. Macroeconomic, Fiscal, and Financial Position</w:t>
      </w:r>
    </w:p>
    <w:p w14:paraId="404A1B07" w14:textId="77777777" w:rsidR="0052593A" w:rsidRDefault="00000000">
      <w:pPr>
        <w:pStyle w:val="Heading3"/>
      </w:pPr>
      <w:r>
        <w:t>Fiscal Position and Balance Sheet</w:t>
      </w:r>
    </w:p>
    <w:p w14:paraId="75FBB980" w14:textId="77777777" w:rsidR="0052593A" w:rsidRDefault="00000000">
      <w:pPr>
        <w:spacing w:after="180" w:line="276" w:lineRule="auto"/>
      </w:pPr>
      <w:r>
        <w:rPr>
          <w:color w:val="1C1C1C"/>
          <w:sz w:val="21"/>
          <w:szCs w:val="21"/>
        </w:rPr>
        <w:t>Central government revenue averaged 22-23% of GDP over 2019-2024, with copper-related fiscal income (Codelco transfers plus private mining taxes) contributing 3-5 percentage points depending on prices. Gross debt rose from 15% of GDP in 2014 to 42.4% in 2024, largely financing pandemic spending. Net government debt is approximately 30% of GDP once sovereign fund assets are included (</w:t>
      </w:r>
      <w:proofErr w:type="spellStart"/>
      <w:r>
        <w:rPr>
          <w:color w:val="1C1C1C"/>
          <w:sz w:val="21"/>
          <w:szCs w:val="21"/>
        </w:rPr>
        <w:t>ESSF</w:t>
      </w:r>
      <w:proofErr w:type="spellEnd"/>
      <w:r>
        <w:rPr>
          <w:color w:val="1C1C1C"/>
          <w:sz w:val="21"/>
          <w:szCs w:val="21"/>
        </w:rPr>
        <w:t xml:space="preserve">: USD 5.2 bn; PRF: USD 7.8 bn). The government targets </w:t>
      </w:r>
      <w:proofErr w:type="spellStart"/>
      <w:r>
        <w:rPr>
          <w:color w:val="1C1C1C"/>
          <w:sz w:val="21"/>
          <w:szCs w:val="21"/>
        </w:rPr>
        <w:t>stabilising</w:t>
      </w:r>
      <w:proofErr w:type="spellEnd"/>
      <w:r>
        <w:rPr>
          <w:color w:val="1C1C1C"/>
          <w:sz w:val="21"/>
          <w:szCs w:val="21"/>
        </w:rPr>
        <w:t xml:space="preserve"> debt below 45% through annual consolidation of 0.6 percentage points.</w:t>
      </w:r>
    </w:p>
    <w:p w14:paraId="55085B29" w14:textId="77777777" w:rsidR="0052593A" w:rsidRDefault="00000000">
      <w:pPr>
        <w:spacing w:after="180" w:line="276" w:lineRule="auto"/>
      </w:pPr>
      <w:r>
        <w:rPr>
          <w:color w:val="1C1C1C"/>
          <w:sz w:val="21"/>
          <w:szCs w:val="21"/>
        </w:rPr>
        <w:t xml:space="preserve">Total external debt stood at USD 254 billion (76.5% of GDP) at end-2023, of which roughly 60% was private (concentrated in mining and energy). FX reserves of USD 45.6 billion cover over 7 </w:t>
      </w:r>
      <w:r>
        <w:rPr>
          <w:color w:val="1C1C1C"/>
          <w:sz w:val="21"/>
          <w:szCs w:val="21"/>
        </w:rPr>
        <w:lastRenderedPageBreak/>
        <w:t xml:space="preserve">months of imports. The current account has been in deficit in most years since 2013, averaging 3-4% of GDP, financed primarily by </w:t>
      </w:r>
      <w:proofErr w:type="spellStart"/>
      <w:r>
        <w:rPr>
          <w:color w:val="1C1C1C"/>
          <w:sz w:val="21"/>
          <w:szCs w:val="21"/>
        </w:rPr>
        <w:t>FDI</w:t>
      </w:r>
      <w:proofErr w:type="spellEnd"/>
      <w:r>
        <w:rPr>
          <w:color w:val="1C1C1C"/>
          <w:sz w:val="21"/>
          <w:szCs w:val="21"/>
        </w:rPr>
        <w:t>. A USD 0.10/</w:t>
      </w:r>
      <w:proofErr w:type="spellStart"/>
      <w:r>
        <w:rPr>
          <w:color w:val="1C1C1C"/>
          <w:sz w:val="21"/>
          <w:szCs w:val="21"/>
        </w:rPr>
        <w:t>lb</w:t>
      </w:r>
      <w:proofErr w:type="spellEnd"/>
      <w:r>
        <w:rPr>
          <w:color w:val="1C1C1C"/>
          <w:sz w:val="21"/>
          <w:szCs w:val="21"/>
        </w:rPr>
        <w:t xml:space="preserve"> change in the copper price shifts export revenue by approximately USD 1.2-1.5 billion annually.</w:t>
      </w:r>
    </w:p>
    <w:p w14:paraId="3C9E10E2" w14:textId="77777777" w:rsidR="0052593A" w:rsidRDefault="00000000">
      <w:pPr>
        <w:pStyle w:val="Heading3"/>
      </w:pPr>
      <w:r>
        <w:t>Monetary Policy and Financial System</w:t>
      </w:r>
    </w:p>
    <w:p w14:paraId="16FA718A" w14:textId="0C6B5EFD" w:rsidR="0052593A" w:rsidRDefault="00000000">
      <w:pPr>
        <w:spacing w:after="180" w:line="276" w:lineRule="auto"/>
      </w:pPr>
      <w:r>
        <w:rPr>
          <w:color w:val="1C1C1C"/>
          <w:sz w:val="21"/>
          <w:szCs w:val="21"/>
        </w:rPr>
        <w:t>The Central Bank operates an inflation-targeting regime with a 3% target and 2-4% tolerance band. The 2022-2024 tightening cycle (0.5% to 11.25%, then easing to 5.00%) demonstrated institutional credibility. The banking sector is well-</w:t>
      </w:r>
      <w:proofErr w:type="spellStart"/>
      <w:r>
        <w:rPr>
          <w:color w:val="1C1C1C"/>
          <w:sz w:val="21"/>
          <w:szCs w:val="21"/>
        </w:rPr>
        <w:t>capitalised</w:t>
      </w:r>
      <w:proofErr w:type="spellEnd"/>
      <w:r>
        <w:rPr>
          <w:color w:val="1C1C1C"/>
          <w:sz w:val="21"/>
          <w:szCs w:val="21"/>
        </w:rPr>
        <w:t xml:space="preserve"> by international standards, ranking among OECD-quality peers. Capital markets remain underdeveloped relative to</w:t>
      </w:r>
      <w:r w:rsidR="006C6499">
        <w:rPr>
          <w:color w:val="1C1C1C"/>
          <w:sz w:val="21"/>
          <w:szCs w:val="21"/>
        </w:rPr>
        <w:t xml:space="preserve"> other</w:t>
      </w:r>
      <w:r>
        <w:rPr>
          <w:color w:val="1C1C1C"/>
          <w:sz w:val="21"/>
          <w:szCs w:val="21"/>
        </w:rPr>
        <w:t xml:space="preserve"> advanced economies</w:t>
      </w:r>
      <w:r w:rsidR="006C6499">
        <w:rPr>
          <w:color w:val="1C1C1C"/>
          <w:sz w:val="21"/>
          <w:szCs w:val="21"/>
        </w:rPr>
        <w:t xml:space="preserve">, with limited </w:t>
      </w:r>
      <w:r>
        <w:rPr>
          <w:color w:val="1C1C1C"/>
          <w:sz w:val="21"/>
          <w:szCs w:val="21"/>
        </w:rPr>
        <w:t xml:space="preserve">equity market </w:t>
      </w:r>
      <w:proofErr w:type="spellStart"/>
      <w:r>
        <w:rPr>
          <w:color w:val="1C1C1C"/>
          <w:sz w:val="21"/>
          <w:szCs w:val="21"/>
        </w:rPr>
        <w:t>capitalisation</w:t>
      </w:r>
      <w:proofErr w:type="spellEnd"/>
      <w:r>
        <w:rPr>
          <w:color w:val="1C1C1C"/>
          <w:sz w:val="21"/>
          <w:szCs w:val="21"/>
        </w:rPr>
        <w:t xml:space="preserve"> and turnover, partly due to concentrated corporate ownership structures.</w:t>
      </w:r>
    </w:p>
    <w:p w14:paraId="20E280E5" w14:textId="77777777" w:rsidR="0052593A" w:rsidRDefault="00000000">
      <w:pPr>
        <w:pStyle w:val="Heading3"/>
      </w:pPr>
      <w:r>
        <w:t>Economic Complexity and Export Concentration</w:t>
      </w:r>
    </w:p>
    <w:p w14:paraId="2C7788CA" w14:textId="77777777" w:rsidR="0052593A" w:rsidRDefault="00000000">
      <w:pPr>
        <w:spacing w:after="180" w:line="276" w:lineRule="auto"/>
      </w:pPr>
      <w:r>
        <w:rPr>
          <w:color w:val="1C1C1C"/>
          <w:sz w:val="21"/>
          <w:szCs w:val="21"/>
        </w:rPr>
        <w:t>Chile’s Economic Complexity Index (ECI), as measured by the Harvard Growth Lab, peaked at approximately -0.05 in the mid-</w:t>
      </w:r>
      <w:proofErr w:type="spellStart"/>
      <w:r>
        <w:rPr>
          <w:color w:val="1C1C1C"/>
          <w:sz w:val="21"/>
          <w:szCs w:val="21"/>
        </w:rPr>
        <w:t>2000s</w:t>
      </w:r>
      <w:proofErr w:type="spellEnd"/>
      <w:r>
        <w:rPr>
          <w:color w:val="1C1C1C"/>
          <w:sz w:val="21"/>
          <w:szCs w:val="21"/>
        </w:rPr>
        <w:t xml:space="preserve"> and has since declined to around -0.30 (2022), ranking Chile roughly 70th globally. The trajectory indicates that the export basket has become less diversified over time, running counter to the expectation that rising income and OECD membership would be accompanied by greater product complexity. The product-level HHI has fluctuated with copper prices but has not shown a sustained downward trend. By comparison, Australia (HHI ~0.10) has achieved materially greater diversification despite a similarly large mining sector.</w:t>
      </w:r>
    </w:p>
    <w:p w14:paraId="00C77EAF" w14:textId="77777777" w:rsidR="0052593A" w:rsidRDefault="00000000">
      <w:pPr>
        <w:spacing w:after="180" w:line="276" w:lineRule="auto"/>
      </w:pPr>
      <w:r>
        <w:rPr>
          <w:color w:val="1C1C1C"/>
          <w:sz w:val="21"/>
          <w:szCs w:val="21"/>
        </w:rPr>
        <w:t xml:space="preserve">Sectoral composition has shifted modestly. Services account for roughly 57% of GDP (2023), mining for 12-14% depending on copper prices, and manufacturing for around 10%, down from 17% in the early </w:t>
      </w:r>
      <w:proofErr w:type="spellStart"/>
      <w:r>
        <w:rPr>
          <w:color w:val="1C1C1C"/>
          <w:sz w:val="21"/>
          <w:szCs w:val="21"/>
        </w:rPr>
        <w:t>1990s</w:t>
      </w:r>
      <w:proofErr w:type="spellEnd"/>
      <w:r>
        <w:rPr>
          <w:color w:val="1C1C1C"/>
          <w:sz w:val="21"/>
          <w:szCs w:val="21"/>
        </w:rPr>
        <w:t xml:space="preserve">, reflecting </w:t>
      </w:r>
      <w:proofErr w:type="spellStart"/>
      <w:r>
        <w:rPr>
          <w:color w:val="1C1C1C"/>
          <w:sz w:val="21"/>
          <w:szCs w:val="21"/>
        </w:rPr>
        <w:t>deindustrialisation</w:t>
      </w:r>
      <w:proofErr w:type="spellEnd"/>
      <w:r>
        <w:rPr>
          <w:color w:val="1C1C1C"/>
          <w:sz w:val="21"/>
          <w:szCs w:val="21"/>
        </w:rPr>
        <w:t xml:space="preserve"> pressures common to commodity exporters.</w:t>
      </w:r>
    </w:p>
    <w:p w14:paraId="0053B620" w14:textId="77777777" w:rsidR="0052593A" w:rsidRDefault="0052593A">
      <w:pPr>
        <w:pBdr>
          <w:bottom w:val="single" w:sz="4" w:space="6" w:color="B5232A"/>
        </w:pBdr>
        <w:spacing w:before="200" w:after="200"/>
      </w:pPr>
    </w:p>
    <w:p w14:paraId="267EA618" w14:textId="77777777" w:rsidR="0052593A" w:rsidRDefault="00000000">
      <w:pPr>
        <w:spacing w:after="40"/>
      </w:pPr>
      <w:r>
        <w:rPr>
          <w:b/>
          <w:bCs/>
          <w:caps/>
          <w:color w:val="6B6560"/>
          <w:spacing w:val="120"/>
          <w:sz w:val="14"/>
          <w:szCs w:val="14"/>
        </w:rPr>
        <w:t>ANALYSIS</w:t>
      </w:r>
    </w:p>
    <w:p w14:paraId="63B6BC18" w14:textId="77777777" w:rsidR="0052593A" w:rsidRDefault="00000000">
      <w:pPr>
        <w:pStyle w:val="Heading2"/>
      </w:pPr>
      <w:r>
        <w:t>5. Economic Structure and Trajectory</w:t>
      </w:r>
    </w:p>
    <w:p w14:paraId="745AE332" w14:textId="77777777" w:rsidR="0052593A" w:rsidRDefault="00000000">
      <w:pPr>
        <w:pStyle w:val="Heading3"/>
      </w:pPr>
      <w:r>
        <w:t>Historical Context (pre-1973)</w:t>
      </w:r>
    </w:p>
    <w:p w14:paraId="5DCAE661" w14:textId="2AC79732" w:rsidR="0052593A" w:rsidRPr="006C6499" w:rsidRDefault="00000000">
      <w:pPr>
        <w:spacing w:after="180" w:line="276" w:lineRule="auto"/>
        <w:rPr>
          <w:color w:val="1C1C1C"/>
          <w:sz w:val="21"/>
          <w:szCs w:val="21"/>
        </w:rPr>
      </w:pPr>
      <w:r>
        <w:rPr>
          <w:color w:val="1C1C1C"/>
          <w:sz w:val="21"/>
          <w:szCs w:val="21"/>
        </w:rPr>
        <w:t xml:space="preserve">Chile’s economy has cycled through successive commodity dependencies since the late nineteenth century. Following territorial expansion northward after the War of the Pacific (1879-1883), the country’s newly acquired nitrate deposits generated over 70% of exports by 1913. The nitrate </w:t>
      </w:r>
      <w:proofErr w:type="gramStart"/>
      <w:r>
        <w:rPr>
          <w:color w:val="1C1C1C"/>
          <w:sz w:val="21"/>
          <w:szCs w:val="21"/>
        </w:rPr>
        <w:t>boom</w:t>
      </w:r>
      <w:proofErr w:type="gramEnd"/>
      <w:r>
        <w:rPr>
          <w:color w:val="1C1C1C"/>
          <w:sz w:val="21"/>
          <w:szCs w:val="21"/>
        </w:rPr>
        <w:t xml:space="preserve"> funded infrastructure and education but produced dangerous fiscal dependence and political instability, including a civil war in 1891. When synthetic nitrates and the Great Depression struck simultaneously, Chile suffered a 76% export collapse. Copper gradually replaced nitrates through the </w:t>
      </w:r>
      <w:proofErr w:type="spellStart"/>
      <w:r>
        <w:rPr>
          <w:color w:val="1C1C1C"/>
          <w:sz w:val="21"/>
          <w:szCs w:val="21"/>
        </w:rPr>
        <w:t>1920s-1930s</w:t>
      </w:r>
      <w:proofErr w:type="spellEnd"/>
      <w:r>
        <w:rPr>
          <w:color w:val="1C1C1C"/>
          <w:sz w:val="21"/>
          <w:szCs w:val="21"/>
        </w:rPr>
        <w:t xml:space="preserve">, though mineral exports still comprised 70-83% of total value. The </w:t>
      </w:r>
      <w:proofErr w:type="spellStart"/>
      <w:r>
        <w:rPr>
          <w:color w:val="1C1C1C"/>
          <w:sz w:val="21"/>
          <w:szCs w:val="21"/>
        </w:rPr>
        <w:t>nationalisation</w:t>
      </w:r>
      <w:proofErr w:type="spellEnd"/>
      <w:r>
        <w:rPr>
          <w:color w:val="1C1C1C"/>
          <w:sz w:val="21"/>
          <w:szCs w:val="21"/>
        </w:rPr>
        <w:t xml:space="preserve"> of copper under Allende in 1971, creating Codelco, shift</w:t>
      </w:r>
      <w:r w:rsidR="006C6499">
        <w:rPr>
          <w:color w:val="1C1C1C"/>
          <w:sz w:val="21"/>
          <w:szCs w:val="21"/>
        </w:rPr>
        <w:t xml:space="preserve">ed </w:t>
      </w:r>
      <w:r>
        <w:rPr>
          <w:color w:val="1C1C1C"/>
          <w:sz w:val="21"/>
          <w:szCs w:val="21"/>
        </w:rPr>
        <w:t>resource rents from export taxation to direct state capture.</w:t>
      </w:r>
    </w:p>
    <w:p w14:paraId="4BF502C3" w14:textId="77777777" w:rsidR="0052593A" w:rsidRDefault="00000000">
      <w:pPr>
        <w:pStyle w:val="Heading3"/>
      </w:pPr>
      <w:r>
        <w:t xml:space="preserve">5.1 </w:t>
      </w:r>
      <w:proofErr w:type="spellStart"/>
      <w:r>
        <w:t>Liberalisation</w:t>
      </w:r>
      <w:proofErr w:type="spellEnd"/>
      <w:r>
        <w:t xml:space="preserve"> and the Copper Fund (1973–1989)</w:t>
      </w:r>
    </w:p>
    <w:p w14:paraId="1177BF6B" w14:textId="77777777" w:rsidR="0052593A" w:rsidRDefault="00000000">
      <w:pPr>
        <w:spacing w:after="180" w:line="276" w:lineRule="auto"/>
      </w:pPr>
      <w:r>
        <w:rPr>
          <w:color w:val="1C1C1C"/>
          <w:sz w:val="21"/>
          <w:szCs w:val="21"/>
        </w:rPr>
        <w:t xml:space="preserve">The post-1973 military government pursued trade </w:t>
      </w:r>
      <w:proofErr w:type="spellStart"/>
      <w:r>
        <w:rPr>
          <w:color w:val="1C1C1C"/>
          <w:sz w:val="21"/>
          <w:szCs w:val="21"/>
        </w:rPr>
        <w:t>liberalisation</w:t>
      </w:r>
      <w:proofErr w:type="spellEnd"/>
      <w:r>
        <w:rPr>
          <w:color w:val="1C1C1C"/>
          <w:sz w:val="21"/>
          <w:szCs w:val="21"/>
        </w:rPr>
        <w:t xml:space="preserve">, </w:t>
      </w:r>
      <w:proofErr w:type="spellStart"/>
      <w:r>
        <w:rPr>
          <w:color w:val="1C1C1C"/>
          <w:sz w:val="21"/>
          <w:szCs w:val="21"/>
        </w:rPr>
        <w:t>privatisation</w:t>
      </w:r>
      <w:proofErr w:type="spellEnd"/>
      <w:r>
        <w:rPr>
          <w:color w:val="1C1C1C"/>
          <w:sz w:val="21"/>
          <w:szCs w:val="21"/>
        </w:rPr>
        <w:t xml:space="preserve">, and financial deregulation. A severe banking crisis in 1982-1983 demonstrated that market-oriented reform alone did not insulate a commodity-dependent economy from external shocks. The key institutional innovation was the </w:t>
      </w:r>
      <w:r>
        <w:rPr>
          <w:b/>
          <w:bCs/>
          <w:color w:val="1C1C1C"/>
          <w:sz w:val="21"/>
          <w:szCs w:val="21"/>
        </w:rPr>
        <w:t>Copper Price Compensation Fund</w:t>
      </w:r>
      <w:r>
        <w:rPr>
          <w:color w:val="1C1C1C"/>
          <w:sz w:val="21"/>
          <w:szCs w:val="21"/>
        </w:rPr>
        <w:t xml:space="preserve"> (1985). The idea was straightforward: when the copper price exceeded a pre-set long-term reference, half the surplus revenue was deposited into the fund; when prices fell below, the fund released equivalent amounts. It was not tied to a formal fiscal target, but it introduced a principle absent from Chilean policy throughout the nitrate and early copper eras: that windfall commodity income should be saved, not spent in real time.</w:t>
      </w:r>
    </w:p>
    <w:p w14:paraId="39F737C6" w14:textId="77777777" w:rsidR="0052593A" w:rsidRDefault="00000000">
      <w:pPr>
        <w:pStyle w:val="Heading3"/>
      </w:pPr>
      <w:r>
        <w:lastRenderedPageBreak/>
        <w:t>5.2 Democratic Expansion (1990–1998)</w:t>
      </w:r>
    </w:p>
    <w:p w14:paraId="5C2380D8" w14:textId="1FE1B252" w:rsidR="0052593A" w:rsidRDefault="00000000">
      <w:pPr>
        <w:spacing w:after="180" w:line="276" w:lineRule="auto"/>
      </w:pPr>
      <w:r>
        <w:rPr>
          <w:color w:val="1C1C1C"/>
          <w:sz w:val="21"/>
          <w:szCs w:val="21"/>
        </w:rPr>
        <w:t xml:space="preserve">The return to democracy produced historically unprecedented growth: 6.5% average annual GDP, with per capita income (PPP) rising from roughly USD 3,400 in 1985 to USD 9,820 by 2002 (Fuentes and Mies, 2005). Trade was </w:t>
      </w:r>
      <w:proofErr w:type="spellStart"/>
      <w:r>
        <w:rPr>
          <w:color w:val="1C1C1C"/>
          <w:sz w:val="21"/>
          <w:szCs w:val="21"/>
        </w:rPr>
        <w:t>liberalised</w:t>
      </w:r>
      <w:proofErr w:type="spellEnd"/>
      <w:r>
        <w:rPr>
          <w:color w:val="1C1C1C"/>
          <w:sz w:val="21"/>
          <w:szCs w:val="21"/>
        </w:rPr>
        <w:t xml:space="preserve"> through unilateral tariff cuts (15% to 6% by 1998)</w:t>
      </w:r>
      <w:r w:rsidR="006C6499">
        <w:rPr>
          <w:color w:val="1C1C1C"/>
          <w:sz w:val="21"/>
          <w:szCs w:val="21"/>
        </w:rPr>
        <w:t>, while</w:t>
      </w:r>
      <w:r>
        <w:rPr>
          <w:color w:val="1C1C1C"/>
          <w:sz w:val="21"/>
          <w:szCs w:val="21"/>
        </w:rPr>
        <w:t xml:space="preserve"> </w:t>
      </w:r>
      <w:r w:rsidR="006C6499">
        <w:rPr>
          <w:color w:val="1C1C1C"/>
          <w:sz w:val="21"/>
          <w:szCs w:val="21"/>
        </w:rPr>
        <w:t>p</w:t>
      </w:r>
      <w:r>
        <w:rPr>
          <w:color w:val="1C1C1C"/>
          <w:sz w:val="21"/>
          <w:szCs w:val="21"/>
        </w:rPr>
        <w:t xml:space="preserve">overty </w:t>
      </w:r>
      <w:r w:rsidR="006C6499">
        <w:rPr>
          <w:color w:val="1C1C1C"/>
          <w:sz w:val="21"/>
          <w:szCs w:val="21"/>
        </w:rPr>
        <w:t xml:space="preserve">(population </w:t>
      </w:r>
      <w:proofErr w:type="spellStart"/>
      <w:r w:rsidR="006C6499">
        <w:rPr>
          <w:color w:val="1C1C1C"/>
          <w:sz w:val="21"/>
          <w:szCs w:val="21"/>
        </w:rPr>
        <w:t xml:space="preserve">living </w:t>
      </w:r>
      <w:proofErr w:type="spellEnd"/>
      <w:r w:rsidR="006C6499">
        <w:rPr>
          <w:color w:val="1C1C1C"/>
          <w:sz w:val="21"/>
          <w:szCs w:val="21"/>
        </w:rPr>
        <w:t xml:space="preserve">under </w:t>
      </w:r>
      <w:r>
        <w:rPr>
          <w:color w:val="1C1C1C"/>
          <w:sz w:val="21"/>
          <w:szCs w:val="21"/>
        </w:rPr>
        <w:t>USD 2/day</w:t>
      </w:r>
      <w:r w:rsidR="006C6499">
        <w:rPr>
          <w:color w:val="1C1C1C"/>
          <w:sz w:val="21"/>
          <w:szCs w:val="21"/>
        </w:rPr>
        <w:t>)</w:t>
      </w:r>
      <w:r>
        <w:rPr>
          <w:color w:val="1C1C1C"/>
          <w:sz w:val="21"/>
          <w:szCs w:val="21"/>
        </w:rPr>
        <w:t xml:space="preserve"> fell from 18% to 9% between 1981 and 2001</w:t>
      </w:r>
      <w:r w:rsidR="006C6499">
        <w:rPr>
          <w:color w:val="1C1C1C"/>
          <w:sz w:val="21"/>
          <w:szCs w:val="21"/>
        </w:rPr>
        <w:t>.</w:t>
      </w:r>
      <w:r>
        <w:rPr>
          <w:color w:val="1C1C1C"/>
          <w:sz w:val="21"/>
          <w:szCs w:val="21"/>
        </w:rPr>
        <w:t xml:space="preserve"> </w:t>
      </w:r>
    </w:p>
    <w:p w14:paraId="5912B71C" w14:textId="77777777" w:rsidR="0052593A" w:rsidRDefault="00000000">
      <w:pPr>
        <w:pStyle w:val="Heading3"/>
      </w:pPr>
      <w:r>
        <w:t>5.3 Structural Balance Rule and SWFs (2001–2014)</w:t>
      </w:r>
    </w:p>
    <w:p w14:paraId="3E078271" w14:textId="6846AC9B" w:rsidR="0052593A" w:rsidRDefault="00000000">
      <w:pPr>
        <w:spacing w:after="180" w:line="276" w:lineRule="auto"/>
      </w:pPr>
      <w:r>
        <w:rPr>
          <w:color w:val="1C1C1C"/>
          <w:sz w:val="21"/>
          <w:szCs w:val="21"/>
        </w:rPr>
        <w:t xml:space="preserve">The </w:t>
      </w:r>
      <w:r>
        <w:rPr>
          <w:b/>
          <w:bCs/>
          <w:color w:val="1C1C1C"/>
          <w:sz w:val="21"/>
          <w:szCs w:val="21"/>
        </w:rPr>
        <w:t>structural balance rule</w:t>
      </w:r>
      <w:r>
        <w:rPr>
          <w:color w:val="1C1C1C"/>
          <w:sz w:val="21"/>
          <w:szCs w:val="21"/>
        </w:rPr>
        <w:t xml:space="preserve"> (2001) define</w:t>
      </w:r>
      <w:r w:rsidR="006C6499">
        <w:rPr>
          <w:color w:val="1C1C1C"/>
          <w:sz w:val="21"/>
          <w:szCs w:val="21"/>
        </w:rPr>
        <w:t>d</w:t>
      </w:r>
      <w:r>
        <w:rPr>
          <w:color w:val="1C1C1C"/>
          <w:sz w:val="21"/>
          <w:szCs w:val="21"/>
        </w:rPr>
        <w:t xml:space="preserve"> government expenditure in terms of “structural” income: revenue at potential GDP and long-term copper prices.</w:t>
      </w:r>
      <w:r w:rsidR="006C6499">
        <w:rPr>
          <w:color w:val="1C1C1C"/>
          <w:sz w:val="21"/>
          <w:szCs w:val="21"/>
        </w:rPr>
        <w:t xml:space="preserve"> </w:t>
      </w:r>
      <w:r>
        <w:rPr>
          <w:color w:val="1C1C1C"/>
          <w:sz w:val="21"/>
          <w:szCs w:val="21"/>
        </w:rPr>
        <w:t xml:space="preserve">The 2006 Fiscal Responsibility Law established the </w:t>
      </w:r>
      <w:proofErr w:type="spellStart"/>
      <w:r>
        <w:rPr>
          <w:color w:val="1C1C1C"/>
          <w:sz w:val="21"/>
          <w:szCs w:val="21"/>
        </w:rPr>
        <w:t>ESSF</w:t>
      </w:r>
      <w:proofErr w:type="spellEnd"/>
      <w:r>
        <w:rPr>
          <w:color w:val="1C1C1C"/>
          <w:sz w:val="21"/>
          <w:szCs w:val="21"/>
        </w:rPr>
        <w:t xml:space="preserve"> and PRF. Between 2003 and 2007, copper prices rose 220%; the structural surplus averaged 1.1% of GDP while the effective surplus was 4.2%. By end-2008, the </w:t>
      </w:r>
      <w:proofErr w:type="spellStart"/>
      <w:r>
        <w:rPr>
          <w:color w:val="1C1C1C"/>
          <w:sz w:val="21"/>
          <w:szCs w:val="21"/>
        </w:rPr>
        <w:t>ESSF</w:t>
      </w:r>
      <w:proofErr w:type="spellEnd"/>
      <w:r>
        <w:rPr>
          <w:color w:val="1C1C1C"/>
          <w:sz w:val="21"/>
          <w:szCs w:val="21"/>
        </w:rPr>
        <w:t xml:space="preserve"> held over USD 20 billion (14% of GDP). Chile deployed USD 4 billion from the </w:t>
      </w:r>
      <w:proofErr w:type="spellStart"/>
      <w:r>
        <w:rPr>
          <w:color w:val="1C1C1C"/>
          <w:sz w:val="21"/>
          <w:szCs w:val="21"/>
        </w:rPr>
        <w:t>ESSF</w:t>
      </w:r>
      <w:proofErr w:type="spellEnd"/>
      <w:r>
        <w:rPr>
          <w:color w:val="1C1C1C"/>
          <w:sz w:val="21"/>
          <w:szCs w:val="21"/>
        </w:rPr>
        <w:t xml:space="preserve"> during the 2008-09 crisis. Solimano (2009) noted the SWFs lacked explicit draw-down rules and may have over-accumulated at the cost of social spending.</w:t>
      </w:r>
    </w:p>
    <w:p w14:paraId="4123F7A7" w14:textId="77777777" w:rsidR="0052593A" w:rsidRDefault="00000000">
      <w:pPr>
        <w:pStyle w:val="Heading3"/>
      </w:pPr>
      <w:r>
        <w:t>5.4 Slowdown and the Lithium Frontier (2014–Present)</w:t>
      </w:r>
    </w:p>
    <w:p w14:paraId="1BE089E7" w14:textId="3E94BB82" w:rsidR="0052593A" w:rsidRPr="006C6499" w:rsidRDefault="00000000">
      <w:pPr>
        <w:spacing w:after="180" w:line="276" w:lineRule="auto"/>
        <w:rPr>
          <w:color w:val="1C1C1C"/>
          <w:sz w:val="21"/>
          <w:szCs w:val="21"/>
        </w:rPr>
      </w:pPr>
      <w:r>
        <w:rPr>
          <w:color w:val="1C1C1C"/>
          <w:sz w:val="21"/>
          <w:szCs w:val="21"/>
        </w:rPr>
        <w:t>Average annual growth fell to 2.0% over 2013-2023</w:t>
      </w:r>
      <w:r w:rsidR="006C6499">
        <w:rPr>
          <w:color w:val="1C1C1C"/>
          <w:sz w:val="21"/>
          <w:szCs w:val="21"/>
        </w:rPr>
        <w:t>, while</w:t>
      </w:r>
      <w:r>
        <w:rPr>
          <w:color w:val="1C1C1C"/>
          <w:sz w:val="21"/>
          <w:szCs w:val="21"/>
        </w:rPr>
        <w:t xml:space="preserve"> </w:t>
      </w:r>
      <w:r w:rsidR="006C6499">
        <w:rPr>
          <w:color w:val="1C1C1C"/>
          <w:sz w:val="21"/>
          <w:szCs w:val="21"/>
        </w:rPr>
        <w:t>p</w:t>
      </w:r>
      <w:r>
        <w:rPr>
          <w:color w:val="1C1C1C"/>
          <w:sz w:val="21"/>
          <w:szCs w:val="21"/>
        </w:rPr>
        <w:t xml:space="preserve">er capita income convergence has stalled since the late </w:t>
      </w:r>
      <w:proofErr w:type="spellStart"/>
      <w:r>
        <w:rPr>
          <w:color w:val="1C1C1C"/>
          <w:sz w:val="21"/>
          <w:szCs w:val="21"/>
        </w:rPr>
        <w:t>1990s</w:t>
      </w:r>
      <w:proofErr w:type="spellEnd"/>
      <w:r>
        <w:rPr>
          <w:color w:val="1C1C1C"/>
          <w:sz w:val="21"/>
          <w:szCs w:val="21"/>
        </w:rPr>
        <w:t xml:space="preserve">. The 2019 social unrest and two failed constitutional referendums </w:t>
      </w:r>
      <w:r w:rsidR="006C6499">
        <w:rPr>
          <w:color w:val="1C1C1C"/>
          <w:sz w:val="21"/>
          <w:szCs w:val="21"/>
        </w:rPr>
        <w:t xml:space="preserve">further </w:t>
      </w:r>
      <w:r>
        <w:rPr>
          <w:color w:val="1C1C1C"/>
          <w:sz w:val="21"/>
          <w:szCs w:val="21"/>
        </w:rPr>
        <w:t xml:space="preserve">exposed tensions over inequality and pension adequacy. </w:t>
      </w:r>
      <w:r w:rsidR="006C6499">
        <w:rPr>
          <w:color w:val="1C1C1C"/>
          <w:sz w:val="21"/>
          <w:szCs w:val="21"/>
        </w:rPr>
        <w:t xml:space="preserve">To counteract a potential long-term decline, the government has been advocated expanding mining activity, with the </w:t>
      </w:r>
      <w:r w:rsidR="006C6499">
        <w:rPr>
          <w:color w:val="1C1C1C"/>
          <w:sz w:val="21"/>
          <w:szCs w:val="21"/>
        </w:rPr>
        <w:t>National Lithium Strategy open</w:t>
      </w:r>
      <w:r w:rsidR="006C6499">
        <w:rPr>
          <w:color w:val="1C1C1C"/>
          <w:sz w:val="21"/>
          <w:szCs w:val="21"/>
        </w:rPr>
        <w:t xml:space="preserve">ing </w:t>
      </w:r>
      <w:r w:rsidR="006C6499">
        <w:rPr>
          <w:color w:val="1C1C1C"/>
          <w:sz w:val="21"/>
          <w:szCs w:val="21"/>
        </w:rPr>
        <w:t>a new resource chapter</w:t>
      </w:r>
      <w:r w:rsidR="006C6499">
        <w:rPr>
          <w:color w:val="1C1C1C"/>
          <w:sz w:val="21"/>
          <w:szCs w:val="21"/>
        </w:rPr>
        <w:t xml:space="preserve">. </w:t>
      </w:r>
      <w:r>
        <w:rPr>
          <w:color w:val="1C1C1C"/>
          <w:sz w:val="21"/>
          <w:szCs w:val="21"/>
        </w:rPr>
        <w:t>The question is whether the institutional apparatus built around copper can adapt to lithium while the economy diversifies beyond single-commodity dependence.</w:t>
      </w:r>
    </w:p>
    <w:p w14:paraId="10171A4B" w14:textId="77777777" w:rsidR="0052593A" w:rsidRDefault="00000000">
      <w:pPr>
        <w:pStyle w:val="Heading2"/>
      </w:pPr>
      <w:r>
        <w:t>6. Natural Resource Industry and Supply Chain</w:t>
      </w:r>
    </w:p>
    <w:p w14:paraId="61586BA3" w14:textId="77777777" w:rsidR="0052593A" w:rsidRDefault="00000000">
      <w:pPr>
        <w:spacing w:after="180" w:line="276" w:lineRule="auto"/>
      </w:pPr>
      <w:r>
        <w:rPr>
          <w:color w:val="1C1C1C"/>
          <w:sz w:val="21"/>
          <w:szCs w:val="21"/>
        </w:rPr>
        <w:t xml:space="preserve">Chile operates 363 producing facilities across 17 commodity groups, generating an estimated USD 62 billion in annual mineral value (2024). Production is geographically concentrated in three northern regions accounting for over 85% of output value. </w:t>
      </w:r>
      <w:r>
        <w:rPr>
          <w:b/>
          <w:bCs/>
          <w:color w:val="1C1C1C"/>
          <w:sz w:val="21"/>
          <w:szCs w:val="21"/>
        </w:rPr>
        <w:t xml:space="preserve">Backward linkages </w:t>
      </w:r>
      <w:r>
        <w:rPr>
          <w:color w:val="1C1C1C"/>
          <w:sz w:val="21"/>
          <w:szCs w:val="21"/>
        </w:rPr>
        <w:t>include energy supply (mining consumes 33% of national electricity), desalination infrastructure, transport and logistics, and a domestic equipment and services sector estimated at USD 8-10 billion in annual revenue.</w:t>
      </w:r>
    </w:p>
    <w:p w14:paraId="1826357E" w14:textId="5DD6B4C3" w:rsidR="0052593A" w:rsidRDefault="00000000">
      <w:pPr>
        <w:spacing w:after="180" w:line="276" w:lineRule="auto"/>
      </w:pPr>
      <w:r>
        <w:rPr>
          <w:b/>
          <w:bCs/>
          <w:color w:val="1C1C1C"/>
          <w:sz w:val="21"/>
          <w:szCs w:val="21"/>
        </w:rPr>
        <w:t xml:space="preserve">Forward linkages </w:t>
      </w:r>
      <w:r>
        <w:rPr>
          <w:color w:val="1C1C1C"/>
          <w:sz w:val="21"/>
          <w:szCs w:val="21"/>
        </w:rPr>
        <w:t>are more limited. Chile exports primarily in concentrate and refined form rather than fabricated products. Approximately 54% of copper exports go to China for downstream processing</w:t>
      </w:r>
      <w:r w:rsidR="006C6499">
        <w:rPr>
          <w:color w:val="1C1C1C"/>
          <w:sz w:val="21"/>
          <w:szCs w:val="21"/>
        </w:rPr>
        <w:t>, while</w:t>
      </w:r>
      <w:r>
        <w:rPr>
          <w:color w:val="1C1C1C"/>
          <w:sz w:val="21"/>
          <w:szCs w:val="21"/>
        </w:rPr>
        <w:t xml:space="preserve"> lithium carbonate goes to battery manufacturers in China, South Korea, and Japan. Domestic value-added beyond refining remains modest, though the National Lithium Strategy aims to capture more processing domestically.</w:t>
      </w:r>
    </w:p>
    <w:p w14:paraId="0CDEDE1F" w14:textId="77777777" w:rsidR="0052593A" w:rsidRDefault="00000000">
      <w:pPr>
        <w:pStyle w:val="Heading2"/>
      </w:pPr>
      <w:r>
        <w:t>7. Human Capital</w:t>
      </w:r>
    </w:p>
    <w:p w14:paraId="5CFBF957" w14:textId="77777777" w:rsidR="0052593A" w:rsidRDefault="00000000">
      <w:pPr>
        <w:spacing w:after="180" w:line="276" w:lineRule="auto"/>
      </w:pPr>
      <w:r>
        <w:rPr>
          <w:color w:val="1C1C1C"/>
          <w:sz w:val="21"/>
          <w:szCs w:val="21"/>
        </w:rPr>
        <w:t xml:space="preserve">Chile’s human capital shows a quantity-quality gap: average schooling reached approximately 10 years by the early </w:t>
      </w:r>
      <w:proofErr w:type="spellStart"/>
      <w:r>
        <w:rPr>
          <w:color w:val="1C1C1C"/>
          <w:sz w:val="21"/>
          <w:szCs w:val="21"/>
        </w:rPr>
        <w:t>2000s</w:t>
      </w:r>
      <w:proofErr w:type="spellEnd"/>
      <w:r>
        <w:rPr>
          <w:color w:val="1C1C1C"/>
          <w:sz w:val="21"/>
          <w:szCs w:val="21"/>
        </w:rPr>
        <w:t xml:space="preserve"> (among the highest in Latin America), but PISA scores place Chile in the lower segment of OECD countries. Fuentes and Mies (2005) noted that students had many hours of classes but received low-quality education. R&amp;D spending at 0.34% of GDP (roughly one-eighth of the OECD average) limits technology-driven growth and contributes to the weak ECI trajectory.</w:t>
      </w:r>
    </w:p>
    <w:p w14:paraId="499973A5" w14:textId="77777777" w:rsidR="0052593A" w:rsidRDefault="00000000">
      <w:pPr>
        <w:spacing w:after="180" w:line="276" w:lineRule="auto"/>
      </w:pPr>
      <w:r>
        <w:rPr>
          <w:color w:val="1C1C1C"/>
          <w:sz w:val="21"/>
          <w:szCs w:val="21"/>
        </w:rPr>
        <w:t xml:space="preserve">Worker productivity is approximately 50% below the OECD average. The mining sector has high </w:t>
      </w:r>
      <w:proofErr w:type="spellStart"/>
      <w:r>
        <w:rPr>
          <w:color w:val="1C1C1C"/>
          <w:sz w:val="21"/>
          <w:szCs w:val="21"/>
        </w:rPr>
        <w:t>labour</w:t>
      </w:r>
      <w:proofErr w:type="spellEnd"/>
      <w:r>
        <w:rPr>
          <w:color w:val="1C1C1C"/>
          <w:sz w:val="21"/>
          <w:szCs w:val="21"/>
        </w:rPr>
        <w:t xml:space="preserve"> productivity (driven by capital intensity), but this does not diffuse broadly. The gap between mining-sector wages and the national median is among the largest in any OECD country, contributing to regional inequality between the resource-producing north and the rest of the country.</w:t>
      </w:r>
    </w:p>
    <w:p w14:paraId="1EF65025" w14:textId="77777777" w:rsidR="0052593A" w:rsidRDefault="00000000">
      <w:pPr>
        <w:pStyle w:val="Heading2"/>
      </w:pPr>
      <w:r>
        <w:lastRenderedPageBreak/>
        <w:t>8. Infrastructure and Technology</w:t>
      </w:r>
    </w:p>
    <w:p w14:paraId="6A6D4EB1" w14:textId="77777777" w:rsidR="0052593A" w:rsidRDefault="00000000">
      <w:pPr>
        <w:spacing w:after="180" w:line="276" w:lineRule="auto"/>
      </w:pPr>
      <w:r>
        <w:rPr>
          <w:color w:val="1C1C1C"/>
          <w:sz w:val="21"/>
          <w:szCs w:val="21"/>
        </w:rPr>
        <w:t>Chile’s infrastructure is adequate by Latin American standards but deficient compared with OECD peers. Road density and paving rates remain well below the upper-middle-income average. Port efficiency sits slightly below Chile’s income-group average, though customs processing is faster than the regional mean. Transport costs are twenty times larger than tariffs for Chilean exports (Clark, Dollar, and Micco, 2002), making logistics infrastructure disproportionately important for competitiveness.</w:t>
      </w:r>
    </w:p>
    <w:p w14:paraId="7E70BF6D" w14:textId="77777777" w:rsidR="0052593A" w:rsidRDefault="00000000">
      <w:pPr>
        <w:spacing w:after="180" w:line="276" w:lineRule="auto"/>
      </w:pPr>
      <w:r>
        <w:rPr>
          <w:color w:val="1C1C1C"/>
          <w:sz w:val="21"/>
          <w:szCs w:val="21"/>
        </w:rPr>
        <w:t xml:space="preserve">Telecommunications have advanced considerably: mobile penetration exceeds 130 per 100 inhabitants, Chile was the first Latin American country to deploy </w:t>
      </w:r>
      <w:proofErr w:type="spellStart"/>
      <w:r>
        <w:rPr>
          <w:color w:val="1C1C1C"/>
          <w:sz w:val="21"/>
          <w:szCs w:val="21"/>
        </w:rPr>
        <w:t>5G</w:t>
      </w:r>
      <w:proofErr w:type="spellEnd"/>
      <w:r>
        <w:rPr>
          <w:color w:val="1C1C1C"/>
          <w:sz w:val="21"/>
          <w:szCs w:val="21"/>
        </w:rPr>
        <w:t xml:space="preserve"> (2021), and solar generated 21% of electricity in 2023. The mining sector drives energy infrastructure investment, including desalination plants supplying approximately 30% of mining water demand.</w:t>
      </w:r>
    </w:p>
    <w:p w14:paraId="466CC4B7" w14:textId="77777777" w:rsidR="0052593A" w:rsidRDefault="00000000">
      <w:pPr>
        <w:pStyle w:val="Heading2"/>
      </w:pPr>
      <w:r>
        <w:t>9. Governance and Institutions</w:t>
      </w:r>
    </w:p>
    <w:p w14:paraId="55C36D95" w14:textId="77777777" w:rsidR="0052593A" w:rsidRDefault="00000000">
      <w:pPr>
        <w:spacing w:after="180" w:line="276" w:lineRule="auto"/>
      </w:pPr>
      <w:r>
        <w:rPr>
          <w:color w:val="1C1C1C"/>
          <w:sz w:val="21"/>
          <w:szCs w:val="21"/>
        </w:rPr>
        <w:t>Chile’s institutional quality is its most distinctive advantage. Kaufmann-Kraay-</w:t>
      </w:r>
      <w:proofErr w:type="spellStart"/>
      <w:r>
        <w:rPr>
          <w:color w:val="1C1C1C"/>
          <w:sz w:val="21"/>
          <w:szCs w:val="21"/>
        </w:rPr>
        <w:t>Mastruzzi</w:t>
      </w:r>
      <w:proofErr w:type="spellEnd"/>
      <w:r>
        <w:rPr>
          <w:color w:val="1C1C1C"/>
          <w:sz w:val="21"/>
          <w:szCs w:val="21"/>
        </w:rPr>
        <w:t xml:space="preserve"> governance indicators place Chile between the 84th and 91st global percentile across all six dimensions (voice and accountability, political stability, government effectiveness, regulatory quality, rule of law, control of corruption). The institutional framework for resource management includes the structural balance rule, an independent central bank, Codelco’s professional board (since 2009 reforms), </w:t>
      </w:r>
      <w:proofErr w:type="spellStart"/>
      <w:r>
        <w:rPr>
          <w:color w:val="1C1C1C"/>
          <w:sz w:val="21"/>
          <w:szCs w:val="21"/>
        </w:rPr>
        <w:t>Cochilco</w:t>
      </w:r>
      <w:proofErr w:type="spellEnd"/>
      <w:r>
        <w:rPr>
          <w:color w:val="1C1C1C"/>
          <w:sz w:val="21"/>
          <w:szCs w:val="21"/>
        </w:rPr>
        <w:t xml:space="preserve"> as the technical advisory body on copper prices, and </w:t>
      </w:r>
      <w:proofErr w:type="spellStart"/>
      <w:r>
        <w:rPr>
          <w:color w:val="1C1C1C"/>
          <w:sz w:val="21"/>
          <w:szCs w:val="21"/>
        </w:rPr>
        <w:t>CORFO</w:t>
      </w:r>
      <w:proofErr w:type="spellEnd"/>
      <w:r>
        <w:rPr>
          <w:color w:val="1C1C1C"/>
          <w:sz w:val="21"/>
          <w:szCs w:val="21"/>
        </w:rPr>
        <w:t>-administered lithium contracts.</w:t>
      </w:r>
    </w:p>
    <w:p w14:paraId="454FC372" w14:textId="77777777" w:rsidR="0052593A" w:rsidRDefault="00000000">
      <w:pPr>
        <w:spacing w:after="180" w:line="276" w:lineRule="auto"/>
      </w:pPr>
      <w:r>
        <w:rPr>
          <w:color w:val="1C1C1C"/>
          <w:sz w:val="21"/>
          <w:szCs w:val="21"/>
        </w:rPr>
        <w:t>Weaknesses include contract enforcement (200 days, 15% of per capita income, above OECD average), intellectual property protection below best-practice levels, and the difficulty of achieving institutional reform, as demonstrated by the two failed constitutional processes.</w:t>
      </w:r>
    </w:p>
    <w:p w14:paraId="081F0000" w14:textId="77777777" w:rsidR="0052593A" w:rsidRDefault="00000000">
      <w:pPr>
        <w:pStyle w:val="Heading2"/>
      </w:pPr>
      <w:r>
        <w:t>11. Peer Comparison</w:t>
      </w:r>
    </w:p>
    <w:p w14:paraId="284FAF35" w14:textId="77777777" w:rsidR="0052593A" w:rsidRDefault="00000000">
      <w:pPr>
        <w:spacing w:after="180" w:line="276" w:lineRule="auto"/>
      </w:pPr>
      <w:r>
        <w:rPr>
          <w:color w:val="1C1C1C"/>
          <w:sz w:val="21"/>
          <w:szCs w:val="21"/>
        </w:rPr>
        <w:t>Chile’s value as a case study comes into focus against countries with similar resource endowments but different institutional trajectories.</w:t>
      </w:r>
    </w:p>
    <w:p w14:paraId="1401485E" w14:textId="77777777" w:rsidR="0052593A" w:rsidRDefault="00000000">
      <w:pPr>
        <w:pStyle w:val="Heading3"/>
      </w:pPr>
      <w:r>
        <w:t>Chile vs. Peru</w:t>
      </w:r>
    </w:p>
    <w:p w14:paraId="1041F5E6" w14:textId="77777777" w:rsidR="0052593A" w:rsidRDefault="00000000">
      <w:pPr>
        <w:spacing w:after="180" w:line="276" w:lineRule="auto"/>
      </w:pPr>
      <w:r>
        <w:rPr>
          <w:color w:val="1C1C1C"/>
          <w:sz w:val="21"/>
          <w:szCs w:val="21"/>
        </w:rPr>
        <w:t>Peru is the world’s second-largest copper producer (11% of global output) with minerals accounting for roughly 60% of goods exports. Peru’s sovereign rating (</w:t>
      </w:r>
      <w:proofErr w:type="spellStart"/>
      <w:r>
        <w:rPr>
          <w:color w:val="1C1C1C"/>
          <w:sz w:val="21"/>
          <w:szCs w:val="21"/>
        </w:rPr>
        <w:t>Baa1</w:t>
      </w:r>
      <w:proofErr w:type="spellEnd"/>
      <w:r>
        <w:rPr>
          <w:color w:val="1C1C1C"/>
          <w:sz w:val="21"/>
          <w:szCs w:val="21"/>
        </w:rPr>
        <w:t xml:space="preserve">/BBB-/BBB) sits two notches below Chile’s, reflecting weaker governance, higher political instability (six presidents between 2016 and 2023), and a fiscal rule that has been suspended repeatedly. Peru lacks an equivalent to the </w:t>
      </w:r>
      <w:proofErr w:type="spellStart"/>
      <w:r>
        <w:rPr>
          <w:color w:val="1C1C1C"/>
          <w:sz w:val="21"/>
          <w:szCs w:val="21"/>
        </w:rPr>
        <w:t>ESSF</w:t>
      </w:r>
      <w:proofErr w:type="spellEnd"/>
      <w:r>
        <w:rPr>
          <w:color w:val="1C1C1C"/>
          <w:sz w:val="21"/>
          <w:szCs w:val="21"/>
        </w:rPr>
        <w:t>. The comparison illustrates that similar mineral endowments produce materially different credit outcomes when institutional quality differs. Chile’s advantage is not geological but institutional.</w:t>
      </w:r>
    </w:p>
    <w:p w14:paraId="4D83316D" w14:textId="77777777" w:rsidR="0052593A" w:rsidRDefault="00000000">
      <w:pPr>
        <w:pStyle w:val="Heading3"/>
      </w:pPr>
      <w:r>
        <w:t>Chile vs. Zambia</w:t>
      </w:r>
    </w:p>
    <w:p w14:paraId="3D0BF744" w14:textId="77777777" w:rsidR="0052593A" w:rsidRDefault="00000000">
      <w:pPr>
        <w:spacing w:after="180" w:line="276" w:lineRule="auto"/>
      </w:pPr>
      <w:r>
        <w:rPr>
          <w:color w:val="1C1C1C"/>
          <w:sz w:val="21"/>
          <w:szCs w:val="21"/>
        </w:rPr>
        <w:t>Copper accounts for over 70% of Zambian exports, but Zambia’s GDP per capita (USD 3,900 PPP) is one-eighth of Chile’s, its rating is deep sub-investment grade (</w:t>
      </w:r>
      <w:proofErr w:type="spellStart"/>
      <w:r>
        <w:rPr>
          <w:color w:val="1C1C1C"/>
          <w:sz w:val="21"/>
          <w:szCs w:val="21"/>
        </w:rPr>
        <w:t>Caa1</w:t>
      </w:r>
      <w:proofErr w:type="spellEnd"/>
      <w:r>
        <w:rPr>
          <w:color w:val="1C1C1C"/>
          <w:sz w:val="21"/>
          <w:szCs w:val="21"/>
        </w:rPr>
        <w:t>/B-), and it defaulted on its Eurobonds in November 2020. Zambia’s mining royalty has been changed at least seven times since 2000; there is no SWF, no fiscal rule, and limited central bank independence. Zambia represents what copper dependence looks like without the institutional apparatus Chile built after 1985.</w:t>
      </w:r>
    </w:p>
    <w:p w14:paraId="0F19CF49" w14:textId="77777777" w:rsidR="0052593A" w:rsidRDefault="00000000">
      <w:pPr>
        <w:pStyle w:val="Heading3"/>
      </w:pPr>
      <w:r>
        <w:t>Chile vs. Botswana and Norway</w:t>
      </w:r>
    </w:p>
    <w:p w14:paraId="6C31E65A" w14:textId="77777777" w:rsidR="0052593A" w:rsidRDefault="00000000">
      <w:pPr>
        <w:spacing w:after="180" w:line="276" w:lineRule="auto"/>
      </w:pPr>
      <w:r>
        <w:rPr>
          <w:color w:val="1C1C1C"/>
          <w:sz w:val="21"/>
          <w:szCs w:val="21"/>
        </w:rPr>
        <w:t xml:space="preserve">Botswana used diamond revenues to reach upper-middle-income status with fiscal surpluses and a sovereign fund (the Pula Fund, ~USD 4.5 bn), but diamonds still account for roughly 80% of exports. Neither Botswana nor Chile has solved the diversification problem. Norway represents the </w:t>
      </w:r>
      <w:r>
        <w:rPr>
          <w:color w:val="1C1C1C"/>
          <w:sz w:val="21"/>
          <w:szCs w:val="21"/>
        </w:rPr>
        <w:lastRenderedPageBreak/>
        <w:t>upper bound: the Government Pension Fund Global (~USD 1.6 trillion, 300% of GDP) dwarfs Chile’s combined SWFs (under 5% of GDP), and Norway’s R&amp;D spending (2.1% of GDP) has enabled genuine diversification. Chile adopted Norway’s approach but at a fraction of the scale and without the accompanying investment in human capital and innovation.</w:t>
      </w:r>
    </w:p>
    <w:p w14:paraId="515F0BCC" w14:textId="77777777" w:rsidR="0052593A" w:rsidRDefault="00000000">
      <w:pPr>
        <w:pStyle w:val="Heading2"/>
      </w:pPr>
      <w:r>
        <w:t>12. Implications and Policy Recommendations</w:t>
      </w:r>
    </w:p>
    <w:p w14:paraId="465469C0" w14:textId="77777777" w:rsidR="0052593A" w:rsidRDefault="00000000">
      <w:pPr>
        <w:spacing w:after="180" w:line="276" w:lineRule="auto"/>
      </w:pPr>
      <w:r>
        <w:rPr>
          <w:color w:val="1C1C1C"/>
          <w:sz w:val="21"/>
          <w:szCs w:val="21"/>
        </w:rPr>
        <w:t xml:space="preserve">Chile’s challenge is no longer primarily about </w:t>
      </w:r>
      <w:proofErr w:type="spellStart"/>
      <w:r>
        <w:rPr>
          <w:color w:val="1C1C1C"/>
          <w:sz w:val="21"/>
          <w:szCs w:val="21"/>
        </w:rPr>
        <w:t>stabilising</w:t>
      </w:r>
      <w:proofErr w:type="spellEnd"/>
      <w:r>
        <w:rPr>
          <w:color w:val="1C1C1C"/>
          <w:sz w:val="21"/>
          <w:szCs w:val="21"/>
        </w:rPr>
        <w:t xml:space="preserve"> commodity revenues. The structural balance rule has largely addressed that. The challenge is converting a well-managed resource economy into a more complex, diversified, and productive one.</w:t>
      </w:r>
    </w:p>
    <w:p w14:paraId="2F69C005" w14:textId="77777777" w:rsidR="0052593A" w:rsidRDefault="00000000">
      <w:pPr>
        <w:spacing w:after="180" w:line="276" w:lineRule="auto"/>
      </w:pPr>
      <w:r>
        <w:rPr>
          <w:b/>
          <w:bCs/>
          <w:color w:val="1C1C1C"/>
          <w:sz w:val="21"/>
          <w:szCs w:val="21"/>
        </w:rPr>
        <w:t xml:space="preserve">1. Rebuild the </w:t>
      </w:r>
      <w:proofErr w:type="spellStart"/>
      <w:r>
        <w:rPr>
          <w:b/>
          <w:bCs/>
          <w:color w:val="1C1C1C"/>
          <w:sz w:val="21"/>
          <w:szCs w:val="21"/>
        </w:rPr>
        <w:t>ESSF</w:t>
      </w:r>
      <w:proofErr w:type="spellEnd"/>
      <w:r>
        <w:rPr>
          <w:b/>
          <w:bCs/>
          <w:color w:val="1C1C1C"/>
          <w:sz w:val="21"/>
          <w:szCs w:val="21"/>
        </w:rPr>
        <w:t xml:space="preserve">. </w:t>
      </w:r>
      <w:r>
        <w:rPr>
          <w:color w:val="1C1C1C"/>
          <w:sz w:val="21"/>
          <w:szCs w:val="21"/>
        </w:rPr>
        <w:t>The fund has fallen from USD 20 billion (14% of GDP) in 2008 to ~USD 5 billion (1.5%) in 2024. A credible commitment to rebuilding it to 5-8% of GDP over the next upcycle would restore the fiscal buffer underpinning Chile’s rating advantage.</w:t>
      </w:r>
    </w:p>
    <w:p w14:paraId="06F84E6C" w14:textId="77777777" w:rsidR="0052593A" w:rsidRDefault="00000000">
      <w:pPr>
        <w:spacing w:after="180" w:line="276" w:lineRule="auto"/>
      </w:pPr>
      <w:r>
        <w:rPr>
          <w:b/>
          <w:bCs/>
          <w:color w:val="1C1C1C"/>
          <w:sz w:val="21"/>
          <w:szCs w:val="21"/>
        </w:rPr>
        <w:t xml:space="preserve">2. Invest the lithium dividend in human capital. </w:t>
      </w:r>
      <w:r>
        <w:rPr>
          <w:color w:val="1C1C1C"/>
          <w:sz w:val="21"/>
          <w:szCs w:val="21"/>
        </w:rPr>
        <w:t>R&amp;D at 0.34% of GDP is the binding constraint on complexity. Earmarking a defined share of lithium rents for education and research, ring-fenced from the general budget, would address persistent education quality gaps and the declining ECI.</w:t>
      </w:r>
    </w:p>
    <w:p w14:paraId="7EE52719" w14:textId="77777777" w:rsidR="0052593A" w:rsidRDefault="00000000">
      <w:pPr>
        <w:spacing w:after="180" w:line="276" w:lineRule="auto"/>
      </w:pPr>
      <w:r>
        <w:rPr>
          <w:b/>
          <w:bCs/>
          <w:color w:val="1C1C1C"/>
          <w:sz w:val="21"/>
          <w:szCs w:val="21"/>
        </w:rPr>
        <w:t xml:space="preserve">3. </w:t>
      </w:r>
      <w:proofErr w:type="spellStart"/>
      <w:r>
        <w:rPr>
          <w:b/>
          <w:bCs/>
          <w:color w:val="1C1C1C"/>
          <w:sz w:val="21"/>
          <w:szCs w:val="21"/>
        </w:rPr>
        <w:t>Incentivise</w:t>
      </w:r>
      <w:proofErr w:type="spellEnd"/>
      <w:r>
        <w:rPr>
          <w:b/>
          <w:bCs/>
          <w:color w:val="1C1C1C"/>
          <w:sz w:val="21"/>
          <w:szCs w:val="21"/>
        </w:rPr>
        <w:t xml:space="preserve"> domestic value addition. </w:t>
      </w:r>
      <w:r>
        <w:rPr>
          <w:color w:val="1C1C1C"/>
          <w:sz w:val="21"/>
          <w:szCs w:val="21"/>
        </w:rPr>
        <w:t>A differentiated royalty applying lower rates to processed mineral exports (lithium hydroxide vs. carbonate, copper wire rod vs. cathode) would create a fiscal incentive for downstream processing without outright export bans.</w:t>
      </w:r>
    </w:p>
    <w:p w14:paraId="3819EE2E" w14:textId="77777777" w:rsidR="0052593A" w:rsidRDefault="00000000">
      <w:pPr>
        <w:spacing w:after="180" w:line="276" w:lineRule="auto"/>
      </w:pPr>
      <w:r>
        <w:rPr>
          <w:b/>
          <w:bCs/>
          <w:color w:val="1C1C1C"/>
          <w:sz w:val="21"/>
          <w:szCs w:val="21"/>
        </w:rPr>
        <w:t xml:space="preserve">4. </w:t>
      </w:r>
      <w:proofErr w:type="spellStart"/>
      <w:r>
        <w:rPr>
          <w:b/>
          <w:bCs/>
          <w:color w:val="1C1C1C"/>
          <w:sz w:val="21"/>
          <w:szCs w:val="21"/>
        </w:rPr>
        <w:t>Formalise</w:t>
      </w:r>
      <w:proofErr w:type="spellEnd"/>
      <w:r>
        <w:rPr>
          <w:b/>
          <w:bCs/>
          <w:color w:val="1C1C1C"/>
          <w:sz w:val="21"/>
          <w:szCs w:val="21"/>
        </w:rPr>
        <w:t xml:space="preserve"> lithium governance. </w:t>
      </w:r>
      <w:r>
        <w:rPr>
          <w:color w:val="1C1C1C"/>
          <w:sz w:val="21"/>
          <w:szCs w:val="21"/>
        </w:rPr>
        <w:t>Future lithium partnerships should be awarded through competitive tender with published criteria. Chile should consider EITI membership to signal governance standards consistent with its rating and OECD membership.</w:t>
      </w:r>
    </w:p>
    <w:p w14:paraId="23ECC761" w14:textId="10E17B7A" w:rsidR="0052593A" w:rsidRDefault="00000000" w:rsidP="006C6499">
      <w:pPr>
        <w:spacing w:after="180" w:line="276" w:lineRule="auto"/>
      </w:pPr>
      <w:r>
        <w:rPr>
          <w:b/>
          <w:bCs/>
          <w:color w:val="1C1C1C"/>
          <w:sz w:val="21"/>
          <w:szCs w:val="21"/>
        </w:rPr>
        <w:t xml:space="preserve">5. Address infrastructure and inequality. </w:t>
      </w:r>
      <w:r>
        <w:rPr>
          <w:color w:val="1C1C1C"/>
          <w:sz w:val="21"/>
          <w:szCs w:val="21"/>
        </w:rPr>
        <w:t>Transport costs exceed tariffs by a factor of twenty. Continued port and rail investment would yield higher competitiveness returns than further tariff reductions. Persistent inequality (Gini 0.46) generates political instability that feeds back into higher risk premia; the Zambian comparison shows where distributional grievances over mining rents can lead.</w:t>
      </w:r>
    </w:p>
    <w:p w14:paraId="4DA98B76" w14:textId="77777777" w:rsidR="0052593A" w:rsidRDefault="00000000">
      <w:pPr>
        <w:spacing w:after="180" w:line="276" w:lineRule="auto"/>
      </w:pPr>
      <w:r>
        <w:rPr>
          <w:color w:val="1C1C1C"/>
          <w:sz w:val="21"/>
          <w:szCs w:val="21"/>
        </w:rPr>
        <w:t xml:space="preserve">Chile’s story is one of institutional learning. The nitrate era showed what happens when a resource boom meets weak fiscal discipline. The copper era produced, through trial and error, the most sophisticated resource revenue management framework among middle-income commodity exporters. The lithium era will test whether those tools can adapt to a new commodity and the unresolved structural weaknesses that the copper framework managed but did not fix. The tools exist. The question is whether they will be used for </w:t>
      </w:r>
      <w:proofErr w:type="spellStart"/>
      <w:r>
        <w:rPr>
          <w:color w:val="1C1C1C"/>
          <w:sz w:val="21"/>
          <w:szCs w:val="21"/>
        </w:rPr>
        <w:t>stabilisation</w:t>
      </w:r>
      <w:proofErr w:type="spellEnd"/>
      <w:r>
        <w:rPr>
          <w:color w:val="1C1C1C"/>
          <w:sz w:val="21"/>
          <w:szCs w:val="21"/>
        </w:rPr>
        <w:t xml:space="preserve"> alone, or for the harder work of structural transformation.</w:t>
      </w:r>
    </w:p>
    <w:p w14:paraId="7C5802AF" w14:textId="77777777" w:rsidR="0052593A" w:rsidRDefault="00000000">
      <w:pPr>
        <w:pBdr>
          <w:top w:val="single" w:sz="2" w:space="8" w:color="D6D1C8"/>
        </w:pBdr>
        <w:spacing w:before="360" w:after="120"/>
      </w:pPr>
      <w:r>
        <w:rPr>
          <w:b/>
          <w:bCs/>
          <w:caps/>
          <w:color w:val="6B6560"/>
          <w:spacing w:val="80"/>
          <w:sz w:val="16"/>
          <w:szCs w:val="16"/>
        </w:rPr>
        <w:t>REFERENCES</w:t>
      </w:r>
    </w:p>
    <w:p w14:paraId="576BE517" w14:textId="77777777" w:rsidR="0052593A" w:rsidRDefault="00000000">
      <w:pPr>
        <w:spacing w:after="80"/>
        <w:ind w:left="360" w:hanging="360"/>
      </w:pPr>
      <w:proofErr w:type="spellStart"/>
      <w:r>
        <w:rPr>
          <w:color w:val="6B6560"/>
          <w:sz w:val="18"/>
          <w:szCs w:val="18"/>
        </w:rPr>
        <w:t>Aninat</w:t>
      </w:r>
      <w:proofErr w:type="spellEnd"/>
      <w:r>
        <w:rPr>
          <w:color w:val="6B6560"/>
          <w:sz w:val="18"/>
          <w:szCs w:val="18"/>
        </w:rPr>
        <w:t xml:space="preserve">, E. (2000). “Chile in the </w:t>
      </w:r>
      <w:proofErr w:type="spellStart"/>
      <w:r>
        <w:rPr>
          <w:color w:val="6B6560"/>
          <w:sz w:val="18"/>
          <w:szCs w:val="18"/>
        </w:rPr>
        <w:t>1990s</w:t>
      </w:r>
      <w:proofErr w:type="spellEnd"/>
      <w:r>
        <w:rPr>
          <w:color w:val="6B6560"/>
          <w:sz w:val="18"/>
          <w:szCs w:val="18"/>
        </w:rPr>
        <w:t>: Embracing Development Opportunities.” Finance &amp; Development, 37(1). IMF.</w:t>
      </w:r>
    </w:p>
    <w:p w14:paraId="61408463" w14:textId="77777777" w:rsidR="0052593A" w:rsidRDefault="00000000">
      <w:pPr>
        <w:spacing w:after="80"/>
        <w:ind w:left="360" w:hanging="360"/>
      </w:pPr>
      <w:r>
        <w:rPr>
          <w:color w:val="6B6560"/>
          <w:sz w:val="18"/>
          <w:szCs w:val="18"/>
        </w:rPr>
        <w:t>Clark, X., D. Dollar, and A. Micco (2002). “Maritime Transport Costs and Port Efficiency.” Policy Research WP No. 2781. World Bank.</w:t>
      </w:r>
    </w:p>
    <w:p w14:paraId="0323AC6D" w14:textId="77777777" w:rsidR="0052593A" w:rsidRDefault="00000000">
      <w:pPr>
        <w:spacing w:after="80"/>
        <w:ind w:left="360" w:hanging="360"/>
      </w:pPr>
      <w:proofErr w:type="spellStart"/>
      <w:r>
        <w:rPr>
          <w:color w:val="6B6560"/>
          <w:sz w:val="18"/>
          <w:szCs w:val="18"/>
        </w:rPr>
        <w:t>Cochilco</w:t>
      </w:r>
      <w:proofErr w:type="spellEnd"/>
      <w:r>
        <w:rPr>
          <w:color w:val="6B6560"/>
          <w:sz w:val="18"/>
          <w:szCs w:val="18"/>
        </w:rPr>
        <w:t xml:space="preserve"> (2024). Investment in Chilean Mining: Portfolio of Projects 2024-2033. Santiago.</w:t>
      </w:r>
    </w:p>
    <w:p w14:paraId="0A9A78A4" w14:textId="77777777" w:rsidR="0052593A" w:rsidRDefault="00000000">
      <w:pPr>
        <w:spacing w:after="80"/>
        <w:ind w:left="360" w:hanging="360"/>
      </w:pPr>
      <w:r>
        <w:rPr>
          <w:color w:val="6B6560"/>
          <w:sz w:val="18"/>
          <w:szCs w:val="18"/>
        </w:rPr>
        <w:t>De Gregorio, J. (2012). “Copper, the Real Exchange Rate and Macroeconomic Fluctuations in Chile.” In Beyond the Curse. IMF.</w:t>
      </w:r>
    </w:p>
    <w:p w14:paraId="6312D10B" w14:textId="77777777" w:rsidR="0052593A" w:rsidRDefault="00000000">
      <w:pPr>
        <w:spacing w:after="80"/>
        <w:ind w:left="360" w:hanging="360"/>
      </w:pPr>
      <w:r>
        <w:rPr>
          <w:color w:val="6B6560"/>
          <w:sz w:val="18"/>
          <w:szCs w:val="18"/>
        </w:rPr>
        <w:t>EY Chile (2025). Mining &amp; Metals Investment Guide 2025. Santiago.</w:t>
      </w:r>
    </w:p>
    <w:p w14:paraId="63EA7CEF" w14:textId="77777777" w:rsidR="0052593A" w:rsidRDefault="00000000">
      <w:pPr>
        <w:spacing w:after="80"/>
        <w:ind w:left="360" w:hanging="360"/>
      </w:pPr>
      <w:r>
        <w:rPr>
          <w:color w:val="6B6560"/>
          <w:sz w:val="18"/>
          <w:szCs w:val="18"/>
        </w:rPr>
        <w:t xml:space="preserve">Fuentes, J.R. and V. Mies (2005). </w:t>
      </w:r>
      <w:r w:rsidRPr="006C6499">
        <w:rPr>
          <w:color w:val="6B6560"/>
          <w:sz w:val="18"/>
          <w:szCs w:val="18"/>
          <w:lang w:val="it-IT"/>
        </w:rPr>
        <w:t xml:space="preserve">“Una </w:t>
      </w:r>
      <w:proofErr w:type="spellStart"/>
      <w:r w:rsidRPr="006C6499">
        <w:rPr>
          <w:color w:val="6B6560"/>
          <w:sz w:val="18"/>
          <w:szCs w:val="18"/>
          <w:lang w:val="it-IT"/>
        </w:rPr>
        <w:t>mirada</w:t>
      </w:r>
      <w:proofErr w:type="spellEnd"/>
      <w:r w:rsidRPr="006C6499">
        <w:rPr>
          <w:color w:val="6B6560"/>
          <w:sz w:val="18"/>
          <w:szCs w:val="18"/>
          <w:lang w:val="it-IT"/>
        </w:rPr>
        <w:t xml:space="preserve"> al </w:t>
      </w:r>
      <w:proofErr w:type="spellStart"/>
      <w:r w:rsidRPr="006C6499">
        <w:rPr>
          <w:color w:val="6B6560"/>
          <w:sz w:val="18"/>
          <w:szCs w:val="18"/>
          <w:lang w:val="it-IT"/>
        </w:rPr>
        <w:t>desarrollo</w:t>
      </w:r>
      <w:proofErr w:type="spellEnd"/>
      <w:r w:rsidRPr="006C6499">
        <w:rPr>
          <w:color w:val="6B6560"/>
          <w:sz w:val="18"/>
          <w:szCs w:val="18"/>
          <w:lang w:val="it-IT"/>
        </w:rPr>
        <w:t xml:space="preserve"> </w:t>
      </w:r>
      <w:proofErr w:type="spellStart"/>
      <w:r w:rsidRPr="006C6499">
        <w:rPr>
          <w:color w:val="6B6560"/>
          <w:sz w:val="18"/>
          <w:szCs w:val="18"/>
          <w:lang w:val="it-IT"/>
        </w:rPr>
        <w:t>económico</w:t>
      </w:r>
      <w:proofErr w:type="spellEnd"/>
      <w:r w:rsidRPr="006C6499">
        <w:rPr>
          <w:color w:val="6B6560"/>
          <w:sz w:val="18"/>
          <w:szCs w:val="18"/>
          <w:lang w:val="it-IT"/>
        </w:rPr>
        <w:t xml:space="preserve"> de Chile.” </w:t>
      </w:r>
      <w:r>
        <w:rPr>
          <w:color w:val="6B6560"/>
          <w:sz w:val="18"/>
          <w:szCs w:val="18"/>
        </w:rPr>
        <w:t xml:space="preserve">Economía </w:t>
      </w:r>
      <w:proofErr w:type="spellStart"/>
      <w:r>
        <w:rPr>
          <w:color w:val="6B6560"/>
          <w:sz w:val="18"/>
          <w:szCs w:val="18"/>
        </w:rPr>
        <w:t>Chilena</w:t>
      </w:r>
      <w:proofErr w:type="spellEnd"/>
      <w:r>
        <w:rPr>
          <w:color w:val="6B6560"/>
          <w:sz w:val="18"/>
          <w:szCs w:val="18"/>
        </w:rPr>
        <w:t>, 8(1): 7-33. Banco Central de Chile.</w:t>
      </w:r>
    </w:p>
    <w:p w14:paraId="35C7C799" w14:textId="77777777" w:rsidR="0052593A" w:rsidRDefault="00000000">
      <w:pPr>
        <w:spacing w:after="80"/>
        <w:ind w:left="360" w:hanging="360"/>
      </w:pPr>
      <w:r>
        <w:rPr>
          <w:color w:val="6B6560"/>
          <w:sz w:val="18"/>
          <w:szCs w:val="18"/>
        </w:rPr>
        <w:t>Harris, N. (2024). “The Rise and Fall of Chile’s Nitrate Empire.” LSE Economic History Blog.</w:t>
      </w:r>
    </w:p>
    <w:p w14:paraId="4C410C34" w14:textId="77777777" w:rsidR="0052593A" w:rsidRDefault="00000000">
      <w:pPr>
        <w:spacing w:after="80"/>
        <w:ind w:left="360" w:hanging="360"/>
      </w:pPr>
      <w:r>
        <w:rPr>
          <w:color w:val="6B6560"/>
          <w:sz w:val="18"/>
          <w:szCs w:val="18"/>
        </w:rPr>
        <w:t>Harvard Growth Lab (2024). Atlas of Economic Complexity. Country profile: Chile.</w:t>
      </w:r>
    </w:p>
    <w:p w14:paraId="767DF5A3" w14:textId="77777777" w:rsidR="0052593A" w:rsidRDefault="00000000">
      <w:pPr>
        <w:spacing w:after="80"/>
        <w:ind w:left="360" w:hanging="360"/>
      </w:pPr>
      <w:r>
        <w:rPr>
          <w:color w:val="6B6560"/>
          <w:sz w:val="18"/>
          <w:szCs w:val="18"/>
        </w:rPr>
        <w:lastRenderedPageBreak/>
        <w:t xml:space="preserve">Kaufmann, D., A. Kraay, and M. </w:t>
      </w:r>
      <w:proofErr w:type="spellStart"/>
      <w:r>
        <w:rPr>
          <w:color w:val="6B6560"/>
          <w:sz w:val="18"/>
          <w:szCs w:val="18"/>
        </w:rPr>
        <w:t>Mastruzzi</w:t>
      </w:r>
      <w:proofErr w:type="spellEnd"/>
      <w:r>
        <w:rPr>
          <w:color w:val="6B6560"/>
          <w:sz w:val="18"/>
          <w:szCs w:val="18"/>
        </w:rPr>
        <w:t xml:space="preserve"> (2003). “Governance Matters III.” Policy Research WP No. 3106. World Bank.</w:t>
      </w:r>
    </w:p>
    <w:p w14:paraId="59456ABF" w14:textId="77777777" w:rsidR="0052593A" w:rsidRDefault="00000000">
      <w:pPr>
        <w:spacing w:after="80"/>
        <w:ind w:left="360" w:hanging="360"/>
      </w:pPr>
      <w:r>
        <w:rPr>
          <w:color w:val="6B6560"/>
          <w:sz w:val="18"/>
          <w:szCs w:val="18"/>
        </w:rPr>
        <w:t xml:space="preserve">Marcel, M. (2011). “The Structural Balance Rule in Chile: Ten Years, Ten Lessons.” </w:t>
      </w:r>
      <w:proofErr w:type="spellStart"/>
      <w:r>
        <w:rPr>
          <w:color w:val="6B6560"/>
          <w:sz w:val="18"/>
          <w:szCs w:val="18"/>
        </w:rPr>
        <w:t>IDB</w:t>
      </w:r>
      <w:proofErr w:type="spellEnd"/>
      <w:r>
        <w:rPr>
          <w:color w:val="6B6560"/>
          <w:sz w:val="18"/>
          <w:szCs w:val="18"/>
        </w:rPr>
        <w:t xml:space="preserve"> Discussion Paper No. 289.</w:t>
      </w:r>
    </w:p>
    <w:p w14:paraId="571CF6E1" w14:textId="77777777" w:rsidR="0052593A" w:rsidRDefault="00000000">
      <w:pPr>
        <w:spacing w:after="80"/>
        <w:ind w:left="360" w:hanging="360"/>
      </w:pPr>
      <w:r>
        <w:rPr>
          <w:color w:val="6B6560"/>
          <w:sz w:val="18"/>
          <w:szCs w:val="18"/>
        </w:rPr>
        <w:t>OECD (2016). Environmental Performance Reviews: Chile. OECD Publishing, Paris.</w:t>
      </w:r>
    </w:p>
    <w:p w14:paraId="0D37F93F" w14:textId="77777777" w:rsidR="0052593A" w:rsidRDefault="00000000">
      <w:pPr>
        <w:spacing w:after="80"/>
        <w:ind w:left="360" w:hanging="360"/>
      </w:pPr>
      <w:r>
        <w:rPr>
          <w:color w:val="6B6560"/>
          <w:sz w:val="18"/>
          <w:szCs w:val="18"/>
        </w:rPr>
        <w:t xml:space="preserve">Solimano, A. (2009). “Three Decades of Neoliberal Economics in Chile.” WIDER WP </w:t>
      </w:r>
      <w:proofErr w:type="spellStart"/>
      <w:r>
        <w:rPr>
          <w:color w:val="6B6560"/>
          <w:sz w:val="18"/>
          <w:szCs w:val="18"/>
        </w:rPr>
        <w:t>RP2009</w:t>
      </w:r>
      <w:proofErr w:type="spellEnd"/>
      <w:r>
        <w:rPr>
          <w:color w:val="6B6560"/>
          <w:sz w:val="18"/>
          <w:szCs w:val="18"/>
        </w:rPr>
        <w:t xml:space="preserve">-37. </w:t>
      </w:r>
      <w:proofErr w:type="spellStart"/>
      <w:r>
        <w:rPr>
          <w:color w:val="6B6560"/>
          <w:sz w:val="18"/>
          <w:szCs w:val="18"/>
        </w:rPr>
        <w:t>UNU</w:t>
      </w:r>
      <w:proofErr w:type="spellEnd"/>
      <w:r>
        <w:rPr>
          <w:color w:val="6B6560"/>
          <w:sz w:val="18"/>
          <w:szCs w:val="18"/>
        </w:rPr>
        <w:t>.</w:t>
      </w:r>
    </w:p>
    <w:sectPr w:rsidR="0052593A">
      <w:headerReference w:type="default" r:id="rId7"/>
      <w:footerReference w:type="default" r:id="rId8"/>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88AA" w14:textId="77777777" w:rsidR="00C67F50" w:rsidRDefault="00C67F50">
      <w:r>
        <w:separator/>
      </w:r>
    </w:p>
  </w:endnote>
  <w:endnote w:type="continuationSeparator" w:id="0">
    <w:p w14:paraId="62DAED97" w14:textId="77777777" w:rsidR="00C67F50" w:rsidRDefault="00C6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1237" w14:textId="77777777" w:rsidR="0052593A" w:rsidRDefault="00000000">
    <w:pPr>
      <w:pBdr>
        <w:top w:val="single" w:sz="2" w:space="4" w:color="D6D1C8"/>
      </w:pBdr>
      <w:tabs>
        <w:tab w:val="right" w:pos="9306"/>
      </w:tabs>
    </w:pPr>
    <w:r>
      <w:rPr>
        <w:color w:val="6B6560"/>
        <w:sz w:val="14"/>
        <w:szCs w:val="14"/>
      </w:rPr>
      <w:t>LSE MPA Data Science for Public Policy</w:t>
    </w:r>
    <w:r>
      <w:rPr>
        <w:sz w:val="14"/>
        <w:szCs w:val="14"/>
      </w:rPr>
      <w:tab/>
    </w:r>
    <w:r>
      <w:rPr>
        <w:color w:val="6B6560"/>
        <w:sz w:val="14"/>
        <w:szCs w:val="14"/>
      </w:rPr>
      <w:t xml:space="preserve">Page </w:t>
    </w:r>
    <w:r>
      <w:rPr>
        <w:color w:val="6B6560"/>
        <w:sz w:val="14"/>
        <w:szCs w:val="14"/>
      </w:rPr>
      <w:fldChar w:fldCharType="begin"/>
    </w:r>
    <w:r>
      <w:rPr>
        <w:color w:val="6B6560"/>
        <w:sz w:val="14"/>
        <w:szCs w:val="14"/>
      </w:rPr>
      <w:instrText>PAGE</w:instrText>
    </w:r>
    <w:r>
      <w:rPr>
        <w:color w:val="6B6560"/>
        <w:sz w:val="14"/>
        <w:szCs w:val="14"/>
      </w:rPr>
      <w:fldChar w:fldCharType="separate"/>
    </w:r>
    <w:r w:rsidR="006C6499">
      <w:rPr>
        <w:noProof/>
        <w:color w:val="6B6560"/>
        <w:sz w:val="14"/>
        <w:szCs w:val="14"/>
      </w:rPr>
      <w:t>1</w:t>
    </w:r>
    <w:r>
      <w:rPr>
        <w:color w:val="6B656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2FFC" w14:textId="77777777" w:rsidR="00C67F50" w:rsidRDefault="00C67F50">
      <w:r>
        <w:separator/>
      </w:r>
    </w:p>
  </w:footnote>
  <w:footnote w:type="continuationSeparator" w:id="0">
    <w:p w14:paraId="00F912DF" w14:textId="77777777" w:rsidR="00C67F50" w:rsidRDefault="00C67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E469" w14:textId="77777777" w:rsidR="0052593A" w:rsidRDefault="00000000">
    <w:pPr>
      <w:pBdr>
        <w:bottom w:val="single" w:sz="3" w:space="4" w:color="B5232A"/>
      </w:pBdr>
      <w:tabs>
        <w:tab w:val="right" w:pos="9306"/>
      </w:tabs>
    </w:pPr>
    <w:r>
      <w:rPr>
        <w:b/>
        <w:bCs/>
        <w:color w:val="B5232A"/>
        <w:sz w:val="16"/>
        <w:szCs w:val="16"/>
      </w:rPr>
      <w:t xml:space="preserve">Chile </w:t>
    </w:r>
    <w:r>
      <w:rPr>
        <w:color w:val="6B6560"/>
        <w:sz w:val="16"/>
        <w:szCs w:val="16"/>
      </w:rPr>
      <w:t>Country Case Study</w:t>
    </w:r>
    <w:r>
      <w:rPr>
        <w:sz w:val="16"/>
        <w:szCs w:val="16"/>
      </w:rPr>
      <w:tab/>
    </w:r>
    <w:r>
      <w:rPr>
        <w:color w:val="6B6560"/>
        <w:sz w:val="16"/>
        <w:szCs w:val="16"/>
      </w:rPr>
      <w:t>Moody’s Ratings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81702"/>
    <w:multiLevelType w:val="hybridMultilevel"/>
    <w:tmpl w:val="A390463C"/>
    <w:lvl w:ilvl="0" w:tplc="C988ED52">
      <w:start w:val="1"/>
      <w:numFmt w:val="bullet"/>
      <w:lvlText w:val="●"/>
      <w:lvlJc w:val="left"/>
      <w:pPr>
        <w:ind w:left="720" w:hanging="360"/>
      </w:pPr>
    </w:lvl>
    <w:lvl w:ilvl="1" w:tplc="11623F54">
      <w:start w:val="1"/>
      <w:numFmt w:val="bullet"/>
      <w:lvlText w:val="○"/>
      <w:lvlJc w:val="left"/>
      <w:pPr>
        <w:ind w:left="1440" w:hanging="360"/>
      </w:pPr>
    </w:lvl>
    <w:lvl w:ilvl="2" w:tplc="02BC5E34">
      <w:start w:val="1"/>
      <w:numFmt w:val="bullet"/>
      <w:lvlText w:val="■"/>
      <w:lvlJc w:val="left"/>
      <w:pPr>
        <w:ind w:left="2160" w:hanging="360"/>
      </w:pPr>
    </w:lvl>
    <w:lvl w:ilvl="3" w:tplc="6B866448">
      <w:start w:val="1"/>
      <w:numFmt w:val="bullet"/>
      <w:lvlText w:val="●"/>
      <w:lvlJc w:val="left"/>
      <w:pPr>
        <w:ind w:left="2880" w:hanging="360"/>
      </w:pPr>
    </w:lvl>
    <w:lvl w:ilvl="4" w:tplc="B6E614D0">
      <w:start w:val="1"/>
      <w:numFmt w:val="bullet"/>
      <w:lvlText w:val="○"/>
      <w:lvlJc w:val="left"/>
      <w:pPr>
        <w:ind w:left="3600" w:hanging="360"/>
      </w:pPr>
    </w:lvl>
    <w:lvl w:ilvl="5" w:tplc="B31CAFBA">
      <w:start w:val="1"/>
      <w:numFmt w:val="bullet"/>
      <w:lvlText w:val="■"/>
      <w:lvlJc w:val="left"/>
      <w:pPr>
        <w:ind w:left="4320" w:hanging="360"/>
      </w:pPr>
    </w:lvl>
    <w:lvl w:ilvl="6" w:tplc="FD0C71F8">
      <w:start w:val="1"/>
      <w:numFmt w:val="bullet"/>
      <w:lvlText w:val="●"/>
      <w:lvlJc w:val="left"/>
      <w:pPr>
        <w:ind w:left="5040" w:hanging="360"/>
      </w:pPr>
    </w:lvl>
    <w:lvl w:ilvl="7" w:tplc="B70A698C">
      <w:start w:val="1"/>
      <w:numFmt w:val="bullet"/>
      <w:lvlText w:val="●"/>
      <w:lvlJc w:val="left"/>
      <w:pPr>
        <w:ind w:left="5760" w:hanging="360"/>
      </w:pPr>
    </w:lvl>
    <w:lvl w:ilvl="8" w:tplc="A0EAA95E">
      <w:start w:val="1"/>
      <w:numFmt w:val="bullet"/>
      <w:lvlText w:val="●"/>
      <w:lvlJc w:val="left"/>
      <w:pPr>
        <w:ind w:left="6480" w:hanging="360"/>
      </w:pPr>
    </w:lvl>
  </w:abstractNum>
  <w:num w:numId="1" w16cid:durableId="2000039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93A"/>
    <w:rsid w:val="0052593A"/>
    <w:rsid w:val="006C6499"/>
    <w:rsid w:val="007B123A"/>
    <w:rsid w:val="00C67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13F8D1"/>
  <w15:docId w15:val="{D11A6DF0-F426-D247-B8B8-7A2F62EC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C1C1C"/>
      <w:sz w:val="36"/>
      <w:szCs w:val="36"/>
    </w:rPr>
  </w:style>
  <w:style w:type="paragraph" w:styleId="Heading2">
    <w:name w:val="heading 2"/>
    <w:uiPriority w:val="9"/>
    <w:unhideWhenUsed/>
    <w:qFormat/>
    <w:pPr>
      <w:spacing w:before="280" w:after="160"/>
      <w:outlineLvl w:val="1"/>
    </w:pPr>
    <w:rPr>
      <w:b/>
      <w:bCs/>
      <w:color w:val="B5232A"/>
      <w:sz w:val="28"/>
      <w:szCs w:val="28"/>
    </w:rPr>
  </w:style>
  <w:style w:type="paragraph" w:styleId="Heading3">
    <w:name w:val="heading 3"/>
    <w:uiPriority w:val="9"/>
    <w:unhideWhenUsed/>
    <w:qFormat/>
    <w:pPr>
      <w:spacing w:before="200" w:after="120"/>
      <w:outlineLvl w:val="2"/>
    </w:pPr>
    <w:rPr>
      <w:b/>
      <w:bCs/>
      <w:color w:val="1C1C1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3389</Words>
  <Characters>19321</Characters>
  <Application>Microsoft Office Word</Application>
  <DocSecurity>0</DocSecurity>
  <Lines>161</Lines>
  <Paragraphs>45</Paragraphs>
  <ScaleCrop>false</ScaleCrop>
  <Company/>
  <LinksUpToDate>false</LinksUpToDate>
  <CharactersWithSpaces>22665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LEONARDO LUKSIC</cp:lastModifiedBy>
  <cp:revision>2</cp:revision>
  <dcterms:created xsi:type="dcterms:W3CDTF">2026-03-08T14:59:00Z</dcterms:created>
  <dcterms:modified xsi:type="dcterms:W3CDTF">2026-03-08T15:10:00Z</dcterms:modified>
</cp:coreProperties>
</file>