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Robustness Appendix</w:t>
      </w:r>
    </w:p>
    <w:p>
      <w:pPr>
        <w:spacing w:after="240"/>
      </w:pPr>
      <w:r>
        <w:t>This appendix documents two independent robustness checks applied to the empirical models in the main paper: (I) a parametric bootstrap with full re-imputation (B = 200) and (II) leave-one-country-out (LOCO) analysis over the 54-country sample. Bootstrap resamples countries with replacement; each draw undergoes the full NB3 imputation pipeline before model estimation. LOCO refits all models on the 53-country subsample obtained by removing each country in turn.</w:t>
      </w:r>
    </w:p>
    <w:p/>
    <w:p>
      <w:pPr>
        <w:pStyle w:val="Heading1"/>
        <w:jc w:val="left"/>
      </w:pPr>
      <w:r>
        <w:rPr>
          <w:color w:val="1A1A2E"/>
        </w:rPr>
        <w:t>I. Bootstrap Robustness (B = 200)</w:t>
      </w:r>
    </w:p>
    <w:p>
      <w:pPr>
        <w:spacing w:after="120"/>
      </w:pPr>
      <w:r>
        <w:t>Countries are resampled with replacement (N = 54 draws per iteration). Each bootstrap dataset undergoes linear interpolation followed by k-NN imputation (k = 5) before model estimation, mirroring the original data preparation pipeline. Confidence intervals are the 2.5th–97.5th percentiles of the bootstrap distribution.</w:t>
      </w:r>
    </w:p>
    <w:p>
      <w:pPr>
        <w:pStyle w:val="Heading2"/>
        <w:jc w:val="left"/>
      </w:pPr>
      <w:r>
        <w:rPr>
          <w:color w:val="1A1A2E"/>
        </w:rPr>
        <w:t>I.1  OLS Regression — Coefficient Stability</w:t>
      </w:r>
    </w:p>
    <w:p>
      <w:pPr>
        <w:spacing w:after="80"/>
      </w:pPr>
      <w:r>
        <w:t>Figure I.1 plots 95% bootstrap confidence intervals for each OLS coefficient. Green bars indicate the CI excludes zero (significant); grey bars include zero. Tick marks show the point estimate from the original full-sample model (clustered standard errors). Both Model 3a (without lagged ECI) and Model 3b (with lagged ECI) are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1_boot_reg_coefs_6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I.1 — Bootstrap coefficient 95% CIs, OLS regression Models 3a and 3b. Green = CI excludes zero; grey = CI includes zero. Tick = original estimate.</w:t>
      </w:r>
    </w:p>
    <w:p/>
    <w:p>
      <w:pPr>
        <w:pStyle w:val="Heading2"/>
        <w:jc w:val="left"/>
      </w:pPr>
      <w:r>
        <w:rPr>
          <w:color w:val="1A1A2E"/>
        </w:rPr>
        <w:t>I.2  ML Models — Test R² Distribution</w:t>
      </w:r>
    </w:p>
    <w:p>
      <w:pPr>
        <w:spacing w:after="80"/>
      </w:pPr>
      <w:r>
        <w:t>Figure I.2 shows the bootstrap distribution of out-of-sample test R² for each ML model (LASSO, Ridge, Elastic Net, Random Forest). Shaded violins show the full distribution; thick bars show the IQR; white dots show the median. Annotations report the median and 95%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3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2_boot_ml_r2_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I.2 — Bootstrap distribution of test R² for ML models (B = 200). Thick bar = IQR; whisker = 95% CI; dot = median.</w:t>
      </w:r>
    </w:p>
    <w:p/>
    <w:p>
      <w:pPr>
        <w:pStyle w:val="Heading2"/>
        <w:jc w:val="left"/>
      </w:pPr>
      <w:r>
        <w:rPr>
          <w:color w:val="1A1A2E"/>
        </w:rPr>
        <w:t>I.3  Random Forest — Feature Importance</w:t>
      </w:r>
    </w:p>
    <w:p>
      <w:pPr>
        <w:spacing w:after="80"/>
      </w:pPr>
      <w:r>
        <w:t>Figure I.3 presents bootstrap 95% CIs for Random Forest feature importances (Gini criterion), showing the top 12 features ranked by median importance.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62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3_boot_rf_importance_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I.3 — Bootstrap 95% CIs for RF Gini feature importance, top 12 features.</w:t>
      </w:r>
    </w:p>
    <w:p/>
    <w:p>
      <w:pPr>
        <w:pStyle w:val="Heading2"/>
        <w:jc w:val="left"/>
      </w:pPr>
      <w:r>
        <w:rPr>
          <w:color w:val="1A1A2E"/>
        </w:rPr>
        <w:t>I.4  LASSO — Selection Frequency</w:t>
      </w:r>
    </w:p>
    <w:p>
      <w:pPr>
        <w:spacing w:after="80"/>
      </w:pPr>
      <w:r>
        <w:t>Figure I.4 shows the proportion of bootstrap iterations in which each feature receives a non-zero LASSO coefficient. Features above the 90% threshold are highlighted in green.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1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4_boot_lasso_selection_6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I.4 — LASSO selection frequency across bootstrap iterations. Green = selected in &gt;90% of runs; blue = &gt;50%; grey = ≤50%.</w:t>
      </w:r>
    </w:p>
    <w:p/>
    <w:p>
      <w:pPr>
        <w:pStyle w:val="Heading2"/>
        <w:jc w:val="left"/>
      </w:pPr>
      <w:r>
        <w:rPr>
          <w:color w:val="1A1A2E"/>
        </w:rPr>
        <w:t>I.5  Penalised ML Models — Coefficient Stability</w:t>
      </w:r>
    </w:p>
    <w:p>
      <w:pPr>
        <w:spacing w:after="80"/>
      </w:pPr>
      <w:r>
        <w:t>Figure I.5 plots 95% bootstrap CIs for standardised coefficients in the three penalised ML models (LASSO, Elastic Net, Ridge), sorted by absolute median value. Green indicates significance (CI excludes zero).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88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4b_boot_ml_coefs_6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I.5 — Bootstrap 95% CIs for penalised ML coefficients (B = 200). Left: LASSO. Centre: Elastic Net. Right: Ridge.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1A2E"/>
        </w:rPr>
        <w:t>II. LOCO Robustness — ML Models</w:t>
      </w:r>
    </w:p>
    <w:p>
      <w:pPr>
        <w:spacing w:after="120"/>
      </w:pPr>
      <w:r>
        <w:t>Each of the 54 countries is excluded in turn; all four ML models are re-estimated on the remaining 53-country sample and evaluated on the held-out test period (2015–2019). Coefficient/importance stability is assessed relative to the full-sample model.</w:t>
      </w:r>
    </w:p>
    <w:p>
      <w:pPr>
        <w:pStyle w:val="Heading2"/>
        <w:jc w:val="left"/>
      </w:pPr>
      <w:r>
        <w:rPr>
          <w:color w:val="1A1A2E"/>
        </w:rPr>
        <w:t>II.1  Coefficient Stability — LASSO, Elastic Net, Ridge</w:t>
      </w:r>
    </w:p>
    <w:p>
      <w:pPr>
        <w:spacing w:after="80"/>
      </w:pPr>
      <w:r>
        <w:t>Figure II.1 shows the min-max range of standardised coefficients across the 54 LOCO runs for each penalised model. Dots show the LOCO mean; bars show the full range.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20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5_loco_ml_coef_6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II.1 — LOCO coefficient stability for penalised ML models (N = 54 LOO runs). Dot = LOCO mean; bar = min-max range.</w:t>
      </w:r>
    </w:p>
    <w:p/>
    <w:p>
      <w:pPr>
        <w:pStyle w:val="Heading2"/>
        <w:jc w:val="left"/>
      </w:pPr>
      <w:r>
        <w:rPr>
          <w:color w:val="1A1A2E"/>
        </w:rPr>
        <w:t>II.2  Test R² Stability</w:t>
      </w:r>
    </w:p>
    <w:p>
      <w:pPr>
        <w:spacing w:after="80"/>
      </w:pPr>
      <w:r>
        <w:t>Figure II.2 shows the out-of-sample test R² for each excluded country and for all four ML models. Countries are sorted by mean R² across models. Narrow spread across the 54 bars indicates that no single country is disproportionately influential.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73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6_loco_ml_r2_6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II.2 — LOCO test R² per excluded country, all four ML models. Countries sorted by mean R² across models.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1A2E"/>
        </w:rPr>
        <w:t>III. LOCO Robustness — OLS Regression</w:t>
      </w:r>
    </w:p>
    <w:p>
      <w:pPr>
        <w:spacing w:after="120"/>
      </w:pPr>
      <w:r>
        <w:t>The OLS regression LOCO repeats the exercise for Models 3a and 3b. Plain OLS is used within each LOO iteration to track coefficient stability; inference in the main paper uses country-clustered standard errors. The specification includes seven regressors and four interaction terms (HCI × Production, GFCF × Production, HCI × Forestry Rents, GFCF × Forestry Rents), matching the NB6 specification exactly.</w:t>
      </w:r>
    </w:p>
    <w:p>
      <w:pPr>
        <w:pStyle w:val="Heading2"/>
        <w:jc w:val="left"/>
      </w:pPr>
      <w:r>
        <w:rPr>
          <w:color w:val="1A1A2E"/>
        </w:rPr>
        <w:t>III.1  Coefficient Stability</w:t>
      </w:r>
    </w:p>
    <w:p>
      <w:pPr>
        <w:spacing w:after="80"/>
      </w:pPr>
      <w:r>
        <w:t>Figure III.1 shows the 5th–95th percentile range (thick bar) and full min-max range (thin bar) of OLS coefficients across the 54 LOCO runs. Dots show the LOCO mean.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447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7_loco_reg_coef_6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III.1 — LOCO coefficient stability for OLS regression Models 3a and 3b (N = 54 LOO runs). Thick bar = 5–95th pct; thin bar = min-max; dot = LOCO mean.</w:t>
      </w:r>
    </w:p>
    <w:p/>
    <w:p>
      <w:pPr>
        <w:pStyle w:val="Heading2"/>
        <w:jc w:val="left"/>
      </w:pPr>
      <w:r>
        <w:rPr>
          <w:color w:val="1A1A2E"/>
        </w:rPr>
        <w:t>III.2  R² Stability</w:t>
      </w:r>
    </w:p>
    <w:p>
      <w:pPr>
        <w:spacing w:after="80"/>
      </w:pPr>
      <w:r>
        <w:t>Figure III.2 shows R² per excluded country for Model 3a (top) and Model 3b (bottom), sorted independently within each panel. Dashed line shows the LOCO mean R².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9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8_loco_reg_r2_6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III.2 — LOCO R² per excluded country, Models 3a and 3b separately. Dashed line = LOCO mean. Countries sorted by R².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