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80" w:lineRule="atLeast"/>
        <w:jc w:val="center"/>
      </w:pPr>
      <w:r>
        <w:rPr>
          <w:rFonts w:ascii="Century Gothic" w:cs="Century Gothic" w:eastAsia="Century Gothic" w:hAnsi="Century Gothic"/>
          <w:spacing w:val="45"/>
          <w:sz w:val="24"/>
          <w:szCs w:val="24"/>
        </w:rPr>
        <w:t xml:space="preserve">Ayaan Samiullah Tigdikar</w:t>
      </w:r>
    </w:p>
    <w:p>
      <w:pPr>
        <w:spacing w:line="180" w:lineRule="atLeast"/>
        <w:jc w:val="center"/>
      </w:pPr>
      <w:r>
        <w:rPr>
          <w:rFonts w:ascii="Century Gothic" w:cs="Century Gothic" w:eastAsia="Century Gothic" w:hAnsi="Century Gothic"/>
          <w:sz w:val="16"/>
          <w:szCs w:val="16"/>
        </w:rPr>
        <w:t xml:space="preserve">ayaant2003@gmail.com  ·  +44 7570 585266  ·  linkedin.com/in/ayaan-tigdikar  ·  London, UK  ·  Swedish citizen (EU working rights)</w:t>
      </w:r>
    </w:p>
    <w:p>
      <w:pPr>
        <w:spacing w:after="20" w:before="100" w:line="190" w:lineRule="atLeast"/>
        <w:jc w:val="both"/>
      </w:pPr>
      <w:r>
        <w:rPr>
          <w:rFonts w:ascii="Century Gothic" w:cs="Century Gothic" w:eastAsia="Century Gothic" w:hAnsi="Century Gothic"/>
          <w:i/>
          <w:iCs/>
          <w:sz w:val="18"/>
          <w:szCs w:val="18"/>
        </w:rPr>
        <w:t xml:space="preserve">Aspiring economist working at the intersection of economics, policy and machine learning. Award-winning macro work on trade and sovereign risk, alongside applied micro on education policy, across both private and public research. For the past two years I have been testing where modern ML and AI add real value to economic inquiry.</w:t>
      </w:r>
    </w:p>
    <w:p>
      <w:pPr>
        <w:keepNext/>
        <w:pBdr>
          <w:bottom w:val="single" w:color="808080" w:sz="6" w:space="3"/>
        </w:pBdr>
        <w:spacing w:before="80" w:line="220" w:lineRule="atLeast"/>
      </w:pPr>
      <w:r>
        <w:rPr>
          <w:rFonts w:ascii="Century Gothic" w:cs="Century Gothic" w:eastAsia="Century Gothic" w:hAnsi="Century Gothic"/>
          <w:b/>
          <w:bCs/>
          <w:caps/>
          <w:spacing w:val="45"/>
          <w:sz w:val="20"/>
          <w:szCs w:val="20"/>
        </w:rPr>
        <w:t xml:space="preserve">Experience</w:t>
      </w:r>
    </w:p>
    <w:p>
      <w:pPr>
        <w:keepNext/>
        <w:keepLines/>
        <w:tabs>
          <w:tab w:val="right" w:pos="10500"/>
        </w:tabs>
        <w:spacing w:line="180" w:lineRule="atLeast"/>
      </w:pP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Benchmark Mineral Intelligence, London, UK</w:t>
      </w:r>
      <w:r>
        <w:rPr>
          <w:rFonts w:ascii="Century Gothic" w:cs="Century Gothic" w:eastAsia="Century Gothic" w:hAnsi="Century Gothic"/>
          <w:sz w:val="18"/>
          <w:szCs w:val="18"/>
        </w:rPr>
        <w:t xml:space="preserve">	</w:t>
      </w: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09/2024 – Present</w:t>
      </w:r>
    </w:p>
    <w:p>
      <w:pPr>
        <w:keepNext/>
        <w:keepLines/>
        <w:spacing w:line="180" w:lineRule="atLeast"/>
      </w:pP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Research Analyst, now Analyst (EV and Battery)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sz w:val="18"/>
          <w:szCs w:val="18"/>
        </w:rPr>
        <w:t xml:space="preserve">Produce the quarterly forecast for energy prices and mining and manufacturing wages, piecing together hard-to-source national data from countries like the DRC and Argentina alongside IEA and Oxford Economics.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sz w:val="18"/>
          <w:szCs w:val="18"/>
        </w:rPr>
        <w:t xml:space="preserve">These feed cost estimation and feasibility checks for public and private investment in the energy transition.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sz w:val="18"/>
          <w:szCs w:val="18"/>
        </w:rPr>
        <w:t xml:space="preserve">Own the global battery demand outlook, where regulatory change, tariffs and company financials matter more than the model.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sz w:val="18"/>
          <w:szCs w:val="18"/>
        </w:rPr>
        <w:t xml:space="preserve">Build cost curves, run scenarios and take a view on price formation, and automate data collection with AI tooling.</w:t>
      </w:r>
    </w:p>
    <w:p>
      <w:pPr>
        <w:spacing w:line="60" w:lineRule="atLeast"/>
      </w:pPr>
      <w:r>
        <w:rPr>
          <w:rFonts w:ascii="Century Gothic" w:cs="Century Gothic" w:eastAsia="Century Gothic" w:hAnsi="Century Gothic"/>
          <w:sz w:val="6"/>
          <w:szCs w:val="6"/>
        </w:rPr>
        <w:t xml:space="preserve"/>
      </w:r>
    </w:p>
    <w:p>
      <w:pPr>
        <w:keepNext/>
        <w:keepLines/>
        <w:tabs>
          <w:tab w:val="right" w:pos="10500"/>
        </w:tabs>
        <w:spacing w:line="180" w:lineRule="atLeast"/>
      </w:pP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Centre for Economic Performance (LSE), London, UK</w:t>
      </w:r>
      <w:r>
        <w:rPr>
          <w:rFonts w:ascii="Century Gothic" w:cs="Century Gothic" w:eastAsia="Century Gothic" w:hAnsi="Century Gothic"/>
          <w:sz w:val="18"/>
          <w:szCs w:val="18"/>
        </w:rPr>
        <w:t xml:space="preserve">	</w:t>
      </w: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10/2025 – 05/2026</w:t>
      </w:r>
    </w:p>
    <w:p>
      <w:pPr>
        <w:keepNext/>
        <w:keepLines/>
        <w:spacing w:line="180" w:lineRule="atLeast"/>
      </w:pP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Research Assistant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sz w:val="18"/>
          <w:szCs w:val="18"/>
        </w:rPr>
        <w:t xml:space="preserve">Explored trends in linked pupil records to examine how school-level ethnic composition relates to educational and labour market outcomes.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sz w:val="18"/>
          <w:szCs w:val="18"/>
        </w:rPr>
        <w:t xml:space="preserve">Strengthened the empirical design by challenging the assumptions behind identification and working through how best to use the random variation in an oversubscription-based regression discontinuity design.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sz w:val="18"/>
          <w:szCs w:val="18"/>
        </w:rPr>
        <w:t xml:space="preserve">Cleaned and linked 11 years of pupil and census records in the ONS Secure Research Service, adhering to privacy rules.</w:t>
      </w:r>
    </w:p>
    <w:p>
      <w:pPr>
        <w:spacing w:line="60" w:lineRule="atLeast"/>
      </w:pPr>
      <w:r>
        <w:rPr>
          <w:rFonts w:ascii="Century Gothic" w:cs="Century Gothic" w:eastAsia="Century Gothic" w:hAnsi="Century Gothic"/>
          <w:sz w:val="6"/>
          <w:szCs w:val="6"/>
        </w:rPr>
        <w:t xml:space="preserve"/>
      </w:r>
    </w:p>
    <w:p>
      <w:pPr>
        <w:keepNext/>
        <w:keepLines/>
        <w:tabs>
          <w:tab w:val="right" w:pos="10500"/>
        </w:tabs>
        <w:spacing w:line="180" w:lineRule="atLeast"/>
      </w:pP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Moody’s Ratings, London, UK</w:t>
      </w:r>
      <w:r>
        <w:rPr>
          <w:rFonts w:ascii="Century Gothic" w:cs="Century Gothic" w:eastAsia="Century Gothic" w:hAnsi="Century Gothic"/>
          <w:sz w:val="18"/>
          <w:szCs w:val="18"/>
        </w:rPr>
        <w:t xml:space="preserve">	</w:t>
      </w: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10/2025 – 03/2026</w:t>
      </w:r>
    </w:p>
    <w:p>
      <w:pPr>
        <w:keepNext/>
        <w:keepLines/>
        <w:spacing w:line="180" w:lineRule="atLeast"/>
      </w:pP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Student Consultant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sz w:val="18"/>
          <w:szCs w:val="18"/>
        </w:rPr>
        <w:t xml:space="preserve">Client project on why resource-rich developing economies stay locked in low-complexity production. Built the panel from scratch across 54 nations, reconciling patchy coverage and inconsistent reporting standards.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sz w:val="18"/>
          <w:szCs w:val="18"/>
        </w:rPr>
        <w:t xml:space="preserve">Ranked the structural determinants of economic complexity using panel OLS, regularised estimators and random forests, and co-authored the client report and country case studies.</w:t>
      </w:r>
    </w:p>
    <w:p>
      <w:pPr>
        <w:spacing w:line="60" w:lineRule="atLeast"/>
      </w:pPr>
      <w:r>
        <w:rPr>
          <w:rFonts w:ascii="Century Gothic" w:cs="Century Gothic" w:eastAsia="Century Gothic" w:hAnsi="Century Gothic"/>
          <w:sz w:val="6"/>
          <w:szCs w:val="6"/>
        </w:rPr>
        <w:t xml:space="preserve"/>
      </w:r>
    </w:p>
    <w:p>
      <w:pPr>
        <w:keepNext/>
        <w:keepLines/>
        <w:tabs>
          <w:tab w:val="right" w:pos="10500"/>
        </w:tabs>
        <w:spacing w:line="180" w:lineRule="atLeast"/>
      </w:pP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HM Treasury, London, UK</w:t>
      </w:r>
      <w:r>
        <w:rPr>
          <w:rFonts w:ascii="Century Gothic" w:cs="Century Gothic" w:eastAsia="Century Gothic" w:hAnsi="Century Gothic"/>
          <w:sz w:val="18"/>
          <w:szCs w:val="18"/>
        </w:rPr>
        <w:t xml:space="preserve">	</w:t>
      </w: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08/2023 – 09/2023</w:t>
      </w:r>
    </w:p>
    <w:p>
      <w:pPr>
        <w:keepNext/>
        <w:keepLines/>
        <w:spacing w:line="180" w:lineRule="atLeast"/>
      </w:pP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Summer Intern, Economic Growth Unit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sz w:val="18"/>
          <w:szCs w:val="18"/>
        </w:rPr>
        <w:t xml:space="preserve">Ran cost-benefit analysis on interventions in the UK’s £250 billion visitor economy, covering transport across three cities, VAT structure and marketing returns, and put 5 policy levers to the Economic Growth Unit, which took them forward for further work.</w:t>
      </w:r>
    </w:p>
    <w:p>
      <w:pPr>
        <w:keepNext/>
        <w:pBdr>
          <w:bottom w:val="single" w:color="808080" w:sz="6" w:space="3"/>
        </w:pBdr>
        <w:spacing w:before="80" w:line="220" w:lineRule="atLeast"/>
      </w:pPr>
      <w:r>
        <w:rPr>
          <w:rFonts w:ascii="Century Gothic" w:cs="Century Gothic" w:eastAsia="Century Gothic" w:hAnsi="Century Gothic"/>
          <w:b/>
          <w:bCs/>
          <w:caps/>
          <w:spacing w:val="45"/>
          <w:sz w:val="20"/>
          <w:szCs w:val="20"/>
        </w:rPr>
        <w:t xml:space="preserve">Education</w:t>
      </w:r>
    </w:p>
    <w:p>
      <w:pPr>
        <w:keepNext/>
        <w:keepLines/>
        <w:tabs>
          <w:tab w:val="right" w:pos="10500"/>
        </w:tabs>
        <w:spacing w:line="180" w:lineRule="atLeast"/>
      </w:pP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London School of Economics and Political Science (LSE), UK</w:t>
      </w:r>
      <w:r>
        <w:rPr>
          <w:rFonts w:ascii="Century Gothic" w:cs="Century Gothic" w:eastAsia="Century Gothic" w:hAnsi="Century Gothic"/>
          <w:sz w:val="18"/>
          <w:szCs w:val="18"/>
        </w:rPr>
        <w:t xml:space="preserve">	</w:t>
      </w: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09/2024 – 06/2026</w:t>
      </w:r>
    </w:p>
    <w:p>
      <w:pPr>
        <w:keepNext/>
        <w:keepLines/>
        <w:tabs>
          <w:tab w:val="right" w:pos="10500"/>
        </w:tabs>
        <w:spacing w:line="180" w:lineRule="atLeast"/>
      </w:pP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MPA Data Science for Public Policy</w:t>
      </w:r>
      <w:r>
        <w:rPr>
          <w:rFonts w:ascii="Century Gothic" w:cs="Century Gothic" w:eastAsia="Century Gothic" w:hAnsi="Century Gothic"/>
          <w:sz w:val="18"/>
          <w:szCs w:val="18"/>
        </w:rPr>
        <w:t xml:space="preserve">	</w:t>
      </w: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Distinction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sz w:val="18"/>
          <w:szCs w:val="18"/>
        </w:rPr>
        <w:t xml:space="preserve">Development Economics (79), Public Economics (69), Advanced Empirical Methods for Policy Analysis (72).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sz w:val="18"/>
          <w:szCs w:val="18"/>
        </w:rPr>
        <w:t xml:space="preserve">Winning team, Microsoft × HM Treasury “AI for Public Policy” hackathon, for visualising global trade flows.</w:t>
      </w:r>
    </w:p>
    <w:p>
      <w:pPr>
        <w:spacing w:line="60" w:lineRule="atLeast"/>
      </w:pPr>
      <w:r>
        <w:rPr>
          <w:rFonts w:ascii="Century Gothic" w:cs="Century Gothic" w:eastAsia="Century Gothic" w:hAnsi="Century Gothic"/>
          <w:sz w:val="6"/>
          <w:szCs w:val="6"/>
        </w:rPr>
        <w:t xml:space="preserve"/>
      </w:r>
    </w:p>
    <w:p>
      <w:pPr>
        <w:keepNext/>
        <w:keepLines/>
        <w:tabs>
          <w:tab w:val="right" w:pos="10500"/>
        </w:tabs>
        <w:spacing w:line="180" w:lineRule="atLeast"/>
      </w:pP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King’s College London, UK</w:t>
      </w:r>
      <w:r>
        <w:rPr>
          <w:rFonts w:ascii="Century Gothic" w:cs="Century Gothic" w:eastAsia="Century Gothic" w:hAnsi="Century Gothic"/>
          <w:sz w:val="18"/>
          <w:szCs w:val="18"/>
        </w:rPr>
        <w:t xml:space="preserve">	</w:t>
      </w: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09/2021 – 05/2024</w:t>
      </w:r>
    </w:p>
    <w:p>
      <w:pPr>
        <w:keepNext/>
        <w:keepLines/>
        <w:tabs>
          <w:tab w:val="right" w:pos="10500"/>
        </w:tabs>
        <w:spacing w:line="180" w:lineRule="atLeast"/>
      </w:pP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BSc (Hons) Economics and Management</w:t>
      </w:r>
      <w:r>
        <w:rPr>
          <w:rFonts w:ascii="Century Gothic" w:cs="Century Gothic" w:eastAsia="Century Gothic" w:hAnsi="Century Gothic"/>
          <w:sz w:val="18"/>
          <w:szCs w:val="18"/>
        </w:rPr>
        <w:t xml:space="preserve">	</w:t>
      </w: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First Class Honours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i/>
          <w:iCs/>
          <w:sz w:val="18"/>
          <w:szCs w:val="18"/>
        </w:rPr>
        <w:t xml:space="preserve">Award for Academic Excellence (top of cohort), Best Performance Third Year Prize, Exceptional Dissertation.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sz w:val="18"/>
          <w:szCs w:val="18"/>
        </w:rPr>
        <w:t xml:space="preserve">Worked with faculty and the Greater London Authority on widening access to education funding in London.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sz w:val="18"/>
          <w:szCs w:val="18"/>
        </w:rPr>
        <w:t xml:space="preserve">Bloomberg Terminal certification (TTC Financial Trading Programme): capital structure and macro analysis.</w:t>
      </w:r>
    </w:p>
    <w:p>
      <w:pPr>
        <w:keepNext/>
        <w:pBdr>
          <w:bottom w:val="single" w:color="808080" w:sz="6" w:space="3"/>
        </w:pBdr>
        <w:spacing w:before="80" w:line="220" w:lineRule="atLeast"/>
      </w:pPr>
      <w:r>
        <w:rPr>
          <w:rFonts w:ascii="Century Gothic" w:cs="Century Gothic" w:eastAsia="Century Gothic" w:hAnsi="Century Gothic"/>
          <w:b/>
          <w:bCs/>
          <w:caps/>
          <w:spacing w:val="45"/>
          <w:sz w:val="20"/>
          <w:szCs w:val="20"/>
        </w:rPr>
        <w:t xml:space="preserve">Projects</w:t>
      </w:r>
    </w:p>
    <w:p>
      <w:pPr>
        <w:keepNext/>
        <w:keepLines/>
        <w:tabs>
          <w:tab w:val="right" w:pos="10500"/>
        </w:tabs>
        <w:spacing w:line="180" w:lineRule="atLeast"/>
      </w:pP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Land Rights, Migration and Spatial Labour Misallocation in Ethiopia</w:t>
      </w:r>
      <w:r>
        <w:rPr>
          <w:rFonts w:ascii="Century Gothic" w:cs="Century Gothic" w:eastAsia="Century Gothic" w:hAnsi="Century Gothic"/>
          <w:sz w:val="18"/>
          <w:szCs w:val="18"/>
        </w:rPr>
        <w:t xml:space="preserve">	</w:t>
      </w: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2026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sz w:val="18"/>
          <w:szCs w:val="18"/>
        </w:rPr>
        <w:t xml:space="preserve">Asked whether delinking land tenure from use would ease misallocation, against a fourfold productivity gap.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sz w:val="18"/>
          <w:szCs w:val="18"/>
        </w:rPr>
        <w:t xml:space="preserve">Weighed the frontier evidence on its identification, including a sibling-order instrument for land inheritance, and set out where it supports the policy in direction but not magnitude.</w:t>
      </w:r>
    </w:p>
    <w:p>
      <w:pPr>
        <w:spacing w:line="60" w:lineRule="atLeast"/>
      </w:pPr>
      <w:r>
        <w:rPr>
          <w:rFonts w:ascii="Century Gothic" w:cs="Century Gothic" w:eastAsia="Century Gothic" w:hAnsi="Century Gothic"/>
          <w:sz w:val="6"/>
          <w:szCs w:val="6"/>
        </w:rPr>
        <w:t xml:space="preserve"/>
      </w:r>
    </w:p>
    <w:p>
      <w:pPr>
        <w:keepNext/>
        <w:keepLines/>
        <w:tabs>
          <w:tab w:val="right" w:pos="10500"/>
        </w:tabs>
        <w:spacing w:line="180" w:lineRule="atLeast"/>
      </w:pP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Systematic Country Diagnostics of Vietnam</w:t>
      </w:r>
      <w:r>
        <w:rPr>
          <w:rFonts w:ascii="Century Gothic" w:cs="Century Gothic" w:eastAsia="Century Gothic" w:hAnsi="Century Gothic"/>
          <w:sz w:val="18"/>
          <w:szCs w:val="18"/>
        </w:rPr>
        <w:t xml:space="preserve">	</w:t>
      </w: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2025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sz w:val="18"/>
          <w:szCs w:val="18"/>
        </w:rPr>
        <w:t xml:space="preserve">Diagnosed why export-led growth is under threat as productivity growth plateaus and the labour force shrinks.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sz w:val="18"/>
          <w:szCs w:val="18"/>
        </w:rPr>
        <w:t xml:space="preserve">Worked through the growth tree to identify road and port infrastructure as the binding constraint, then designed a public-private package shifting freight onto underused rail and digitising port operations.</w:t>
      </w:r>
    </w:p>
    <w:p>
      <w:pPr>
        <w:spacing w:line="60" w:lineRule="atLeast"/>
      </w:pPr>
      <w:r>
        <w:rPr>
          <w:rFonts w:ascii="Century Gothic" w:cs="Century Gothic" w:eastAsia="Century Gothic" w:hAnsi="Century Gothic"/>
          <w:sz w:val="6"/>
          <w:szCs w:val="6"/>
        </w:rPr>
        <w:t xml:space="preserve"/>
      </w:r>
    </w:p>
    <w:p>
      <w:pPr>
        <w:keepNext/>
        <w:keepLines/>
        <w:tabs>
          <w:tab w:val="right" w:pos="10500"/>
        </w:tabs>
        <w:spacing w:line="180" w:lineRule="atLeast"/>
      </w:pP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Spillover Effects from Shocks in Global Value Chains</w:t>
      </w:r>
      <w:r>
        <w:rPr>
          <w:rFonts w:ascii="Century Gothic" w:cs="Century Gothic" w:eastAsia="Century Gothic" w:hAnsi="Century Gothic"/>
          <w:sz w:val="18"/>
          <w:szCs w:val="18"/>
        </w:rPr>
        <w:t xml:space="preserve">	</w:t>
      </w: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Dissertation prize, 2024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sz w:val="18"/>
          <w:szCs w:val="18"/>
        </w:rPr>
        <w:t xml:space="preserve">Used the 2011 Great East Japan Earthquake as a natural experiment, with synthetic DiD on ADB I-O tables.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sz w:val="18"/>
          <w:szCs w:val="18"/>
        </w:rPr>
        <w:t xml:space="preserve">Found little average spillover but sharp heterogeneity, with import dependence rather than trade volume predicting exposure, and evidence of Chinese reshoring rather than supply chain reconfiguration.</w:t>
      </w:r>
    </w:p>
    <w:p>
      <w:pPr>
        <w:keepNext/>
        <w:pBdr>
          <w:bottom w:val="single" w:color="808080" w:sz="6" w:space="3"/>
        </w:pBdr>
        <w:spacing w:before="80" w:line="220" w:lineRule="atLeast"/>
      </w:pPr>
      <w:r>
        <w:rPr>
          <w:rFonts w:ascii="Century Gothic" w:cs="Century Gothic" w:eastAsia="Century Gothic" w:hAnsi="Century Gothic"/>
          <w:b/>
          <w:bCs/>
          <w:caps/>
          <w:spacing w:val="45"/>
          <w:sz w:val="20"/>
          <w:szCs w:val="20"/>
        </w:rPr>
        <w:t xml:space="preserve">Technical and Language Skills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Professional: </w:t>
      </w:r>
      <w:r>
        <w:rPr>
          <w:rFonts w:ascii="Century Gothic" w:cs="Century Gothic" w:eastAsia="Century Gothic" w:hAnsi="Century Gothic"/>
          <w:sz w:val="18"/>
          <w:szCs w:val="18"/>
        </w:rPr>
        <w:t xml:space="preserve">Excel (advanced modelling, VBA), PowerPoint, Word, Bloomberg Terminal, S&amp;P Capital IQ.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Coding and AI: </w:t>
      </w:r>
      <w:r>
        <w:rPr>
          <w:rFonts w:ascii="Century Gothic" w:cs="Century Gothic" w:eastAsia="Century Gothic" w:hAnsi="Century Gothic"/>
          <w:sz w:val="18"/>
          <w:szCs w:val="18"/>
        </w:rPr>
        <w:t xml:space="preserve">Python (pandas, scikit-learn, PyTorch, TensorFlow), R, Stata, SQL, PySpark, Git, GCP, Azure.</w:t>
      </w:r>
    </w:p>
    <w:p>
      <w:pPr>
        <w:pStyle w:val="ListParagraph"/>
        <w:keepLines/>
        <w:numPr>
          <w:ilvl w:val="0"/>
          <w:numId w:val="2"/>
        </w:numPr>
        <w:spacing w:line="180" w:lineRule="atLeast"/>
        <w:ind w:left="436" w:hanging="379"/>
      </w:pP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Languages: </w:t>
      </w:r>
      <w:r>
        <w:rPr>
          <w:rFonts w:ascii="Century Gothic" w:cs="Century Gothic" w:eastAsia="Century Gothic" w:hAnsi="Century Gothic"/>
          <w:sz w:val="18"/>
          <w:szCs w:val="18"/>
        </w:rPr>
        <w:t xml:space="preserve">English, Swedish (native), Hindi (advanced), French (beginner).</w:t>
      </w:r>
    </w:p>
    <w:sectPr>
      <w:pgSz w:w="12225" w:h="15810" w:orient="portrait"/>
      <w:pgMar w:top="560" w:right="700" w:bottom="4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6" w:hanging="379"/>
      </w:pPr>
      <w:rPr>
        <w:rFonts w:ascii="Century Gothic" w:cs="Century Gothic" w:eastAsia="Century Gothic" w:hAnsi="Century Gothic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2026-09-05T17:00:50.587Z</dcterms:created>
  <dcterms:modified xsi:type="dcterms:W3CDTF">2026-09-05T17:00:50.587Z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