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RAPPORT DE TEST FONCTIONNEL — CYCLE DE VENTE ET DE FABRICATION MAKE-TO-ORDER</w:t>
      </w:r>
    </w:p>
    <w:p>
      <w:r/>
      <w:r>
        <w:rPr>
          <w:b/>
        </w:rPr>
        <w:t>ERP A3/IBOA — OA METAL INDUSTRIE</w:t>
      </w:r>
      <w:r/>
    </w:p>
    <w:p>
      <w:r>
        <w:t>Version du document : 1.0 · Date : 14/07/2026 · Auteur : Cellule Test ERP (assistée) · Document interne</w:t>
      </w:r>
    </w:p>
    <w:p>
      <w:r>
        <w:t>____________________________________________________________</w:t>
      </w:r>
    </w:p>
    <w:p>
      <w:pPr>
        <w:pStyle w:val="Heading2"/>
      </w:pPr>
      <w:r>
        <w:t>1. Résumé exécutif</w:t>
      </w:r>
    </w:p>
    <w:p>
      <w:r>
        <w:t xml:space="preserve">Le scénario complet de fabrication à la commande (Make-to-Order) d'une tôle bac prélaquée beige 27/100 — du devis à l'encaissement intégral — a été </w:t>
      </w:r>
      <w:r>
        <w:rPr>
          <w:b/>
        </w:rPr>
        <w:t>exécuté réellement dans l'application</w:t>
      </w:r>
      <w:r>
        <w:t>, avec vérification en base de données après chaque étape et rotation des profils utilisateurs (commercial, directeur, chef de production, directeur d'usine, DAF, magasinier, comptable).</w:t>
      </w:r>
    </w:p>
    <w:p>
      <w:r/>
      <w:r>
        <w:rPr>
          <w:b/>
        </w:rPr>
        <w:t>Décision finale : TEST RÉUSSI AVEC RÉSERVES.</w:t>
      </w:r>
      <w:r/>
    </w:p>
    <w:p>
      <w:r>
        <w:t>Le parcours nominal fonctionne de bout en bout : tous les documents sont générés, liés, aux bons montants (400 000 HT / 72 000 TVA / 472 000 TTC), les stocks matière et produit fini sont mouvementés correctement, les écritures comptables SYSCOHADA sont équilibrées, le compte client est lettré et la facture réglée est verrouillée. Neuf anomalies ont été relevées (1 majeure, 3 moyennes, 5 mineures/informatives) — voir §18.</w:t>
      </w:r>
    </w:p>
    <w:p>
      <w:pPr>
        <w:pStyle w:val="Heading2"/>
      </w:pPr>
      <w:r>
        <w:t>2. Objectif du test</w:t>
      </w:r>
    </w:p>
    <w:p>
      <w:pPr>
        <w:pStyle w:val="ListNumber"/>
      </w:pPr>
      <w:r>
        <w:t>Vérifier l'exécution réelle du processus métier Devis → Validation → Commande → Contrôle crédit → OF → Réservation matière → Production → Qualité → Entrée stock → Clôture OF → Préparation → BL → Facture → Encaissement → Lettrage.</w:t>
      </w:r>
    </w:p>
    <w:p>
      <w:pPr>
        <w:pStyle w:val="ListNumber"/>
      </w:pPr>
      <w:r>
        <w:t>Contrôler les effets de chaque étape dans les modules liés (stock, comptabilité, trésorerie, crédit client).</w:t>
      </w:r>
    </w:p>
    <w:p>
      <w:pPr>
        <w:pStyle w:val="ListNumber"/>
      </w:pPr>
      <w:r>
        <w:t>Alimenter le manuel d'utilisation (document joint).</w:t>
      </w:r>
    </w:p>
    <w:p>
      <w:pPr>
        <w:pStyle w:val="Heading2"/>
      </w:pPr>
      <w:r>
        <w:t>3. Périmètre testé</w:t>
      </w:r>
    </w:p>
    <w:p>
      <w:r>
        <w:t xml:space="preserve">Modules : Ventes (devis, commandes, BP, BL, factures), Production (OF, consommation bobine, déclaration, chutes, qualité, clôture), Stock (MP, PF, mouvements, réservations), Comptabilité (écritures, lettrage), Trésorerie (encaissement), Gestion (client, crédit, dossier client). Environnement : local (Laragon), société </w:t>
      </w:r>
      <w:r>
        <w:rPr>
          <w:b/>
        </w:rPr>
        <w:t>OA METAL INDUSTRIE</w:t>
      </w:r>
      <w:r>
        <w:t xml:space="preserve">, base réelle avec </w:t>
      </w:r>
      <w:r>
        <w:rPr>
          <w:b/>
        </w:rPr>
        <w:t>données de test exclusivement identifiées « TEST GUIDE »</w:t>
      </w:r>
      <w:r>
        <w:t>.</w:t>
      </w:r>
    </w:p>
    <w:p>
      <w:pPr>
        <w:pStyle w:val="Heading2"/>
      </w:pPr>
      <w:r>
        <w:t>4. Données utilisées</w:t>
      </w:r>
    </w:p>
    <w:tbl>
      <w:tblPr>
        <w:tblStyle w:val="LightGrid-Accent1"/>
        <w:tblW w:type="auto" w:w="0"/>
        <w:tblLook w:firstColumn="1" w:firstRow="1" w:lastColumn="0" w:lastRow="0" w:noHBand="0" w:noVBand="1" w:val="04A0"/>
      </w:tblPr>
      <w:tblGrid>
        <w:gridCol w:w="4320"/>
        <w:gridCol w:w="4320"/>
      </w:tblGrid>
      <w:tr>
        <w:tc>
          <w:tcPr>
            <w:tcW w:type="dxa" w:w="4320"/>
          </w:tcPr>
          <w:p>
            <w:r>
              <w:rPr>
                <w:b/>
              </w:rPr>
              <w:t>Élément</w:t>
            </w:r>
          </w:p>
        </w:tc>
        <w:tc>
          <w:tcPr>
            <w:tcW w:type="dxa" w:w="4320"/>
          </w:tcPr>
          <w:p>
            <w:r>
              <w:rPr>
                <w:b/>
              </w:rPr>
              <w:t>Valeur</w:t>
            </w:r>
          </w:p>
        </w:tc>
      </w:tr>
      <w:tr>
        <w:tc>
          <w:tcPr>
            <w:tcW w:type="dxa" w:w="4320"/>
          </w:tcPr>
          <w:p>
            <w:r>
              <w:t>Client</w:t>
            </w:r>
          </w:p>
        </w:tc>
        <w:tc>
          <w:tcPr>
            <w:tcW w:type="dxa" w:w="4320"/>
          </w:tcPr>
          <w:p>
            <w:r>
              <w:t>CLIENT TEST GUIDE SARL (id 16) — actif, crédit, plafond 10 000 000 F, encours initial 0, virement, 30 jours</w:t>
            </w:r>
          </w:p>
        </w:tc>
      </w:tr>
      <w:tr>
        <w:tc>
          <w:tcPr>
            <w:tcW w:type="dxa" w:w="4320"/>
          </w:tcPr>
          <w:p>
            <w:r>
              <w:t>Produit</w:t>
            </w:r>
          </w:p>
        </w:tc>
        <w:tc>
          <w:tcPr>
            <w:tcW w:type="dxa" w:w="4320"/>
          </w:tcPr>
          <w:p>
            <w:r>
              <w:t xml:space="preserve">TOLE BAC PRELAQUEE BEIGE 27/100 4 ONDES [TEST GUIDE] (id 28) — fabriqué, </w:t>
            </w:r>
            <w:r>
              <w:rPr>
                <w:b/>
              </w:rPr>
              <w:t>MTO</w:t>
            </w:r>
            <w:r>
              <w:t>, unité ml, 4 000 F/ml</w:t>
            </w:r>
          </w:p>
        </w:tc>
      </w:tr>
      <w:tr>
        <w:tc>
          <w:tcPr>
            <w:tcW w:type="dxa" w:w="4320"/>
          </w:tcPr>
          <w:p>
            <w:r>
              <w:t>Nomenclature</w:t>
            </w:r>
          </w:p>
        </w:tc>
        <w:tc>
          <w:tcPr>
            <w:tcW w:type="dxa" w:w="4320"/>
          </w:tcPr>
          <w:p>
            <w:r>
              <w:t>NOM-TEST-GUIDE (BOM 9) — bobine beige 27/100, 1,7513 kg/m, taux de perte 3,5 %</w:t>
            </w:r>
          </w:p>
        </w:tc>
      </w:tr>
      <w:tr>
        <w:tc>
          <w:tcPr>
            <w:tcW w:type="dxa" w:w="4320"/>
          </w:tcPr>
          <w:p>
            <w:r>
              <w:t>Bobine</w:t>
            </w:r>
          </w:p>
        </w:tc>
        <w:tc>
          <w:tcPr>
            <w:tcW w:type="dxa" w:w="4320"/>
          </w:tcPr>
          <w:p>
            <w:r/>
            <w:r>
              <w:rPr>
                <w:b/>
              </w:rPr>
              <w:t>BOB-TEST-GUIDE-001</w:t>
            </w:r>
            <w:r>
              <w:t xml:space="preserve"> / lot </w:t>
            </w:r>
            <w:r>
              <w:rPr>
                <w:b/>
              </w:rPr>
              <w:t>LOT-TEST-GUIDE-001</w:t>
            </w:r>
            <w:r>
              <w:t xml:space="preserve"> — beige, 0,27 mm, larg. 1 000 mm, 500 kg, 850 F/kg, fournisseur Métal Bobines Sahel, dépôt MP</w:t>
            </w:r>
          </w:p>
        </w:tc>
      </w:tr>
      <w:tr>
        <w:tc>
          <w:tcPr>
            <w:tcW w:type="dxa" w:w="4320"/>
          </w:tcPr>
          <w:p>
            <w:r>
              <w:t>Commande</w:t>
            </w:r>
          </w:p>
        </w:tc>
        <w:tc>
          <w:tcPr>
            <w:tcW w:type="dxa" w:w="4320"/>
          </w:tcPr>
          <w:p>
            <w:r>
              <w:t>100 mètres linéaires (= 20 feuilles × 5 m), 4 000 F/ml, TVA 18 %</w:t>
            </w:r>
          </w:p>
        </w:tc>
      </w:tr>
      <w:tr>
        <w:tc>
          <w:tcPr>
            <w:tcW w:type="dxa" w:w="4320"/>
          </w:tcPr>
          <w:p>
            <w:r>
              <w:t>Montants attendus</w:t>
            </w:r>
          </w:p>
        </w:tc>
        <w:tc>
          <w:tcPr>
            <w:tcW w:type="dxa" w:w="4320"/>
          </w:tcPr>
          <w:p>
            <w:r>
              <w:t>HT 400 000 · TVA 72 000 · TTC 472 000 F</w:t>
            </w:r>
          </w:p>
        </w:tc>
      </w:tr>
    </w:tbl>
    <w:p>
      <w:pPr>
        <w:pStyle w:val="Heading2"/>
      </w:pPr>
      <w:r>
        <w:t>5. Utilisateurs et rôles (séparation des responsabilités)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Étape</w:t>
            </w:r>
          </w:p>
        </w:tc>
        <w:tc>
          <w:tcPr>
            <w:tcW w:type="dxa" w:w="2880"/>
          </w:tcPr>
          <w:p>
            <w:r>
              <w:rPr>
                <w:b/>
              </w:rPr>
              <w:t>Utilisateur</w:t>
            </w:r>
          </w:p>
        </w:tc>
        <w:tc>
          <w:tcPr>
            <w:tcW w:type="dxa" w:w="2880"/>
          </w:tcPr>
          <w:p>
            <w:r>
              <w:rPr>
                <w:b/>
              </w:rPr>
              <w:t>Rôle</w:t>
            </w:r>
          </w:p>
        </w:tc>
      </w:tr>
      <w:tr>
        <w:tc>
          <w:tcPr>
            <w:tcW w:type="dxa" w:w="2880"/>
          </w:tcPr>
          <w:p>
            <w:r>
              <w:t>Devis (création, soumission), conversion commande</w:t>
            </w:r>
          </w:p>
        </w:tc>
        <w:tc>
          <w:tcPr>
            <w:tcW w:type="dxa" w:w="2880"/>
          </w:tcPr>
          <w:p>
            <w:r>
              <w:t>Aminata Sawadogo — commercial@iboa.bf</w:t>
            </w:r>
          </w:p>
        </w:tc>
        <w:tc>
          <w:tcPr>
            <w:tcW w:type="dxa" w:w="2880"/>
          </w:tcPr>
          <w:p>
            <w:r>
              <w:t>commercial</w:t>
            </w:r>
          </w:p>
        </w:tc>
      </w:tr>
      <w:tr>
        <w:tc>
          <w:tcPr>
            <w:tcW w:type="dxa" w:w="2880"/>
          </w:tcPr>
          <w:p>
            <w:r>
              <w:t>Validation devis + commande, création BL, génération facture</w:t>
            </w:r>
          </w:p>
        </w:tc>
        <w:tc>
          <w:tcPr>
            <w:tcW w:type="dxa" w:w="2880"/>
          </w:tcPr>
          <w:p>
            <w:r>
              <w:t>Moussa Kaboré — directeur@iboa.bf</w:t>
            </w:r>
          </w:p>
        </w:tc>
        <w:tc>
          <w:tcPr>
            <w:tcW w:type="dxa" w:w="2880"/>
          </w:tcPr>
          <w:p>
            <w:r>
              <w:t>directeur</w:t>
            </w:r>
          </w:p>
        </w:tc>
      </w:tr>
      <w:tr>
        <w:tc>
          <w:tcPr>
            <w:tcW w:type="dxa" w:w="2880"/>
          </w:tcPr>
          <w:p>
            <w:r>
              <w:t>Soumission OF, validation Responsable Prod., lancement, exécution, QC, clôture</w:t>
            </w:r>
          </w:p>
        </w:tc>
        <w:tc>
          <w:tcPr>
            <w:tcW w:type="dxa" w:w="2880"/>
          </w:tcPr>
          <w:p>
            <w:r>
              <w:t>chef.production@iboa.bf</w:t>
            </w:r>
          </w:p>
        </w:tc>
        <w:tc>
          <w:tcPr>
            <w:tcW w:type="dxa" w:w="2880"/>
          </w:tcPr>
          <w:p>
            <w:r>
              <w:t>chef_production</w:t>
            </w:r>
          </w:p>
        </w:tc>
      </w:tr>
      <w:tr>
        <w:tc>
          <w:tcPr>
            <w:tcW w:type="dxa" w:w="2880"/>
          </w:tcPr>
          <w:p>
            <w:r>
              <w:t>Validation Chef Atelier de l'OF</w:t>
            </w:r>
          </w:p>
        </w:tc>
        <w:tc>
          <w:tcPr>
            <w:tcW w:type="dxa" w:w="2880"/>
          </w:tcPr>
          <w:p>
            <w:r>
              <w:t>directeur.usine@iboa.bf</w:t>
            </w:r>
          </w:p>
        </w:tc>
        <w:tc>
          <w:tcPr>
            <w:tcW w:type="dxa" w:w="2880"/>
          </w:tcPr>
          <w:p>
            <w:r>
              <w:t>directeur_usine</w:t>
            </w:r>
          </w:p>
        </w:tc>
      </w:tr>
      <w:tr>
        <w:tc>
          <w:tcPr>
            <w:tcW w:type="dxa" w:w="2880"/>
          </w:tcPr>
          <w:p>
            <w:r>
              <w:t>Autorisation financière de l'OF</w:t>
            </w:r>
          </w:p>
        </w:tc>
        <w:tc>
          <w:tcPr>
            <w:tcW w:type="dxa" w:w="2880"/>
          </w:tcPr>
          <w:p>
            <w:r>
              <w:t>daf@iboa.bf</w:t>
            </w:r>
          </w:p>
        </w:tc>
        <w:tc>
          <w:tcPr>
            <w:tcW w:type="dxa" w:w="2880"/>
          </w:tcPr>
          <w:p>
            <w:r>
              <w:t>daf</w:t>
            </w:r>
          </w:p>
        </w:tc>
      </w:tr>
      <w:tr>
        <w:tc>
          <w:tcPr>
            <w:tcW w:type="dxa" w:w="2880"/>
          </w:tcPr>
          <w:p>
            <w:r>
              <w:t>Chargement bon de préparation, validation BL</w:t>
            </w:r>
          </w:p>
        </w:tc>
        <w:tc>
          <w:tcPr>
            <w:tcW w:type="dxa" w:w="2880"/>
          </w:tcPr>
          <w:p>
            <w:r>
              <w:t>magasinier@iboa.bf</w:t>
            </w:r>
          </w:p>
        </w:tc>
        <w:tc>
          <w:tcPr>
            <w:tcW w:type="dxa" w:w="2880"/>
          </w:tcPr>
          <w:p>
            <w:r>
              <w:t>magasinier</w:t>
            </w:r>
          </w:p>
        </w:tc>
      </w:tr>
      <w:tr>
        <w:tc>
          <w:tcPr>
            <w:tcW w:type="dxa" w:w="2880"/>
          </w:tcPr>
          <w:p>
            <w:r>
              <w:t>Validation facture, encaissement</w:t>
            </w:r>
          </w:p>
        </w:tc>
        <w:tc>
          <w:tcPr>
            <w:tcW w:type="dxa" w:w="2880"/>
          </w:tcPr>
          <w:p>
            <w:r>
              <w:t>comptable@iboa.bf</w:t>
            </w:r>
          </w:p>
        </w:tc>
        <w:tc>
          <w:tcPr>
            <w:tcW w:type="dxa" w:w="2880"/>
          </w:tcPr>
          <w:p>
            <w:r>
              <w:t>comptable</w:t>
            </w:r>
          </w:p>
        </w:tc>
      </w:tr>
    </w:tbl>
    <w:p>
      <w:r>
        <w:t>Aucune étape n'a été réalisée avec le compte administrateur.</w:t>
      </w:r>
    </w:p>
    <w:p>
      <w:pPr>
        <w:pStyle w:val="Heading2"/>
      </w:pPr>
      <w:r>
        <w:t>6. Chronologie du test (14/07/2026)</w:t>
      </w:r>
    </w:p>
    <w:tbl>
      <w:tblPr>
        <w:tblStyle w:val="LightGrid-Accent1"/>
        <w:tblW w:type="auto" w:w="0"/>
        <w:tblLook w:firstColumn="1" w:firstRow="1" w:lastColumn="0" w:lastRow="0" w:noHBand="0" w:noVBand="1" w:val="04A0"/>
      </w:tblPr>
      <w:tblGrid>
        <w:gridCol w:w="4320"/>
        <w:gridCol w:w="4320"/>
      </w:tblGrid>
      <w:tr>
        <w:tc>
          <w:tcPr>
            <w:tcW w:type="dxa" w:w="4320"/>
          </w:tcPr>
          <w:p>
            <w:r>
              <w:rPr>
                <w:b/>
              </w:rPr>
              <w:t>Heure</w:t>
            </w:r>
          </w:p>
        </w:tc>
        <w:tc>
          <w:tcPr>
            <w:tcW w:type="dxa" w:w="4320"/>
          </w:tcPr>
          <w:p>
            <w:r>
              <w:rPr>
                <w:b/>
              </w:rPr>
              <w:t>Événement</w:t>
            </w:r>
          </w:p>
        </w:tc>
      </w:tr>
      <w:tr>
        <w:tc>
          <w:tcPr>
            <w:tcW w:type="dxa" w:w="4320"/>
          </w:tcPr>
          <w:p>
            <w:r>
              <w:t>15:20</w:t>
            </w:r>
          </w:p>
        </w:tc>
        <w:tc>
          <w:tcPr>
            <w:tcW w:type="dxa" w:w="4320"/>
          </w:tcPr>
          <w:p>
            <w:r>
              <w:t>Création devis DEV-2026-00036 (commercial)</w:t>
            </w:r>
          </w:p>
        </w:tc>
      </w:tr>
      <w:tr>
        <w:tc>
          <w:tcPr>
            <w:tcW w:type="dxa" w:w="4320"/>
          </w:tcPr>
          <w:p>
            <w:r>
              <w:t>15:22</w:t>
            </w:r>
          </w:p>
        </w:tc>
        <w:tc>
          <w:tcPr>
            <w:tcW w:type="dxa" w:w="4320"/>
          </w:tcPr>
          <w:p>
            <w:r>
              <w:t>Soumission à validation (+1 notification au valideur)</w:t>
            </w:r>
          </w:p>
        </w:tc>
      </w:tr>
      <w:tr>
        <w:tc>
          <w:tcPr>
            <w:tcW w:type="dxa" w:w="4320"/>
          </w:tcPr>
          <w:p>
            <w:r>
              <w:t>15:23</w:t>
            </w:r>
          </w:p>
        </w:tc>
        <w:tc>
          <w:tcPr>
            <w:tcW w:type="dxa" w:w="4320"/>
          </w:tcPr>
          <w:p>
            <w:r>
              <w:t>Validation du devis (directeur) puis conversion → CMD-2026-046</w:t>
            </w:r>
          </w:p>
        </w:tc>
      </w:tr>
      <w:tr>
        <w:tc>
          <w:tcPr>
            <w:tcW w:type="dxa" w:w="4320"/>
          </w:tcPr>
          <w:p>
            <w:r>
              <w:t>15:24–15:25</w:t>
            </w:r>
          </w:p>
        </w:tc>
        <w:tc>
          <w:tcPr>
            <w:tcW w:type="dxa" w:w="4320"/>
          </w:tcPr>
          <w:p>
            <w:r>
              <w:t xml:space="preserve">Soumission commande (contrôle crédit passé) puis validation → </w:t>
            </w:r>
            <w:r>
              <w:rPr>
                <w:b/>
              </w:rPr>
              <w:t>confirmée</w:t>
            </w:r>
            <w:r>
              <w:t xml:space="preserve"> ; </w:t>
            </w:r>
            <w:r>
              <w:rPr>
                <w:b/>
              </w:rPr>
              <w:t>OF-2026-0151 généré automatiquement</w:t>
            </w:r>
            <w:r>
              <w:t xml:space="preserve"> (MTO, stock PF = 0)</w:t>
            </w:r>
          </w:p>
        </w:tc>
      </w:tr>
      <w:tr>
        <w:tc>
          <w:tcPr>
            <w:tcW w:type="dxa" w:w="4320"/>
          </w:tcPr>
          <w:p>
            <w:r>
              <w:t>15:27–15:29</w:t>
            </w:r>
          </w:p>
        </w:tc>
        <w:tc>
          <w:tcPr>
            <w:tcW w:type="dxa" w:w="4320"/>
          </w:tcPr>
          <w:p>
            <w:r>
              <w:t>Allocation matière ; circuit OF : soumission → validation Chef Atelier → validation Responsable Production</w:t>
            </w:r>
          </w:p>
        </w:tc>
      </w:tr>
      <w:tr>
        <w:tc>
          <w:tcPr>
            <w:tcW w:type="dxa" w:w="4320"/>
          </w:tcPr>
          <w:p>
            <w:r>
              <w:t>15:31</w:t>
            </w:r>
          </w:p>
        </w:tc>
        <w:tc>
          <w:tcPr>
            <w:tcW w:type="dxa" w:w="4320"/>
          </w:tcPr>
          <w:p>
            <w:r/>
            <w:r>
              <w:rPr>
                <w:b/>
              </w:rPr>
              <w:t>Autorisation financière DAF : approuvée</w:t>
            </w:r>
            <w:r>
              <w:t xml:space="preserve"> (client dans son plafond : 472 000 / 10 000 000)</w:t>
            </w:r>
          </w:p>
        </w:tc>
      </w:tr>
      <w:tr>
        <w:tc>
          <w:tcPr>
            <w:tcW w:type="dxa" w:w="4320"/>
          </w:tcPr>
          <w:p>
            <w:r>
              <w:t>15:33</w:t>
            </w:r>
          </w:p>
        </w:tc>
        <w:tc>
          <w:tcPr>
            <w:tcW w:type="dxa" w:w="4320"/>
          </w:tcPr>
          <w:p>
            <w:r>
              <w:t>Lancement + démarrage OF (</w:t>
            </w:r>
            <w:r>
              <w:rPr>
                <w:b/>
              </w:rPr>
              <w:t>en cours</w:t>
            </w:r>
            <w:r>
              <w:t>)</w:t>
            </w:r>
          </w:p>
        </w:tc>
      </w:tr>
      <w:tr>
        <w:tc>
          <w:tcPr>
            <w:tcW w:type="dxa" w:w="4320"/>
          </w:tcPr>
          <w:p>
            <w:r>
              <w:t>15:36</w:t>
            </w:r>
          </w:p>
        </w:tc>
        <w:tc>
          <w:tcPr>
            <w:tcW w:type="dxa" w:w="4320"/>
          </w:tcPr>
          <w:p>
            <w:r>
              <w:t>Consommation bobine 182 kg / 101 m ; déclaration 100 ml (lot LOT-PF-TEST-GUIDE-001) ; chute réutilisable 0,9 kg ; rebut 1,8 kg</w:t>
            </w:r>
          </w:p>
        </w:tc>
      </w:tr>
      <w:tr>
        <w:tc>
          <w:tcPr>
            <w:tcW w:type="dxa" w:w="4320"/>
          </w:tcPr>
          <w:p>
            <w:r>
              <w:t>15:40</w:t>
            </w:r>
          </w:p>
        </w:tc>
        <w:tc>
          <w:tcPr>
            <w:tcW w:type="dxa" w:w="4320"/>
          </w:tcPr>
          <w:p>
            <w:r>
              <w:t xml:space="preserve">Contrôle qualité </w:t>
            </w:r>
            <w:r>
              <w:rPr>
                <w:b/>
              </w:rPr>
              <w:t>conforme</w:t>
            </w:r>
            <w:r>
              <w:t xml:space="preserve"> (épaisseur, longueur, couleur, visuel) ; visa chef sur la déclaration ; </w:t>
            </w:r>
            <w:r>
              <w:rPr>
                <w:b/>
              </w:rPr>
              <w:t>clôture OF (terminé)</w:t>
            </w:r>
            <w:r>
              <w:t xml:space="preserve"> ; lot auto LOT-OF-2026-0151-01 ; réservation PF 100 ml pour le client</w:t>
            </w:r>
          </w:p>
        </w:tc>
      </w:tr>
      <w:tr>
        <w:tc>
          <w:tcPr>
            <w:tcW w:type="dxa" w:w="4320"/>
          </w:tcPr>
          <w:p>
            <w:r>
              <w:t>15:43</w:t>
            </w:r>
          </w:p>
        </w:tc>
        <w:tc>
          <w:tcPr>
            <w:tcW w:type="dxa" w:w="4320"/>
          </w:tcPr>
          <w:p>
            <w:r>
              <w:t xml:space="preserve">Bon de préparation BP-2026-0028 (auto) → </w:t>
            </w:r>
            <w:r>
              <w:rPr>
                <w:b/>
              </w:rPr>
              <w:t>chargé</w:t>
            </w:r>
            <w:r>
              <w:t xml:space="preserve"> (magasinier)</w:t>
            </w:r>
          </w:p>
        </w:tc>
      </w:tr>
      <w:tr>
        <w:tc>
          <w:tcPr>
            <w:tcW w:type="dxa" w:w="4320"/>
          </w:tcPr>
          <w:p>
            <w:r>
              <w:t>15:45</w:t>
            </w:r>
          </w:p>
        </w:tc>
        <w:tc>
          <w:tcPr>
            <w:tcW w:type="dxa" w:w="4320"/>
          </w:tcPr>
          <w:p>
            <w:r>
              <w:t xml:space="preserve">BL-2026-025 créé puis </w:t>
            </w:r>
            <w:r>
              <w:rPr>
                <w:b/>
              </w:rPr>
              <w:t>validé</w:t>
            </w:r>
            <w:r>
              <w:t xml:space="preserve"> → sortie stock −100 ; commande </w:t>
            </w:r>
            <w:r>
              <w:rPr>
                <w:b/>
              </w:rPr>
              <w:t>livrée</w:t>
            </w:r>
            <w:r/>
          </w:p>
        </w:tc>
      </w:tr>
      <w:tr>
        <w:tc>
          <w:tcPr>
            <w:tcW w:type="dxa" w:w="4320"/>
          </w:tcPr>
          <w:p>
            <w:r>
              <w:t>15:47</w:t>
            </w:r>
          </w:p>
        </w:tc>
        <w:tc>
          <w:tcPr>
            <w:tcW w:type="dxa" w:w="4320"/>
          </w:tcPr>
          <w:p>
            <w:r>
              <w:t xml:space="preserve">Facture FA-2026-018 générée depuis le BL ; tentative de double génération </w:t>
            </w:r>
            <w:r>
              <w:rPr>
                <w:b/>
              </w:rPr>
              <w:t>refusée</w:t>
            </w:r>
            <w:r/>
          </w:p>
        </w:tc>
      </w:tr>
      <w:tr>
        <w:tc>
          <w:tcPr>
            <w:tcW w:type="dxa" w:w="4320"/>
          </w:tcPr>
          <w:p>
            <w:r>
              <w:t>15:48</w:t>
            </w:r>
          </w:p>
        </w:tc>
        <w:tc>
          <w:tcPr>
            <w:tcW w:type="dxa" w:w="4320"/>
          </w:tcPr>
          <w:p>
            <w:r>
              <w:t>Validation facture (comptable) → écriture de vente comptabilisée</w:t>
            </w:r>
          </w:p>
        </w:tc>
      </w:tr>
      <w:tr>
        <w:tc>
          <w:tcPr>
            <w:tcW w:type="dxa" w:w="4320"/>
          </w:tcPr>
          <w:p>
            <w:r>
              <w:t>15:50</w:t>
            </w:r>
          </w:p>
        </w:tc>
        <w:tc>
          <w:tcPr>
            <w:tcW w:type="dxa" w:w="4320"/>
          </w:tcPr>
          <w:p>
            <w:r>
              <w:t xml:space="preserve">Encaissement ENC-2026-012 — virement VIR-TEST-GUIDE-001, 472 000 F, imputation intégrale → facture </w:t>
            </w:r>
            <w:r>
              <w:rPr>
                <w:b/>
              </w:rPr>
              <w:t>payée</w:t>
            </w:r>
            <w:r>
              <w:t xml:space="preserve">, compte client </w:t>
            </w:r>
            <w:r>
              <w:rPr>
                <w:b/>
              </w:rPr>
              <w:t>lettré</w:t>
            </w:r>
            <w:r>
              <w:t xml:space="preserve">, facture </w:t>
            </w:r>
            <w:r>
              <w:rPr>
                <w:b/>
              </w:rPr>
              <w:t>verrouillée</w:t>
            </w:r>
            <w:r>
              <w:t xml:space="preserve"> (re-validation refusée 403)</w:t>
            </w:r>
          </w:p>
        </w:tc>
      </w:tr>
    </w:tbl>
    <w:p>
      <w:pPr>
        <w:pStyle w:val="Heading2"/>
      </w:pPr>
      <w:r>
        <w:t>7–8. Documents générés et numéros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Document</w:t>
            </w:r>
          </w:p>
        </w:tc>
        <w:tc>
          <w:tcPr>
            <w:tcW w:type="dxa" w:w="2880"/>
          </w:tcPr>
          <w:p>
            <w:r>
              <w:rPr>
                <w:b/>
              </w:rPr>
              <w:t>Numéro</w:t>
            </w:r>
          </w:p>
        </w:tc>
        <w:tc>
          <w:tcPr>
            <w:tcW w:type="dxa" w:w="2880"/>
          </w:tcPr>
          <w:p>
            <w:r>
              <w:rPr>
                <w:b/>
              </w:rPr>
              <w:t>Statut final</w:t>
            </w:r>
          </w:p>
        </w:tc>
      </w:tr>
      <w:tr>
        <w:tc>
          <w:tcPr>
            <w:tcW w:type="dxa" w:w="2880"/>
          </w:tcPr>
          <w:p>
            <w:r>
              <w:t>Devis</w:t>
            </w:r>
          </w:p>
        </w:tc>
        <w:tc>
          <w:tcPr>
            <w:tcW w:type="dxa" w:w="2880"/>
          </w:tcPr>
          <w:p>
            <w:r/>
            <w:r>
              <w:rPr>
                <w:b/>
              </w:rPr>
              <w:t>DEV-2026-00036</w:t>
            </w:r>
            <w:r/>
          </w:p>
        </w:tc>
        <w:tc>
          <w:tcPr>
            <w:tcW w:type="dxa" w:w="2880"/>
          </w:tcPr>
          <w:p>
            <w:r>
              <w:t>Converti</w:t>
            </w:r>
          </w:p>
        </w:tc>
      </w:tr>
      <w:tr>
        <w:tc>
          <w:tcPr>
            <w:tcW w:type="dxa" w:w="2880"/>
          </w:tcPr>
          <w:p>
            <w:r>
              <w:t>Commande client</w:t>
            </w:r>
          </w:p>
        </w:tc>
        <w:tc>
          <w:tcPr>
            <w:tcW w:type="dxa" w:w="2880"/>
          </w:tcPr>
          <w:p>
            <w:r/>
            <w:r>
              <w:rPr>
                <w:b/>
              </w:rPr>
              <w:t>CMD-2026-046</w:t>
            </w:r>
            <w:r/>
          </w:p>
        </w:tc>
        <w:tc>
          <w:tcPr>
            <w:tcW w:type="dxa" w:w="2880"/>
          </w:tcPr>
          <w:p>
            <w:r>
              <w:t>Facturée (après livrée)</w:t>
            </w:r>
          </w:p>
        </w:tc>
      </w:tr>
      <w:tr>
        <w:tc>
          <w:tcPr>
            <w:tcW w:type="dxa" w:w="2880"/>
          </w:tcPr>
          <w:p>
            <w:r>
              <w:t>Ordre de fabrication</w:t>
            </w:r>
          </w:p>
        </w:tc>
        <w:tc>
          <w:tcPr>
            <w:tcW w:type="dxa" w:w="2880"/>
          </w:tcPr>
          <w:p>
            <w:r/>
            <w:r>
              <w:rPr>
                <w:b/>
              </w:rPr>
              <w:t>OF-2026-0151</w:t>
            </w:r>
            <w:r/>
          </w:p>
        </w:tc>
        <w:tc>
          <w:tcPr>
            <w:tcW w:type="dxa" w:w="2880"/>
          </w:tcPr>
          <w:p>
            <w:r>
              <w:t>Terminé</w:t>
            </w:r>
          </w:p>
        </w:tc>
      </w:tr>
      <w:tr>
        <w:tc>
          <w:tcPr>
            <w:tcW w:type="dxa" w:w="2880"/>
          </w:tcPr>
          <w:p>
            <w:r>
              <w:t>Bobine consommée</w:t>
            </w:r>
          </w:p>
        </w:tc>
        <w:tc>
          <w:tcPr>
            <w:tcW w:type="dxa" w:w="2880"/>
          </w:tcPr>
          <w:p>
            <w:r/>
            <w:r>
              <w:rPr>
                <w:b/>
              </w:rPr>
              <w:t>BOB-TEST-GUIDE-001</w:t>
            </w:r>
            <w:r>
              <w:t xml:space="preserve"> (lot LOT-TEST-GUIDE-001)</w:t>
            </w:r>
          </w:p>
        </w:tc>
        <w:tc>
          <w:tcPr>
            <w:tcW w:type="dxa" w:w="2880"/>
          </w:tcPr>
          <w:p>
            <w:r>
              <w:t>En production (reste 318 kg)</w:t>
            </w:r>
          </w:p>
        </w:tc>
      </w:tr>
      <w:tr>
        <w:tc>
          <w:tcPr>
            <w:tcW w:type="dxa" w:w="2880"/>
          </w:tcPr>
          <w:p>
            <w:r>
              <w:t>Lot produit fini</w:t>
            </w:r>
          </w:p>
        </w:tc>
        <w:tc>
          <w:tcPr>
            <w:tcW w:type="dxa" w:w="2880"/>
          </w:tcPr>
          <w:p>
            <w:r/>
            <w:r>
              <w:rPr>
                <w:b/>
              </w:rPr>
              <w:t>LOT-PF-TEST-GUIDE-001</w:t>
            </w:r>
            <w:r>
              <w:t xml:space="preserve"> + lot fabrication auto </w:t>
            </w:r>
            <w:r>
              <w:rPr>
                <w:b/>
              </w:rPr>
              <w:t>LOT-OF-2026-0151-01</w:t>
            </w:r>
            <w:r/>
          </w:p>
        </w:tc>
        <w:tc>
          <w:tcPr>
            <w:tcW w:type="dxa" w:w="2880"/>
          </w:tcPr>
          <w:p>
            <w:r>
              <w:t>Conforme</w:t>
            </w:r>
          </w:p>
        </w:tc>
      </w:tr>
      <w:tr>
        <w:tc>
          <w:tcPr>
            <w:tcW w:type="dxa" w:w="2880"/>
          </w:tcPr>
          <w:p>
            <w:r>
              <w:t>Bon de préparation</w:t>
            </w:r>
          </w:p>
        </w:tc>
        <w:tc>
          <w:tcPr>
            <w:tcW w:type="dxa" w:w="2880"/>
          </w:tcPr>
          <w:p>
            <w:r/>
            <w:r>
              <w:rPr>
                <w:b/>
              </w:rPr>
              <w:t>BP-2026-0028</w:t>
            </w:r>
            <w:r/>
          </w:p>
        </w:tc>
        <w:tc>
          <w:tcPr>
            <w:tcW w:type="dxa" w:w="2880"/>
          </w:tcPr>
          <w:p>
            <w:r>
              <w:t>Chargé</w:t>
            </w:r>
          </w:p>
        </w:tc>
      </w:tr>
      <w:tr>
        <w:tc>
          <w:tcPr>
            <w:tcW w:type="dxa" w:w="2880"/>
          </w:tcPr>
          <w:p>
            <w:r>
              <w:t>Bon de livraison</w:t>
            </w:r>
          </w:p>
        </w:tc>
        <w:tc>
          <w:tcPr>
            <w:tcW w:type="dxa" w:w="2880"/>
          </w:tcPr>
          <w:p>
            <w:r/>
            <w:r>
              <w:rPr>
                <w:b/>
              </w:rPr>
              <w:t>BL-2026-025</w:t>
            </w:r>
            <w:r/>
          </w:p>
        </w:tc>
        <w:tc>
          <w:tcPr>
            <w:tcW w:type="dxa" w:w="2880"/>
          </w:tcPr>
          <w:p>
            <w:r>
              <w:t>Livré (validé)</w:t>
            </w:r>
          </w:p>
        </w:tc>
      </w:tr>
      <w:tr>
        <w:tc>
          <w:tcPr>
            <w:tcW w:type="dxa" w:w="2880"/>
          </w:tcPr>
          <w:p>
            <w:r>
              <w:t>Facture</w:t>
            </w:r>
          </w:p>
        </w:tc>
        <w:tc>
          <w:tcPr>
            <w:tcW w:type="dxa" w:w="2880"/>
          </w:tcPr>
          <w:p>
            <w:r/>
            <w:r>
              <w:rPr>
                <w:b/>
              </w:rPr>
              <w:t>FA-2026-018</w:t>
            </w:r>
            <w:r/>
          </w:p>
        </w:tc>
        <w:tc>
          <w:tcPr>
            <w:tcW w:type="dxa" w:w="2880"/>
          </w:tcPr>
          <w:p>
            <w:r>
              <w:t>Payée (verrouillée)</w:t>
            </w:r>
          </w:p>
        </w:tc>
      </w:tr>
      <w:tr>
        <w:tc>
          <w:tcPr>
            <w:tcW w:type="dxa" w:w="2880"/>
          </w:tcPr>
          <w:p>
            <w:r>
              <w:t>Encaissement</w:t>
            </w:r>
          </w:p>
        </w:tc>
        <w:tc>
          <w:tcPr>
            <w:tcW w:type="dxa" w:w="2880"/>
          </w:tcPr>
          <w:p>
            <w:r/>
            <w:r>
              <w:rPr>
                <w:b/>
              </w:rPr>
              <w:t>ENC-2026-012</w:t>
            </w:r>
            <w:r>
              <w:t xml:space="preserve"> (réf. VIR-TEST-GUIDE-001)</w:t>
            </w:r>
          </w:p>
        </w:tc>
        <w:tc>
          <w:tcPr>
            <w:tcW w:type="dxa" w:w="2880"/>
          </w:tcPr>
          <w:p>
            <w:r>
              <w:t>Imputé</w:t>
            </w:r>
          </w:p>
        </w:tc>
      </w:tr>
      <w:tr>
        <w:tc>
          <w:tcPr>
            <w:tcW w:type="dxa" w:w="2880"/>
          </w:tcPr>
          <w:p>
            <w:r>
              <w:t>Écritures</w:t>
            </w:r>
          </w:p>
        </w:tc>
        <w:tc>
          <w:tcPr>
            <w:tcW w:type="dxa" w:w="2880"/>
          </w:tcPr>
          <w:p>
            <w:r>
              <w:t>FA-2026-018 · ENC-2026-012 · OF-2026-0151-CONS · OF-2026-0151-PROD</w:t>
            </w:r>
          </w:p>
        </w:tc>
        <w:tc>
          <w:tcPr>
            <w:tcW w:type="dxa" w:w="2880"/>
          </w:tcPr>
          <w:p>
            <w:r>
              <w:t>Équilibrées</w:t>
            </w:r>
          </w:p>
        </w:tc>
      </w:tr>
    </w:tbl>
    <w:p>
      <w:pPr>
        <w:pStyle w:val="Heading2"/>
      </w:pPr>
      <w:r>
        <w:t>9–10. Résultats obtenus et montants vérifiés</w:t>
      </w:r>
    </w:p>
    <w:p>
      <w:pPr>
        <w:pStyle w:val="ListBullet"/>
      </w:pPr>
      <w:r>
        <w:t xml:space="preserve">Devis : HT </w:t>
      </w:r>
      <w:r>
        <w:rPr>
          <w:b/>
        </w:rPr>
        <w:t>400 000</w:t>
      </w:r>
      <w:r>
        <w:t xml:space="preserve"> / TVA </w:t>
      </w:r>
      <w:r>
        <w:rPr>
          <w:b/>
        </w:rPr>
        <w:t>72 000</w:t>
      </w:r>
      <w:r>
        <w:t xml:space="preserve"> / TTC </w:t>
      </w:r>
      <w:r>
        <w:rPr>
          <w:b/>
        </w:rPr>
        <w:t>472 000</w:t>
      </w:r>
      <w:r>
        <w:t xml:space="preserve"> — calcul automatique exact, PU 4 000 repris du catalogue, numérotation automatique.</w:t>
      </w:r>
    </w:p>
    <w:p>
      <w:pPr>
        <w:pStyle w:val="ListBullet"/>
      </w:pPr>
      <w:r>
        <w:t>Reprise à l'identique devis → commande → BL → facture (mêmes montants, même client, mêmes conditions 30 j / virement).</w:t>
      </w:r>
    </w:p>
    <w:p>
      <w:pPr>
        <w:pStyle w:val="ListBullet"/>
      </w:pPr>
      <w:r>
        <w:t>Échéance facture : 13/08/2026 (30 jours) ✔.</w:t>
      </w:r>
    </w:p>
    <w:p>
      <w:pPr>
        <w:pStyle w:val="ListBullet"/>
      </w:pPr>
      <w:r>
        <w:t xml:space="preserve">Encaissement : 472 000 imputés, solde facture </w:t>
      </w:r>
      <w:r>
        <w:rPr>
          <w:b/>
        </w:rPr>
        <w:t>0</w:t>
      </w:r>
      <w:r>
        <w:t xml:space="preserve">, encours client </w:t>
      </w:r>
      <w:r>
        <w:rPr>
          <w:b/>
        </w:rPr>
        <w:t>0</w:t>
      </w:r>
      <w:r>
        <w:t xml:space="preserve">, solde banque 1 091 500 → </w:t>
      </w:r>
      <w:r>
        <w:rPr>
          <w:b/>
        </w:rPr>
        <w:t>1 563 500</w:t>
      </w:r>
      <w:r>
        <w:t xml:space="preserve"> (+472 000) ✔.</w:t>
      </w:r>
    </w:p>
    <w:p>
      <w:pPr>
        <w:pStyle w:val="Heading2"/>
      </w:pPr>
      <w:r>
        <w:t>11. Mouvements de stock (chaîne complète observée)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Type</w:t>
            </w:r>
          </w:p>
        </w:tc>
        <w:tc>
          <w:tcPr>
            <w:tcW w:type="dxa" w:w="1440"/>
          </w:tcPr>
          <w:p>
            <w:r>
              <w:rPr>
                <w:b/>
              </w:rPr>
              <w:t>Article</w:t>
            </w:r>
          </w:p>
        </w:tc>
        <w:tc>
          <w:tcPr>
            <w:tcW w:type="dxa" w:w="1440"/>
          </w:tcPr>
          <w:p>
            <w:r>
              <w:rPr>
                <w:b/>
              </w:rPr>
              <w:t>Dépôt</w:t>
            </w:r>
          </w:p>
        </w:tc>
        <w:tc>
          <w:tcPr>
            <w:tcW w:type="dxa" w:w="1440"/>
          </w:tcPr>
          <w:p>
            <w:r>
              <w:rPr>
                <w:b/>
              </w:rPr>
              <w:t>Qté</w:t>
            </w:r>
          </w:p>
        </w:tc>
        <w:tc>
          <w:tcPr>
            <w:tcW w:type="dxa" w:w="1440"/>
          </w:tcPr>
          <w:p>
            <w:r>
              <w:rPr>
                <w:b/>
              </w:rPr>
              <w:t>Référence</w:t>
            </w:r>
          </w:p>
        </w:tc>
      </w:tr>
      <w:tr>
        <w:tc>
          <w:tcPr>
            <w:tcW w:type="dxa" w:w="1440"/>
          </w:tcPr>
          <w:p>
            <w:r>
              <w:t>24</w:t>
            </w:r>
          </w:p>
        </w:tc>
        <w:tc>
          <w:tcPr>
            <w:tcW w:type="dxa" w:w="1440"/>
          </w:tcPr>
          <w:p>
            <w:r>
              <w:t>Entrée</w:t>
            </w:r>
          </w:p>
        </w:tc>
        <w:tc>
          <w:tcPr>
            <w:tcW w:type="dxa" w:w="1440"/>
          </w:tcPr>
          <w:p>
            <w:r>
              <w:t>Bobine (MP)</w:t>
            </w:r>
          </w:p>
        </w:tc>
        <w:tc>
          <w:tcPr>
            <w:tcW w:type="dxa" w:w="1440"/>
          </w:tcPr>
          <w:p>
            <w:r>
              <w:t>DEP-MP</w:t>
            </w:r>
          </w:p>
        </w:tc>
        <w:tc>
          <w:tcPr>
            <w:tcW w:type="dxa" w:w="1440"/>
          </w:tcPr>
          <w:p>
            <w:r>
              <w:t>+500 kg</w:t>
            </w:r>
          </w:p>
        </w:tc>
        <w:tc>
          <w:tcPr>
            <w:tcW w:type="dxa" w:w="1440"/>
          </w:tcPr>
          <w:p>
            <w:r>
              <w:t>Approvisionnement bobine test</w:t>
            </w:r>
          </w:p>
        </w:tc>
      </w:tr>
      <w:tr>
        <w:tc>
          <w:tcPr>
            <w:tcW w:type="dxa" w:w="1440"/>
          </w:tcPr>
          <w:p>
            <w:r>
              <w:t>29</w:t>
            </w:r>
          </w:p>
        </w:tc>
        <w:tc>
          <w:tcPr>
            <w:tcW w:type="dxa" w:w="1440"/>
          </w:tcPr>
          <w:p>
            <w:r>
              <w:t>Entrée</w:t>
            </w:r>
          </w:p>
        </w:tc>
        <w:tc>
          <w:tcPr>
            <w:tcW w:type="dxa" w:w="1440"/>
          </w:tcPr>
          <w:p>
            <w:r>
              <w:t>Tôle bac PF</w:t>
            </w:r>
          </w:p>
        </w:tc>
        <w:tc>
          <w:tcPr>
            <w:tcW w:type="dxa" w:w="1440"/>
          </w:tcPr>
          <w:p>
            <w:r>
              <w:t>DEP-PF</w:t>
            </w:r>
          </w:p>
        </w:tc>
        <w:tc>
          <w:tcPr>
            <w:tcW w:type="dxa" w:w="1440"/>
          </w:tcPr>
          <w:p>
            <w:r/>
            <w:r>
              <w:rPr>
                <w:b/>
              </w:rPr>
              <w:t>+100 ml</w:t>
            </w:r>
            <w:r/>
          </w:p>
        </w:tc>
        <w:tc>
          <w:tcPr>
            <w:tcW w:type="dxa" w:w="1440"/>
          </w:tcPr>
          <w:p>
            <w:r>
              <w:t>Production OF-2026-0151</w:t>
            </w:r>
          </w:p>
        </w:tc>
      </w:tr>
      <w:tr>
        <w:tc>
          <w:tcPr>
            <w:tcW w:type="dxa" w:w="1440"/>
          </w:tcPr>
          <w:p>
            <w:r>
              <w:t>30</w:t>
            </w:r>
          </w:p>
        </w:tc>
        <w:tc>
          <w:tcPr>
            <w:tcW w:type="dxa" w:w="1440"/>
          </w:tcPr>
          <w:p>
            <w:r>
              <w:t>Sortie</w:t>
            </w:r>
          </w:p>
        </w:tc>
        <w:tc>
          <w:tcPr>
            <w:tcW w:type="dxa" w:w="1440"/>
          </w:tcPr>
          <w:p>
            <w:r>
              <w:t>Bobine (MP)</w:t>
            </w:r>
          </w:p>
        </w:tc>
        <w:tc>
          <w:tcPr>
            <w:tcW w:type="dxa" w:w="1440"/>
          </w:tcPr>
          <w:p>
            <w:r>
              <w:t>DEP-MP</w:t>
            </w:r>
          </w:p>
        </w:tc>
        <w:tc>
          <w:tcPr>
            <w:tcW w:type="dxa" w:w="1440"/>
          </w:tcPr>
          <w:p>
            <w:r>
              <w:t>−175,13 kg</w:t>
            </w:r>
          </w:p>
        </w:tc>
        <w:tc>
          <w:tcPr>
            <w:tcW w:type="dxa" w:w="1440"/>
          </w:tcPr>
          <w:p>
            <w:r>
              <w:t>Consommation composant (backflush BOM)</w:t>
            </w:r>
          </w:p>
        </w:tc>
      </w:tr>
      <w:tr>
        <w:tc>
          <w:tcPr>
            <w:tcW w:type="dxa" w:w="1440"/>
          </w:tcPr>
          <w:p>
            <w:r>
              <w:t>31</w:t>
            </w:r>
          </w:p>
        </w:tc>
        <w:tc>
          <w:tcPr>
            <w:tcW w:type="dxa" w:w="1440"/>
          </w:tcPr>
          <w:p>
            <w:r>
              <w:t>Sortie</w:t>
            </w:r>
          </w:p>
        </w:tc>
        <w:tc>
          <w:tcPr>
            <w:tcW w:type="dxa" w:w="1440"/>
          </w:tcPr>
          <w:p>
            <w:r>
              <w:t>Tôle bac PF</w:t>
            </w:r>
          </w:p>
        </w:tc>
        <w:tc>
          <w:tcPr>
            <w:tcW w:type="dxa" w:w="1440"/>
          </w:tcPr>
          <w:p>
            <w:r>
              <w:t>DEP-PF</w:t>
            </w:r>
          </w:p>
        </w:tc>
        <w:tc>
          <w:tcPr>
            <w:tcW w:type="dxa" w:w="1440"/>
          </w:tcPr>
          <w:p>
            <w:r/>
            <w:r>
              <w:rPr>
                <w:b/>
              </w:rPr>
              <w:t>−100 ml</w:t>
            </w:r>
            <w:r/>
          </w:p>
        </w:tc>
        <w:tc>
          <w:tcPr>
            <w:tcW w:type="dxa" w:w="1440"/>
          </w:tcPr>
          <w:p>
            <w:r>
              <w:t>BL-2026-025</w:t>
            </w:r>
          </w:p>
        </w:tc>
      </w:tr>
    </w:tbl>
    <w:p>
      <w:r>
        <w:t xml:space="preserve">Les deux opérations distinctes exigées — </w:t>
      </w:r>
      <w:r>
        <w:rPr>
          <w:b/>
        </w:rPr>
        <w:t>entrée production +100</w:t>
      </w:r>
      <w:r>
        <w:t xml:space="preserve"> puis </w:t>
      </w:r>
      <w:r>
        <w:rPr>
          <w:b/>
        </w:rPr>
        <w:t>sortie livraison −100</w:t>
      </w:r>
      <w:r>
        <w:t xml:space="preserve"> — sont présentes ; le stock PF termine à 0 et la réservation client est soldée. Une correction en cours de test (annulation/redéclaration) a été </w:t>
      </w:r>
      <w:r>
        <w:rPr>
          <w:b/>
        </w:rPr>
        <w:t>auto-contre-passée proprement</w:t>
      </w:r>
      <w:r>
        <w:t xml:space="preserve"> par le système (mouvements 25–28).</w:t>
      </w:r>
    </w:p>
    <w:p>
      <w:pPr>
        <w:pStyle w:val="Heading2"/>
      </w:pPr>
      <w:r>
        <w:t>12. Consommation de bobine (traçabilité)</w:t>
      </w:r>
    </w:p>
    <w:p>
      <w:r>
        <w:t xml:space="preserve">BOB-TEST-GUIDE-001 (lot LOT-TEST-GUIDE-001, beige 0,27 × 1 000 mm, fournisseur Métal Bobines Sahel) : poids initial 500 kg → consommé </w:t>
      </w:r>
      <w:r>
        <w:rPr>
          <w:b/>
        </w:rPr>
        <w:t>182 kg / 101 m</w:t>
      </w:r>
      <w:r>
        <w:t xml:space="preserve"> (besoin théorique 181,3 kg = 100 × 1,7513 × 1,035) → </w:t>
      </w:r>
      <w:r>
        <w:rPr>
          <w:b/>
        </w:rPr>
        <w:t>reste 318 kg</w:t>
      </w:r>
      <w:r>
        <w:t xml:space="preserve">, statut « en production ». Chaîne : Client → CMD-2026-046 → OF-2026-0151 → BOB-TEST-GUIDE-001 → Métal Bobines Sahel (visible dans l'onglet </w:t>
      </w:r>
      <w:r>
        <w:rPr>
          <w:b/>
        </w:rPr>
        <w:t>Traçabilité</w:t>
      </w:r>
      <w:r>
        <w:t xml:space="preserve"> de la fiche OF).</w:t>
      </w:r>
    </w:p>
    <w:p>
      <w:pPr>
        <w:pStyle w:val="Heading2"/>
      </w:pPr>
      <w:r>
        <w:t>13. Production réalisée</w:t>
      </w:r>
    </w:p>
    <w:p>
      <w:r>
        <w:t xml:space="preserve">Prévu 100 ml — produit </w:t>
      </w:r>
      <w:r>
        <w:rPr>
          <w:b/>
        </w:rPr>
        <w:t>100 ml conformes</w:t>
      </w:r>
      <w:r>
        <w:t xml:space="preserve"> (20 feuilles × 5 m, documentées en notes et lignes de coupe de l'OF) ; chute réutilisable 0,9 kg (765 F) ; rebut 1,8 kg (1 530 F) ; rendement matière ≈ </w:t>
      </w:r>
      <w:r>
        <w:rPr>
          <w:b/>
        </w:rPr>
        <w:t>98,5 %</w:t>
      </w:r>
      <w:r>
        <w:t>.</w:t>
      </w:r>
    </w:p>
    <w:p>
      <w:pPr>
        <w:pStyle w:val="Heading2"/>
      </w:pPr>
      <w:r>
        <w:t>14. Contrôle qualité</w:t>
      </w:r>
    </w:p>
    <w:p>
      <w:r>
        <w:t xml:space="preserve">Verdict </w:t>
      </w:r>
      <w:r>
        <w:rPr>
          <w:b/>
        </w:rPr>
        <w:t>conforme</w:t>
      </w:r>
      <w:r>
        <w:t xml:space="preserve"> — critères épaisseur / longueur / couleur / visuel tous OK, horodaté, motif détaillé saisi. La livraison est bloquée par le système en cas de non-conformité (garde-fou vérifié par les tests automatisés ProductionDegradedPathTest).</w:t>
      </w:r>
    </w:p>
    <w:p>
      <w:pPr>
        <w:pStyle w:val="Heading2"/>
      </w:pPr>
      <w:r>
        <w:t>15. Coût de revient de l'OF</w:t>
      </w:r>
    </w:p>
    <w:p>
      <w:r>
        <w:t xml:space="preserve">Coût total calculé : </w:t>
      </w:r>
      <w:r>
        <w:rPr>
          <w:b/>
        </w:rPr>
        <w:t>323 560 F</w:t>
      </w:r>
      <w:r>
        <w:t xml:space="preserve"> (matière 303 560, MO/machine 20 000). ⚠ Voir anomalie n°4 : la composante matière additionne la consommation bobine (154 700) </w:t>
      </w:r>
      <w:r>
        <w:rPr>
          <w:b/>
        </w:rPr>
        <w:t>et</w:t>
      </w:r>
      <w:r>
        <w:t xml:space="preserve"> le backflush BOM (148 860) qui tracent la même matière → coût matière surévalué (~×2).</w:t>
      </w:r>
    </w:p>
    <w:p>
      <w:pPr>
        <w:pStyle w:val="Heading2"/>
      </w:pPr>
      <w:r>
        <w:t>16. Écritures comptables (toutes équilibrées débit = crédit)</w:t>
      </w:r>
    </w:p>
    <w:p>
      <w:r/>
      <w:r>
        <w:rPr>
          <w:b/>
        </w:rPr>
        <w:t>Facture FA-2026-018</w:t>
      </w:r>
      <w:r>
        <w:t xml:space="preserve"> — journal des ventes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Compte</w:t>
            </w:r>
          </w:p>
        </w:tc>
        <w:tc>
          <w:tcPr>
            <w:tcW w:type="dxa" w:w="2160"/>
          </w:tcPr>
          <w:p>
            <w:r>
              <w:rPr>
                <w:b/>
              </w:rPr>
              <w:t>Libellé</w:t>
            </w:r>
          </w:p>
        </w:tc>
        <w:tc>
          <w:tcPr>
            <w:tcW w:type="dxa" w:w="2160"/>
          </w:tcPr>
          <w:p>
            <w:r>
              <w:rPr>
                <w:b/>
              </w:rPr>
              <w:t>Débit</w:t>
            </w:r>
          </w:p>
        </w:tc>
        <w:tc>
          <w:tcPr>
            <w:tcW w:type="dxa" w:w="2160"/>
          </w:tcPr>
          <w:p>
            <w:r>
              <w:rPr>
                <w:b/>
              </w:rPr>
              <w:t>Crédit</w:t>
            </w:r>
          </w:p>
        </w:tc>
      </w:tr>
      <w:tr>
        <w:tc>
          <w:tcPr>
            <w:tcW w:type="dxa" w:w="2160"/>
          </w:tcPr>
          <w:p>
            <w:r>
              <w:t>411</w:t>
            </w:r>
          </w:p>
        </w:tc>
        <w:tc>
          <w:tcPr>
            <w:tcW w:type="dxa" w:w="2160"/>
          </w:tcPr>
          <w:p>
            <w:r>
              <w:t>Clients</w:t>
            </w:r>
          </w:p>
        </w:tc>
        <w:tc>
          <w:tcPr>
            <w:tcW w:type="dxa" w:w="2160"/>
          </w:tcPr>
          <w:p>
            <w:r>
              <w:t>472 000</w:t>
            </w:r>
          </w:p>
        </w:tc>
        <w:tc>
          <w:tcPr>
            <w:tcW w:type="dxa" w:w="2160"/>
          </w:tcPr>
          <w:p>
            <w:r/>
          </w:p>
        </w:tc>
      </w:tr>
      <w:tr>
        <w:tc>
          <w:tcPr>
            <w:tcW w:type="dxa" w:w="2160"/>
          </w:tcPr>
          <w:p>
            <w:r>
              <w:t>7011</w:t>
            </w:r>
          </w:p>
        </w:tc>
        <w:tc>
          <w:tcPr>
            <w:tcW w:type="dxa" w:w="2160"/>
          </w:tcPr>
          <w:p>
            <w:r>
              <w:t>Ventes de marchandises</w:t>
            </w:r>
          </w:p>
        </w:tc>
        <w:tc>
          <w:tcPr>
            <w:tcW w:type="dxa" w:w="2160"/>
          </w:tcPr>
          <w:p>
            <w:r/>
          </w:p>
        </w:tc>
        <w:tc>
          <w:tcPr>
            <w:tcW w:type="dxa" w:w="2160"/>
          </w:tcPr>
          <w:p>
            <w:r>
              <w:t>400 000</w:t>
            </w:r>
          </w:p>
        </w:tc>
      </w:tr>
      <w:tr>
        <w:tc>
          <w:tcPr>
            <w:tcW w:type="dxa" w:w="2160"/>
          </w:tcPr>
          <w:p>
            <w:r>
              <w:t>4431</w:t>
            </w:r>
          </w:p>
        </w:tc>
        <w:tc>
          <w:tcPr>
            <w:tcW w:type="dxa" w:w="2160"/>
          </w:tcPr>
          <w:p>
            <w:r>
              <w:t>TVA facturée sur ventes</w:t>
            </w:r>
          </w:p>
        </w:tc>
        <w:tc>
          <w:tcPr>
            <w:tcW w:type="dxa" w:w="2160"/>
          </w:tcPr>
          <w:p>
            <w:r/>
          </w:p>
        </w:tc>
        <w:tc>
          <w:tcPr>
            <w:tcW w:type="dxa" w:w="2160"/>
          </w:tcPr>
          <w:p>
            <w:r>
              <w:t>72 000</w:t>
            </w:r>
          </w:p>
        </w:tc>
      </w:tr>
    </w:tbl>
    <w:p>
      <w:r/>
      <w:r>
        <w:rPr>
          <w:b/>
        </w:rPr>
        <w:t>Encaissement ENC-2026-012</w:t>
      </w:r>
      <w:r>
        <w:t xml:space="preserve"> — banque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Compte</w:t>
            </w:r>
          </w:p>
        </w:tc>
        <w:tc>
          <w:tcPr>
            <w:tcW w:type="dxa" w:w="2160"/>
          </w:tcPr>
          <w:p>
            <w:r>
              <w:rPr>
                <w:b/>
              </w:rPr>
              <w:t>Libellé</w:t>
            </w:r>
          </w:p>
        </w:tc>
        <w:tc>
          <w:tcPr>
            <w:tcW w:type="dxa" w:w="2160"/>
          </w:tcPr>
          <w:p>
            <w:r>
              <w:rPr>
                <w:b/>
              </w:rPr>
              <w:t>Débit</w:t>
            </w:r>
          </w:p>
        </w:tc>
        <w:tc>
          <w:tcPr>
            <w:tcW w:type="dxa" w:w="2160"/>
          </w:tcPr>
          <w:p>
            <w:r>
              <w:rPr>
                <w:b/>
              </w:rPr>
              <w:t>Crédit</w:t>
            </w:r>
          </w:p>
        </w:tc>
      </w:tr>
      <w:tr>
        <w:tc>
          <w:tcPr>
            <w:tcW w:type="dxa" w:w="2160"/>
          </w:tcPr>
          <w:p>
            <w:r>
              <w:t>521</w:t>
            </w:r>
          </w:p>
        </w:tc>
        <w:tc>
          <w:tcPr>
            <w:tcW w:type="dxa" w:w="2160"/>
          </w:tcPr>
          <w:p>
            <w:r>
              <w:t>Banque principale</w:t>
            </w:r>
          </w:p>
        </w:tc>
        <w:tc>
          <w:tcPr>
            <w:tcW w:type="dxa" w:w="2160"/>
          </w:tcPr>
          <w:p>
            <w:r>
              <w:t>472 000</w:t>
            </w:r>
          </w:p>
        </w:tc>
        <w:tc>
          <w:tcPr>
            <w:tcW w:type="dxa" w:w="2160"/>
          </w:tcPr>
          <w:p>
            <w:r/>
          </w:p>
        </w:tc>
      </w:tr>
      <w:tr>
        <w:tc>
          <w:tcPr>
            <w:tcW w:type="dxa" w:w="2160"/>
          </w:tcPr>
          <w:p>
            <w:r>
              <w:t>411</w:t>
            </w:r>
          </w:p>
        </w:tc>
        <w:tc>
          <w:tcPr>
            <w:tcW w:type="dxa" w:w="2160"/>
          </w:tcPr>
          <w:p>
            <w:r>
              <w:t>Clients</w:t>
            </w:r>
          </w:p>
        </w:tc>
        <w:tc>
          <w:tcPr>
            <w:tcW w:type="dxa" w:w="2160"/>
          </w:tcPr>
          <w:p>
            <w:r/>
          </w:p>
        </w:tc>
        <w:tc>
          <w:tcPr>
            <w:tcW w:type="dxa" w:w="2160"/>
          </w:tcPr>
          <w:p>
            <w:r>
              <w:t>472 000</w:t>
            </w:r>
          </w:p>
        </w:tc>
      </w:tr>
    </w:tbl>
    <w:p>
      <w:r/>
      <w:r>
        <w:rPr>
          <w:b/>
        </w:rPr>
        <w:t>Production</w:t>
      </w:r>
      <w:r>
        <w:t xml:space="preserve"> : OF-2026-0151-CONS (154 700 / 154 700) et OF-2026-0151-PROD (160 000 / 160 000).</w:t>
      </w:r>
    </w:p>
    <w:p>
      <w:r/>
      <w:r>
        <w:rPr>
          <w:b/>
        </w:rPr>
        <w:t>Lettrage</w:t>
      </w:r>
      <w:r>
        <w:t xml:space="preserve"> : les deux lignes 411 (facture + règlement) portent la lettre </w:t>
      </w:r>
      <w:r>
        <w:rPr>
          <w:b/>
        </w:rPr>
        <w:t>« D »</w:t>
      </w:r>
      <w:r>
        <w:t xml:space="preserve"> — compte client lettré ✔.</w:t>
      </w:r>
    </w:p>
    <w:p>
      <w:pPr>
        <w:pStyle w:val="Heading2"/>
      </w:pPr>
      <w:r>
        <w:t>17. Encaissement</w:t>
      </w:r>
    </w:p>
    <w:p>
      <w:r>
        <w:t xml:space="preserve">ENC-2026-012 · virement bancaire · Compte Coris Bank · 472 000 F · référence </w:t>
      </w:r>
      <w:r>
        <w:rPr>
          <w:b/>
        </w:rPr>
        <w:t>VIR-TEST-GUIDE-001</w:t>
      </w:r>
      <w:r>
        <w:t xml:space="preserve"> · imputation intégrale sur FA-2026-018 · solde restant 0 · facture </w:t>
      </w:r>
      <w:r>
        <w:rPr>
          <w:b/>
        </w:rPr>
        <w:t>Payée</w:t>
      </w:r>
      <w:r>
        <w:t xml:space="preserve"> et </w:t>
      </w:r>
      <w:r>
        <w:rPr>
          <w:b/>
        </w:rPr>
        <w:t>verrouillée</w:t>
      </w:r>
      <w:r>
        <w:t xml:space="preserve"> (toute re-validation renvoie 403).</w:t>
      </w:r>
    </w:p>
    <w:p>
      <w:pPr>
        <w:pStyle w:val="Heading2"/>
      </w:pPr>
      <w:r>
        <w:t>18–19. Anomalies détectées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N°</w:t>
            </w:r>
          </w:p>
        </w:tc>
        <w:tc>
          <w:tcPr>
            <w:tcW w:type="dxa" w:w="960"/>
          </w:tcPr>
          <w:p>
            <w:r>
              <w:rPr>
                <w:b/>
              </w:rPr>
              <w:t>Module</w:t>
            </w:r>
          </w:p>
        </w:tc>
        <w:tc>
          <w:tcPr>
            <w:tcW w:type="dxa" w:w="960"/>
          </w:tcPr>
          <w:p>
            <w:r>
              <w:rPr>
                <w:b/>
              </w:rPr>
              <w:t>Étape</w:t>
            </w:r>
          </w:p>
        </w:tc>
        <w:tc>
          <w:tcPr>
            <w:tcW w:type="dxa" w:w="960"/>
          </w:tcPr>
          <w:p>
            <w:r>
              <w:rPr>
                <w:b/>
              </w:rPr>
              <w:t>Anomalie</w:t>
            </w:r>
          </w:p>
        </w:tc>
        <w:tc>
          <w:tcPr>
            <w:tcW w:type="dxa" w:w="960"/>
          </w:tcPr>
          <w:p>
            <w:r>
              <w:rPr>
                <w:b/>
              </w:rPr>
              <w:t>Attendu</w:t>
            </w:r>
          </w:p>
        </w:tc>
        <w:tc>
          <w:tcPr>
            <w:tcW w:type="dxa" w:w="960"/>
          </w:tcPr>
          <w:p>
            <w:r>
              <w:rPr>
                <w:b/>
              </w:rPr>
              <w:t>Obtenu</w:t>
            </w:r>
          </w:p>
        </w:tc>
        <w:tc>
          <w:tcPr>
            <w:tcW w:type="dxa" w:w="960"/>
          </w:tcPr>
          <w:p>
            <w:r>
              <w:rPr>
                <w:b/>
              </w:rPr>
              <w:t>Gravité</w:t>
            </w:r>
          </w:p>
        </w:tc>
        <w:tc>
          <w:tcPr>
            <w:tcW w:type="dxa" w:w="960"/>
          </w:tcPr>
          <w:p>
            <w:r>
              <w:rPr>
                <w:b/>
              </w:rPr>
              <w:t>Recommandation</w:t>
            </w:r>
          </w:p>
        </w:tc>
        <w:tc>
          <w:tcPr>
            <w:tcW w:type="dxa" w:w="960"/>
          </w:tcPr>
          <w:p>
            <w:r>
              <w:rPr>
                <w:b/>
              </w:rPr>
              <w:t>Statut</w:t>
            </w:r>
          </w:p>
        </w:tc>
      </w:tr>
      <w:tr>
        <w:tc>
          <w:tcPr>
            <w:tcW w:type="dxa" w:w="960"/>
          </w:tcPr>
          <w:p>
            <w:r>
              <w:t>A1</w:t>
            </w:r>
          </w:p>
        </w:tc>
        <w:tc>
          <w:tcPr>
            <w:tcW w:type="dxa" w:w="960"/>
          </w:tcPr>
          <w:p>
            <w:r>
              <w:t>Production/Coût</w:t>
            </w:r>
          </w:p>
        </w:tc>
        <w:tc>
          <w:tcPr>
            <w:tcW w:type="dxa" w:w="960"/>
          </w:tcPr>
          <w:p>
            <w:r>
              <w:t>Clôture OF</w:t>
            </w:r>
          </w:p>
        </w:tc>
        <w:tc>
          <w:tcPr>
            <w:tcW w:type="dxa" w:w="960"/>
          </w:tcPr>
          <w:p>
            <w:r>
              <w:t xml:space="preserve">Coût matière = conso bobine </w:t>
            </w:r>
            <w:r>
              <w:rPr>
                <w:b/>
              </w:rPr>
              <w:t>+</w:t>
            </w:r>
            <w:r>
              <w:t xml:space="preserve"> backflush BOM de la même matière (154 700 + 148 860)</w:t>
            </w:r>
          </w:p>
        </w:tc>
        <w:tc>
          <w:tcPr>
            <w:tcW w:type="dxa" w:w="960"/>
          </w:tcPr>
          <w:p>
            <w:r>
              <w:t>Matière comptée une fois (~154 700)</w:t>
            </w:r>
          </w:p>
        </w:tc>
        <w:tc>
          <w:tcPr>
            <w:tcW w:type="dxa" w:w="960"/>
          </w:tcPr>
          <w:p>
            <w:r>
              <w:t>303 560</w:t>
            </w:r>
          </w:p>
        </w:tc>
        <w:tc>
          <w:tcPr>
            <w:tcW w:type="dxa" w:w="960"/>
          </w:tcPr>
          <w:p>
            <w:r/>
            <w:r>
              <w:rPr>
                <w:b/>
              </w:rPr>
              <w:t>Majeure</w:t>
            </w:r>
            <w:r/>
          </w:p>
        </w:tc>
        <w:tc>
          <w:tcPr>
            <w:tcW w:type="dxa" w:w="960"/>
          </w:tcPr>
          <w:p>
            <w:r>
              <w:t>Ne compter qu'un des deux flux quand bobine et composant BOM tracent la même matière</w:t>
            </w:r>
          </w:p>
        </w:tc>
        <w:tc>
          <w:tcPr>
            <w:tcW w:type="dxa" w:w="960"/>
          </w:tcPr>
          <w:p>
            <w:r/>
            <w:r>
              <w:rPr>
                <w:b/>
              </w:rPr>
              <w:t>CORRIGÉE le 14/07/2026</w:t>
            </w:r>
            <w:r>
              <w:t xml:space="preserve"> — le backflush des produits déjà tracés par bobine est exclu du coût (réel bobine prioritaire) ; OF-2026-0151 recalculé : matière 154 700, total 174 700 ; test de non-régression ProductionCostDedupTest</w:t>
            </w:r>
          </w:p>
        </w:tc>
      </w:tr>
      <w:tr>
        <w:tc>
          <w:tcPr>
            <w:tcW w:type="dxa" w:w="960"/>
          </w:tcPr>
          <w:p>
            <w:r>
              <w:t>A2</w:t>
            </w:r>
          </w:p>
        </w:tc>
        <w:tc>
          <w:tcPr>
            <w:tcW w:type="dxa" w:w="960"/>
          </w:tcPr>
          <w:p>
            <w:r>
              <w:t>Production/Droits</w:t>
            </w:r>
          </w:p>
        </w:tc>
        <w:tc>
          <w:tcPr>
            <w:tcW w:type="dxa" w:w="960"/>
          </w:tcPr>
          <w:p>
            <w:r>
              <w:t>Déclaration</w:t>
            </w:r>
          </w:p>
        </w:tc>
        <w:tc>
          <w:tcPr>
            <w:tcW w:type="dxa" w:w="960"/>
          </w:tcPr>
          <w:p>
            <w:r>
              <w:t xml:space="preserve">L'opérateur (production.declare) reçoit </w:t>
            </w:r>
            <w:r>
              <w:rPr>
                <w:b/>
              </w:rPr>
              <w:t>403</w:t>
            </w:r>
            <w:r>
              <w:t xml:space="preserve"> sur consommation/déclaration/chutes (routes exigent production.update)</w:t>
            </w:r>
          </w:p>
        </w:tc>
        <w:tc>
          <w:tcPr>
            <w:tcW w:type="dxa" w:w="960"/>
          </w:tcPr>
          <w:p>
            <w:r>
              <w:t>Opérateur déclare sa production</w:t>
            </w:r>
          </w:p>
        </w:tc>
        <w:tc>
          <w:tcPr>
            <w:tcW w:type="dxa" w:w="960"/>
          </w:tcPr>
          <w:p>
            <w:r>
              <w:t>Seul chef production/atelier peut</w:t>
            </w:r>
          </w:p>
        </w:tc>
        <w:tc>
          <w:tcPr>
            <w:tcW w:type="dxa" w:w="960"/>
          </w:tcPr>
          <w:p>
            <w:r>
              <w:t>Moyenne</w:t>
            </w:r>
          </w:p>
        </w:tc>
        <w:tc>
          <w:tcPr>
            <w:tcW w:type="dxa" w:w="960"/>
          </w:tcPr>
          <w:p>
            <w:r>
              <w:t>Ouvrir consume/output/waste à production.declare</w:t>
            </w:r>
          </w:p>
        </w:tc>
        <w:tc>
          <w:tcPr>
            <w:tcW w:type="dxa" w:w="960"/>
          </w:tcPr>
          <w:p>
            <w:r>
              <w:t>À corriger</w:t>
            </w:r>
          </w:p>
        </w:tc>
      </w:tr>
      <w:tr>
        <w:tc>
          <w:tcPr>
            <w:tcW w:type="dxa" w:w="960"/>
          </w:tcPr>
          <w:p>
            <w:r>
              <w:t>A3</w:t>
            </w:r>
          </w:p>
        </w:tc>
        <w:tc>
          <w:tcPr>
            <w:tcW w:type="dxa" w:w="960"/>
          </w:tcPr>
          <w:p>
            <w:r>
              <w:t>Qualité/Droits</w:t>
            </w:r>
          </w:p>
        </w:tc>
        <w:tc>
          <w:tcPr>
            <w:tcW w:type="dxa" w:w="960"/>
          </w:tcPr>
          <w:p>
            <w:r>
              <w:t>Contrôle qualité OF</w:t>
            </w:r>
          </w:p>
        </w:tc>
        <w:tc>
          <w:tcPr>
            <w:tcW w:type="dxa" w:w="960"/>
          </w:tcPr>
          <w:p>
            <w:r>
              <w:t xml:space="preserve">Le responsable qualité reçoit </w:t>
            </w:r>
            <w:r>
              <w:rPr>
                <w:b/>
              </w:rPr>
              <w:t>403</w:t>
            </w:r>
            <w:r>
              <w:t xml:space="preserve"> sur le QC de l'OF (exige production.update)</w:t>
            </w:r>
          </w:p>
        </w:tc>
        <w:tc>
          <w:tcPr>
            <w:tcW w:type="dxa" w:w="960"/>
          </w:tcPr>
          <w:p>
            <w:r>
              <w:t>Qualité saisit le contrôle</w:t>
            </w:r>
          </w:p>
        </w:tc>
        <w:tc>
          <w:tcPr>
            <w:tcW w:type="dxa" w:w="960"/>
          </w:tcPr>
          <w:p>
            <w:r>
              <w:t>Fait par la production</w:t>
            </w:r>
          </w:p>
        </w:tc>
        <w:tc>
          <w:tcPr>
            <w:tcW w:type="dxa" w:w="960"/>
          </w:tcPr>
          <w:p>
            <w:r>
              <w:t>Moyenne</w:t>
            </w:r>
          </w:p>
        </w:tc>
        <w:tc>
          <w:tcPr>
            <w:tcW w:type="dxa" w:w="960"/>
          </w:tcPr>
          <w:p>
            <w:r>
              <w:t>Permission qualité dédiée sur ProductionQualityController</w:t>
            </w:r>
          </w:p>
        </w:tc>
        <w:tc>
          <w:tcPr>
            <w:tcW w:type="dxa" w:w="960"/>
          </w:tcPr>
          <w:p>
            <w:r>
              <w:t>À corriger</w:t>
            </w:r>
          </w:p>
        </w:tc>
      </w:tr>
      <w:tr>
        <w:tc>
          <w:tcPr>
            <w:tcW w:type="dxa" w:w="960"/>
          </w:tcPr>
          <w:p>
            <w:r>
              <w:t>A4</w:t>
            </w:r>
          </w:p>
        </w:tc>
        <w:tc>
          <w:tcPr>
            <w:tcW w:type="dxa" w:w="960"/>
          </w:tcPr>
          <w:p>
            <w:r>
              <w:t>Stock</w:t>
            </w:r>
          </w:p>
        </w:tc>
        <w:tc>
          <w:tcPr>
            <w:tcW w:type="dxa" w:w="960"/>
          </w:tcPr>
          <w:p>
            <w:r>
              <w:t>Réservation matière</w:t>
            </w:r>
          </w:p>
        </w:tc>
        <w:tc>
          <w:tcPr>
            <w:tcW w:type="dxa" w:w="960"/>
          </w:tcPr>
          <w:p>
            <w:r>
              <w:t>L'« allocation matière » est un statut logique ; aucun poids de bobine n'est réservé fermement avant lancement (pas de blocage inter-OF)</w:t>
            </w:r>
          </w:p>
        </w:tc>
        <w:tc>
          <w:tcPr>
            <w:tcW w:type="dxa" w:w="960"/>
          </w:tcPr>
          <w:p>
            <w:r>
              <w:t>Réservation dure de la matière</w:t>
            </w:r>
          </w:p>
        </w:tc>
        <w:tc>
          <w:tcPr>
            <w:tcW w:type="dxa" w:w="960"/>
          </w:tcPr>
          <w:p>
            <w:r>
              <w:t>Statut seul</w:t>
            </w:r>
          </w:p>
        </w:tc>
        <w:tc>
          <w:tcPr>
            <w:tcW w:type="dxa" w:w="960"/>
          </w:tcPr>
          <w:p>
            <w:r>
              <w:t>Moyenne</w:t>
            </w:r>
          </w:p>
        </w:tc>
        <w:tc>
          <w:tcPr>
            <w:tcW w:type="dxa" w:w="960"/>
          </w:tcPr>
          <w:p>
            <w:r>
              <w:t>Réservation ferme du poids bobine à l'allocation</w:t>
            </w:r>
          </w:p>
        </w:tc>
        <w:tc>
          <w:tcPr>
            <w:tcW w:type="dxa" w:w="960"/>
          </w:tcPr>
          <w:p>
            <w:r>
              <w:t>À évaluer</w:t>
            </w:r>
          </w:p>
        </w:tc>
      </w:tr>
      <w:tr>
        <w:tc>
          <w:tcPr>
            <w:tcW w:type="dxa" w:w="960"/>
          </w:tcPr>
          <w:p>
            <w:r>
              <w:t>A5</w:t>
            </w:r>
          </w:p>
        </w:tc>
        <w:tc>
          <w:tcPr>
            <w:tcW w:type="dxa" w:w="960"/>
          </w:tcPr>
          <w:p>
            <w:r>
              <w:t>Production</w:t>
            </w:r>
          </w:p>
        </w:tc>
        <w:tc>
          <w:tcPr>
            <w:tcW w:type="dxa" w:w="960"/>
          </w:tcPr>
          <w:p>
            <w:r>
              <w:t>Déclaration</w:t>
            </w:r>
          </w:p>
        </w:tc>
        <w:tc>
          <w:tcPr>
            <w:tcW w:type="dxa" w:w="960"/>
          </w:tcPr>
          <w:p>
            <w:r>
              <w:t>Pas de double unité feuilles + ml sur la déclaration : saisie en unité de vente (ml), les feuilles passent en notes/lignes de coupe</w:t>
            </w:r>
          </w:p>
        </w:tc>
        <w:tc>
          <w:tcPr>
            <w:tcW w:type="dxa" w:w="960"/>
          </w:tcPr>
          <w:p>
            <w:r>
              <w:t>Saisie 20 feuilles × 5 m native</w:t>
            </w:r>
          </w:p>
        </w:tc>
        <w:tc>
          <w:tcPr>
            <w:tcW w:type="dxa" w:w="960"/>
          </w:tcPr>
          <w:p>
            <w:r>
              <w:t>quantity=100 ml + note</w:t>
            </w:r>
          </w:p>
        </w:tc>
        <w:tc>
          <w:tcPr>
            <w:tcW w:type="dxa" w:w="960"/>
          </w:tcPr>
          <w:p>
            <w:r>
              <w:t>Mineure</w:t>
            </w:r>
          </w:p>
        </w:tc>
        <w:tc>
          <w:tcPr>
            <w:tcW w:type="dxa" w:w="960"/>
          </w:tcPr>
          <w:p>
            <w:r>
              <w:t>Champ « nb feuilles × longueur » sur la déclaration alimentant quantité et total_meters</w:t>
            </w:r>
          </w:p>
        </w:tc>
        <w:tc>
          <w:tcPr>
            <w:tcW w:type="dxa" w:w="960"/>
          </w:tcPr>
          <w:p>
            <w:r>
              <w:t>À évaluer</w:t>
            </w:r>
          </w:p>
        </w:tc>
      </w:tr>
      <w:tr>
        <w:tc>
          <w:tcPr>
            <w:tcW w:type="dxa" w:w="960"/>
          </w:tcPr>
          <w:p>
            <w:r>
              <w:t>A6</w:t>
            </w:r>
          </w:p>
        </w:tc>
        <w:tc>
          <w:tcPr>
            <w:tcW w:type="dxa" w:w="960"/>
          </w:tcPr>
          <w:p>
            <w:r>
              <w:t>Audit</w:t>
            </w:r>
          </w:p>
        </w:tc>
        <w:tc>
          <w:tcPr>
            <w:tcW w:type="dxa" w:w="960"/>
          </w:tcPr>
          <w:p>
            <w:r>
              <w:t>OF</w:t>
            </w:r>
          </w:p>
        </w:tc>
        <w:tc>
          <w:tcPr>
            <w:tcW w:type="dxa" w:w="960"/>
          </w:tcPr>
          <w:p>
            <w:r>
              <w:t>Les transitions de statut OF ne sont pas journalisées dans audit_logs (devis/commande/facture le sont)</w:t>
            </w:r>
          </w:p>
        </w:tc>
        <w:tc>
          <w:tcPr>
            <w:tcW w:type="dxa" w:w="960"/>
          </w:tcPr>
          <w:p>
            <w:r>
              <w:t>Historique OF dans l'audit</w:t>
            </w:r>
          </w:p>
        </w:tc>
        <w:tc>
          <w:tcPr>
            <w:tcW w:type="dxa" w:w="960"/>
          </w:tcPr>
          <w:p>
            <w:r>
              <w:t>Workflow + notifications seulement</w:t>
            </w:r>
          </w:p>
        </w:tc>
        <w:tc>
          <w:tcPr>
            <w:tcW w:type="dxa" w:w="960"/>
          </w:tcPr>
          <w:p>
            <w:r>
              <w:t>Mineure</w:t>
            </w:r>
          </w:p>
        </w:tc>
        <w:tc>
          <w:tcPr>
            <w:tcW w:type="dxa" w:w="960"/>
          </w:tcPr>
          <w:p>
            <w:r>
              <w:t>Ajouter l'observer d'audit sur ProductionOrder</w:t>
            </w:r>
          </w:p>
        </w:tc>
        <w:tc>
          <w:tcPr>
            <w:tcW w:type="dxa" w:w="960"/>
          </w:tcPr>
          <w:p>
            <w:r>
              <w:t>À évaluer</w:t>
            </w:r>
          </w:p>
        </w:tc>
      </w:tr>
      <w:tr>
        <w:tc>
          <w:tcPr>
            <w:tcW w:type="dxa" w:w="960"/>
          </w:tcPr>
          <w:p>
            <w:r>
              <w:t>A7</w:t>
            </w:r>
          </w:p>
        </w:tc>
        <w:tc>
          <w:tcPr>
            <w:tcW w:type="dxa" w:w="960"/>
          </w:tcPr>
          <w:p>
            <w:r>
              <w:t>Ventes</w:t>
            </w:r>
          </w:p>
        </w:tc>
        <w:tc>
          <w:tcPr>
            <w:tcW w:type="dxa" w:w="960"/>
          </w:tcPr>
          <w:p>
            <w:r>
              <w:t>Envoi facture</w:t>
            </w:r>
          </w:p>
        </w:tc>
        <w:tc>
          <w:tcPr>
            <w:tcW w:type="dxa" w:w="960"/>
          </w:tcPr>
          <w:p>
            <w:r>
              <w:t>Envoi e-mail non testé (pas de SMTP local) ; le statut « Envoyée » est posé à la validation</w:t>
            </w:r>
          </w:p>
        </w:tc>
        <w:tc>
          <w:tcPr>
            <w:tcW w:type="dxa" w:w="960"/>
          </w:tcPr>
          <w:p>
            <w:r>
              <w:t>Envoi + accusé</w:t>
            </w:r>
          </w:p>
        </w:tc>
        <w:tc>
          <w:tcPr>
            <w:tcW w:type="dxa" w:w="960"/>
          </w:tcPr>
          <w:p>
            <w:r>
              <w:t>Statut sans envoi réel</w:t>
            </w:r>
          </w:p>
        </w:tc>
        <w:tc>
          <w:tcPr>
            <w:tcW w:type="dxa" w:w="960"/>
          </w:tcPr>
          <w:p>
            <w:r>
              <w:t>Mineure</w:t>
            </w:r>
          </w:p>
        </w:tc>
        <w:tc>
          <w:tcPr>
            <w:tcW w:type="dxa" w:w="960"/>
          </w:tcPr>
          <w:p>
            <w:r>
              <w:t>Tester en environnement doté d'un SMTP</w:t>
            </w:r>
          </w:p>
        </w:tc>
        <w:tc>
          <w:tcPr>
            <w:tcW w:type="dxa" w:w="960"/>
          </w:tcPr>
          <w:p>
            <w:r>
              <w:t>Hors périmètre local</w:t>
            </w:r>
          </w:p>
        </w:tc>
      </w:tr>
      <w:tr>
        <w:tc>
          <w:tcPr>
            <w:tcW w:type="dxa" w:w="960"/>
          </w:tcPr>
          <w:p>
            <w:r>
              <w:t>A8</w:t>
            </w:r>
          </w:p>
        </w:tc>
        <w:tc>
          <w:tcPr>
            <w:tcW w:type="dxa" w:w="960"/>
          </w:tcPr>
          <w:p>
            <w:r>
              <w:t>Ventes/Droits</w:t>
            </w:r>
          </w:p>
        </w:tc>
        <w:tc>
          <w:tcPr>
            <w:tcW w:type="dxa" w:w="960"/>
          </w:tcPr>
          <w:p>
            <w:r>
              <w:t>Création BL/facture</w:t>
            </w:r>
          </w:p>
        </w:tc>
        <w:tc>
          <w:tcPr>
            <w:tcW w:type="dxa" w:w="960"/>
          </w:tcPr>
          <w:p>
            <w:r>
              <w:t>Créer le BL et générer la facture depuis le BL exigent orders.edit_validated / policy update (direction), pas le commercial ni le magasinier ni le comptable</w:t>
            </w:r>
          </w:p>
        </w:tc>
        <w:tc>
          <w:tcPr>
            <w:tcW w:type="dxa" w:w="960"/>
          </w:tcPr>
          <w:p>
            <w:r>
              <w:t>Rôles métier dédiés</w:t>
            </w:r>
          </w:p>
        </w:tc>
        <w:tc>
          <w:tcPr>
            <w:tcW w:type="dxa" w:w="960"/>
          </w:tcPr>
          <w:p>
            <w:r>
              <w:t>Direction requise</w:t>
            </w:r>
          </w:p>
        </w:tc>
        <w:tc>
          <w:tcPr>
            <w:tcW w:type="dxa" w:w="960"/>
          </w:tcPr>
          <w:p>
            <w:r>
              <w:t>Info</w:t>
            </w:r>
          </w:p>
        </w:tc>
        <w:tc>
          <w:tcPr>
            <w:tcW w:type="dxa" w:w="960"/>
          </w:tcPr>
          <w:p>
            <w:r>
              <w:t>Confirmer la répartition voulue ou l'assouplir</w:t>
            </w:r>
          </w:p>
        </w:tc>
        <w:tc>
          <w:tcPr>
            <w:tcW w:type="dxa" w:w="960"/>
          </w:tcPr>
          <w:p>
            <w:r>
              <w:t>À arbitrer</w:t>
            </w:r>
          </w:p>
        </w:tc>
      </w:tr>
      <w:tr>
        <w:tc>
          <w:tcPr>
            <w:tcW w:type="dxa" w:w="960"/>
          </w:tcPr>
          <w:p>
            <w:r>
              <w:t>A9</w:t>
            </w:r>
          </w:p>
        </w:tc>
        <w:tc>
          <w:tcPr>
            <w:tcW w:type="dxa" w:w="960"/>
          </w:tcPr>
          <w:p>
            <w:r>
              <w:t>Infra test</w:t>
            </w:r>
          </w:p>
        </w:tc>
        <w:tc>
          <w:tcPr>
            <w:tcW w:type="dxa" w:w="960"/>
          </w:tcPr>
          <w:p>
            <w:r>
              <w:t>Devis</w:t>
            </w:r>
          </w:p>
        </w:tc>
        <w:tc>
          <w:tcPr>
            <w:tcW w:type="dxa" w:w="960"/>
          </w:tcPr>
          <w:p>
            <w:r>
              <w:t>Une expiration de session (proxy navigateur) a fait échouer la 1ʳᵉ soumission (aucun enregistrement créé — echec propre)</w:t>
            </w:r>
          </w:p>
        </w:tc>
        <w:tc>
          <w:tcPr>
            <w:tcW w:type="dxa" w:w="960"/>
          </w:tcPr>
          <w:p>
            <w:r>
              <w:t>—</w:t>
            </w:r>
          </w:p>
        </w:tc>
        <w:tc>
          <w:tcPr>
            <w:tcW w:type="dxa" w:w="960"/>
          </w:tcPr>
          <w:p>
            <w:r>
              <w:t>Reconnexion puis succès</w:t>
            </w:r>
          </w:p>
        </w:tc>
        <w:tc>
          <w:tcPr>
            <w:tcW w:type="dxa" w:w="960"/>
          </w:tcPr>
          <w:p>
            <w:r>
              <w:t>Info</w:t>
            </w:r>
          </w:p>
        </w:tc>
        <w:tc>
          <w:tcPr>
            <w:tcW w:type="dxa" w:w="960"/>
          </w:tcPr>
          <w:p>
            <w:r>
              <w:t>—</w:t>
            </w:r>
          </w:p>
        </w:tc>
        <w:tc>
          <w:tcPr>
            <w:tcW w:type="dxa" w:w="960"/>
          </w:tcPr>
          <w:p>
            <w:r>
              <w:t>Clos</w:t>
            </w:r>
          </w:p>
        </w:tc>
      </w:tr>
    </w:tbl>
    <w:p>
      <w:pPr>
        <w:pStyle w:val="Heading2"/>
      </w:pPr>
      <w:r>
        <w:t>20. Recommandations</w:t>
      </w:r>
    </w:p>
    <w:p>
      <w:pPr>
        <w:pStyle w:val="ListNumber"/>
      </w:pPr>
      <w:r>
        <w:t>Corriger A1 (coût de revient) en priorité — impact direct sur la marge industrielle.</w:t>
      </w:r>
    </w:p>
    <w:p>
      <w:pPr>
        <w:pStyle w:val="ListNumber"/>
      </w:pPr>
      <w:r>
        <w:t>Revoir la matrice des droits d'exécution atelier et de qualité (A2, A3).</w:t>
      </w:r>
    </w:p>
    <w:p>
      <w:pPr>
        <w:pStyle w:val="ListNumber"/>
      </w:pPr>
      <w:r>
        <w:t>Étudier la réservation ferme de bobine (A4) et la saisie feuilles × longueur (A5).</w:t>
      </w:r>
    </w:p>
    <w:p>
      <w:pPr>
        <w:pStyle w:val="ListNumber"/>
      </w:pPr>
      <w:r>
        <w:t>Étendre l'audit aux OF (A6) et tester l'envoi e-mail en pré-production (A7).</w:t>
      </w:r>
    </w:p>
    <w:p>
      <w:pPr>
        <w:pStyle w:val="Heading2"/>
      </w:pPr>
      <w:r>
        <w:t>21. Conclusion</w:t>
      </w:r>
    </w:p>
    <w:p>
      <w:r>
        <w:t xml:space="preserve">Le cycle Make-to-Order complet est </w:t>
      </w:r>
      <w:r>
        <w:rPr>
          <w:b/>
        </w:rPr>
        <w:t>opérationnel de bout en bout</w:t>
      </w:r>
      <w:r>
        <w:t xml:space="preserve"> dans A3/IBOA pour OA METAL INDUSTRIE : chaîne documentaire liée, quantités et montants exacts, TVA correcte, stock matière décrémenté, produit fini entré puis sorti, bobine traçable jusqu'au fournisseur, contrôle qualité bloquant, chutes et rebuts enregistrés, OF clôturé avec coût, BL décrémentant le stock, facture conforme au BL, paiement soldant la facture, encours client à jour, écritures équilibrées, lettrage automatique, historique horodaté et facture réglée verrouillée. Les réserves listées ne bloquent pas l'exploitation du scénario nominal mais doivent être traitées avant une mise en production complète (notamment A1).</w:t>
      </w:r>
    </w:p>
    <w:p>
      <w:pPr>
        <w:pStyle w:val="Heading2"/>
      </w:pPr>
      <w:r>
        <w:t>22. Décision finale</w:t>
      </w:r>
    </w:p>
    <w:p>
      <w:pPr>
        <w:ind w:left="400"/>
      </w:pPr>
      <w:r>
        <w:rPr>
          <w:i/>
        </w:rPr>
      </w:r>
      <w:r>
        <w:rPr>
          <w:b/>
          <w:i/>
        </w:rPr>
        <w:t>TEST RÉUSSI AVEC RÉSERVES</w:t>
      </w:r>
      <w:r>
        <w:rPr>
          <w:i/>
        </w:rPr>
        <w:t xml:space="preserve"> (1 anomalie majeure — coût matière ; 3 moyennes — droits atelier/qualité et réservation matière ; 5 mineures/informatives).</w:t>
      </w:r>
    </w:p>
    <w:p>
      <w:r>
        <w:t>____________________________________________________________</w:t>
      </w:r>
    </w:p>
    <w:p>
      <w:pPr>
        <w:pStyle w:val="Heading3"/>
      </w:pPr>
      <w:r>
        <w:t>Note sur les captures d'écran</w:t>
      </w:r>
    </w:p>
    <w:p>
      <w:r>
        <w:t xml:space="preserve">Le test a été piloté dans le navigateur intégré ; les vérifications visuelles ont été faites en séance mais </w:t>
      </w:r>
      <w:r>
        <w:rPr>
          <w:b/>
        </w:rPr>
        <w:t>l'environnement d'exécution ne permet pas d'exporter les captures en fichiers image</w:t>
      </w:r>
      <w:r>
        <w:t>. Le guide utilisateur référence des emplacements de capture numérotés [Capture NN] avec la description exacte de l'écran à photographier lors d'une passe de documentation sur poste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