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b/>
          <w:bCs/>
          <w:sz w:val="56"/>
          <w:szCs w:val="56"/>
        </w:rPr>
        <w:t xml:space="preserve">ServicePros / DPM</w:t>
      </w:r>
    </w:p>
    <w:p>
      <w:pPr>
        <w:spacing w:after="720"/>
      </w:pPr>
      <w:r>
        <w:rPr>
          <w:color w:val="5F5E5A"/>
          <w:sz w:val="26"/>
          <w:szCs w:val="26"/>
        </w:rPr>
        <w:t xml:space="preserve">Package &amp; perks matrix, plus one-time add-ons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Working draft. Package definitions and the discount-stacking floor are confirmed; several perks are newly proposed and need sign-off before implementation (clearly marked).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Relationship to other documents: </w:t>
      </w:r>
      <w:r>
        <w:rPr>
          <w:sz w:val="22"/>
          <w:szCs w:val="22"/>
        </w:rPr>
        <w:t xml:space="preserve">Builds on dpm_pricing_model_source_of_truth.docx (subscriptions, commission brackets, ceiling packages, discount-unlock bonus). This document adds a third discount layer (time-limited commission-reduction add-ons), a benefits/entitlements matrix across all five packages, and references several provider-retention features discussed but not yet formally specified.</w:t>
      </w:r>
    </w:p>
    <w:p>
      <w:r>
        <w:br w:type="page"/>
      </w:r>
    </w:p>
    <w:p>
      <w:pPr>
        <w:pStyle w:val="Heading1"/>
      </w:pPr>
      <w:r>
        <w:t xml:space="preserve">0. Package numbering, confirmed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Five packages, renumbered here for clarity against everything discussed: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60"/>
        <w:gridCol w:w="1800"/>
        <w:gridCol w:w="2660"/>
      </w:tblGrid>
      <w:tr>
        <w:tc>
          <w:tcPr>
            <w:tcW w:type="dxa" w:w="16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2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8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fee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commission ceiling</w:t>
            </w:r>
          </w:p>
        </w:tc>
      </w:tr>
      <w:tr>
        <w:tc>
          <w:tcPr>
            <w:tcW w:type="dxa" w:w="16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1</w:t>
            </w:r>
          </w:p>
        </w:tc>
        <w:tc>
          <w:tcPr>
            <w:tcW w:type="dxa" w:w="32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 subscription, no ceiling</w:t>
            </w:r>
          </w:p>
        </w:tc>
        <w:tc>
          <w:tcPr>
            <w:tcW w:type="dxa" w:w="18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 99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— standard brackets apply (7.5%–12.75%)</w:t>
            </w:r>
          </w:p>
        </w:tc>
      </w:tr>
      <w:tr>
        <w:tc>
          <w:tcPr>
            <w:tcW w:type="dxa" w:w="16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2</w:t>
            </w:r>
          </w:p>
        </w:tc>
        <w:tc>
          <w:tcPr>
            <w:tcW w:type="dxa" w:w="32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 ceiling</w:t>
            </w:r>
          </w:p>
        </w:tc>
        <w:tc>
          <w:tcPr>
            <w:tcW w:type="dxa" w:w="18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 499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</w:tr>
      <w:tr>
        <w:tc>
          <w:tcPr>
            <w:tcW w:type="dxa" w:w="16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3</w:t>
            </w:r>
          </w:p>
        </w:tc>
        <w:tc>
          <w:tcPr>
            <w:tcW w:type="dxa" w:w="32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9.5% ceiling</w:t>
            </w:r>
          </w:p>
        </w:tc>
        <w:tc>
          <w:tcPr>
            <w:tcW w:type="dxa" w:w="18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 799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9.5%</w:t>
            </w:r>
          </w:p>
        </w:tc>
      </w:tr>
      <w:tr>
        <w:tc>
          <w:tcPr>
            <w:tcW w:type="dxa" w:w="16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4</w:t>
            </w:r>
          </w:p>
        </w:tc>
        <w:tc>
          <w:tcPr>
            <w:tcW w:type="dxa" w:w="32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8.5% ceiling</w:t>
            </w:r>
          </w:p>
        </w:tc>
        <w:tc>
          <w:tcPr>
            <w:tcW w:type="dxa" w:w="18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 1,199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</w:tr>
      <w:tr>
        <w:tc>
          <w:tcPr>
            <w:tcW w:type="dxa" w:w="16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5</w:t>
            </w:r>
          </w:p>
        </w:tc>
        <w:tc>
          <w:tcPr>
            <w:tcW w:type="dxa" w:w="32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7.5% ceiling</w:t>
            </w:r>
          </w:p>
        </w:tc>
        <w:tc>
          <w:tcPr>
            <w:tcW w:type="dxa" w:w="18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 1,699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</w:tr>
    </w:tbl>
    <w:p>
      <w:pPr>
        <w:pBdr>
          <w:bottom w:val="single" w:color="D9D6CC" w:sz="6" w:space="1"/>
        </w:pBdr>
        <w:spacing w:after="240" w:before="120"/>
      </w:pPr>
    </w:p>
    <w:p>
      <w:pPr>
        <w:pStyle w:val="Heading1"/>
      </w:pPr>
      <w:r>
        <w:t xml:space="preserve">1. The three stacking discount layers, and why a floor is required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package can have up to three independent discount mechanisms active on the same sale. Understanding how they stack is essential before any perk table makes sense.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660"/>
      </w:tblGrid>
      <w:tr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triggers it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Ceiling</w:t>
            </w:r>
          </w:p>
        </w:tc>
        <w:tc>
          <w:tcPr>
            <w:tcW w:type="dxa" w:w="44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Automatic for any provider on Package 2–5 — caps the standard bracket rate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Permanent, while subscribed</w:t>
            </w:r>
          </w:p>
        </w:tc>
      </w:tr>
      <w:tr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 Discount-unlock bonus</w:t>
            </w:r>
          </w:p>
        </w:tc>
        <w:tc>
          <w:tcPr>
            <w:tcW w:type="dxa" w:w="44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Provider gives customers an exact 10% discount, with qualifying sales history (see pricing source-of-truth doc, Section 4–5)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Per-sale, whenever the conditions are met</w:t>
            </w:r>
          </w:p>
        </w:tc>
      </w:tr>
      <w:tr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Temporary commission-reduction add-on (NEW, this document)</w:t>
            </w:r>
          </w:p>
        </w:tc>
        <w:tc>
          <w:tcPr>
            <w:tcW w:type="dxa" w:w="44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Provider purchases or is granted a time-limited extra reduction</w:t>
            </w:r>
          </w:p>
        </w:tc>
        <w:tc>
          <w:tcPr>
            <w:tcW w:type="dxa" w:w="26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3–6 months depending on the specific add-on</w:t>
            </w:r>
          </w:p>
        </w:tc>
      </w:tr>
    </w:tbl>
    <w:p>
      <w:pPr>
        <w:pBdr>
          <w:left w:val="single" w:color="BA7517" w:sz="18"/>
        </w:pBdr>
        <w:shd w:fill="FAEEDA" w:val="clear"/>
        <w:spacing w:after="0" w:before="160"/>
        <w:ind w:left="100"/>
      </w:pPr>
      <w:r>
        <w:rPr>
          <w:b/>
          <w:bCs/>
          <w:color w:val="633806"/>
          <w:sz w:val="19"/>
          <w:szCs w:val="19"/>
        </w:rPr>
        <w:t xml:space="preserve">RISK FOUND — Stacking all three layers can drive the rate to zero or negative — verified</w:t>
      </w:r>
    </w:p>
    <w:p>
      <w:pPr>
        <w:shd w:fill="FAEEDA" w:val="clear"/>
        <w:spacing w:after="200"/>
        <w:ind w:left="100"/>
      </w:pPr>
      <w:r>
        <w:rPr>
          <w:color w:val="412402"/>
          <w:sz w:val="19"/>
          <w:szCs w:val="19"/>
        </w:rPr>
        <w:t xml:space="preserve">Package 5 (7.5% ceiling) with the discount-unlock bonus active (−4.5pts → 3.0%) and a 6-month −3.5pt temporary add-on active at the same time produces a 7.5% − 4.5% − 3.5% = −0.5% rate — meaning DPM would owe the provider money on every sale rather than collect commission. Package 4's worst case (8.5% − 3.5% − 3.0%) lands at just 2.0%, likely below what covers payment processing costs alone. This was caught by modeling the full stack before writing this document, not discovered after implementation.</w:t>
      </w:r>
    </w:p>
    <w:p>
      <w:pPr>
        <w:pBdr>
          <w:left w:val="single" w:color="0F6E56" w:sz="18"/>
        </w:pBdr>
        <w:shd w:fill="E1F5EE" w:val="clear"/>
        <w:spacing w:after="0" w:before="160"/>
        <w:ind w:left="100"/>
      </w:pPr>
      <w:r>
        <w:rPr>
          <w:b/>
          <w:bCs/>
          <w:color w:val="085041"/>
          <w:sz w:val="19"/>
          <w:szCs w:val="19"/>
        </w:rPr>
        <w:t xml:space="preserve">CONFIRMED — A hard floor rate applies across all three stacked layers</w:t>
      </w:r>
    </w:p>
    <w:p>
      <w:pPr>
        <w:shd w:fill="E1F5EE" w:val="clear"/>
        <w:spacing w:after="200"/>
        <w:ind w:left="100"/>
      </w:pPr>
      <w:r>
        <w:rPr>
          <w:color w:val="04342C"/>
          <w:sz w:val="19"/>
          <w:szCs w:val="19"/>
        </w:rPr>
        <w:t xml:space="preserve">Regardless of how many discount layers are active on a given sale, the effective commission rate shall never fall below a configured floor. The person's stated starting point is 3%. Recommended alternative worth weighing: 4%, since 3% leaves very little margin above typical payment-processing costs (~2.9%) — at the 3% floor, a fully-stacked sale is close to break-even for DPM before accounting for any other operating cost. This is the person's call; both values are shown below so the tradeoff is visible.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700"/>
        <w:gridCol w:w="1900"/>
        <w:gridCol w:w="1500"/>
        <w:gridCol w:w="1300"/>
        <w:gridCol w:w="1300"/>
      </w:tblGrid>
      <w:tr>
        <w:tc>
          <w:tcPr>
            <w:tcW w:type="dxa" w:w="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ceiling</w:t>
            </w:r>
          </w:p>
        </w:tc>
        <w:tc>
          <w:tcPr>
            <w:tcW w:type="dxa" w:w="17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discount-unlock</w:t>
            </w:r>
          </w:p>
        </w:tc>
        <w:tc>
          <w:tcPr>
            <w:tcW w:type="dxa" w:w="1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temp add-on (worst case)</w:t>
            </w:r>
          </w:p>
        </w:tc>
        <w:tc>
          <w:tcPr>
            <w:tcW w:type="dxa" w:w="1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raw worst-case rate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floored at 3%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floored at 4%</w:t>
            </w:r>
          </w:p>
        </w:tc>
      </w:tr>
      <w:tr>
        <w:tc>
          <w:tcPr>
            <w:tcW w:type="dxa" w:w="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(7.5% bracket 1)</w:t>
            </w:r>
          </w:p>
        </w:tc>
        <w:tc>
          <w:tcPr>
            <w:tcW w:type="dxa" w:w="17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−1.0%</w:t>
            </w:r>
          </w:p>
        </w:tc>
        <w:tc>
          <w:tcPr>
            <w:tcW w:type="dxa" w:w="1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</w:tr>
      <w:tr>
        <w:tc>
          <w:tcPr>
            <w:tcW w:type="dxa" w:w="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7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−2.5%</w:t>
            </w:r>
          </w:p>
        </w:tc>
        <w:tc>
          <w:tcPr>
            <w:tcW w:type="dxa" w:w="1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−1.6%</w:t>
            </w:r>
          </w:p>
        </w:tc>
        <w:tc>
          <w:tcPr>
            <w:tcW w:type="dxa" w:w="1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9.5%</w:t>
            </w:r>
          </w:p>
        </w:tc>
        <w:tc>
          <w:tcPr>
            <w:tcW w:type="dxa" w:w="17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−3.0%</w:t>
            </w:r>
          </w:p>
        </w:tc>
        <w:tc>
          <w:tcPr>
            <w:tcW w:type="dxa" w:w="1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−2.0%</w:t>
            </w:r>
          </w:p>
        </w:tc>
        <w:tc>
          <w:tcPr>
            <w:tcW w:type="dxa" w:w="1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</w:tr>
      <w:tr>
        <w:tc>
          <w:tcPr>
            <w:tcW w:type="dxa" w:w="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17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−3.5%</w:t>
            </w:r>
          </w:p>
        </w:tc>
        <w:tc>
          <w:tcPr>
            <w:tcW w:type="dxa" w:w="1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−3.0%</w:t>
            </w:r>
          </w:p>
        </w:tc>
        <w:tc>
          <w:tcPr>
            <w:tcW w:type="dxa" w:w="1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  <w:tc>
          <w:tcPr>
            <w:tcW w:type="dxa" w:w="17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−4.5%</w:t>
            </w:r>
          </w:p>
        </w:tc>
        <w:tc>
          <w:tcPr>
            <w:tcW w:type="dxa" w:w="19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−3.5%</w:t>
            </w:r>
          </w:p>
        </w:tc>
        <w:tc>
          <w:tcPr>
            <w:tcW w:type="dxa" w:w="1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−0.5%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3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4.0%</w:t>
            </w:r>
          </w:p>
        </w:tc>
      </w:tr>
    </w:tbl>
    <w:p>
      <w:pPr>
        <w:pBdr>
          <w:bottom w:val="single" w:color="D9D6CC" w:sz="6" w:space="1"/>
        </w:pBdr>
        <w:spacing w:after="240" w:before="120"/>
      </w:pPr>
    </w:p>
    <w:p>
      <w:pPr>
        <w:pStyle w:val="Heading1"/>
      </w:pPr>
      <w:r>
        <w:t xml:space="preserve">2. Temporary commission-reduction add-ons (one per package)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package has an associated temporary, time-limited extra commission reduction. Unlike the discount-unlock bonus (which is conditional on a real customer discount and sales history), this is granted directly — either purchased by the provider as a one-time add-on, or granted as a retention/rescue perk (Section 4).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3200"/>
      </w:tblGrid>
      <w:tr>
        <w:tc>
          <w:tcPr>
            <w:tcW w:type="dxa" w:w="1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48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  <w:tc>
          <w:tcPr>
            <w:tcW w:type="dxa" w:w="3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−1.0 percentage points, all brackets</w:t>
            </w:r>
          </w:p>
        </w:tc>
        <w:tc>
          <w:tcPr>
            <w:tcW w:type="dxa" w:w="3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months</w:t>
            </w:r>
          </w:p>
        </w:tc>
      </w:tr>
      <w:tr>
        <w:tc>
          <w:tcPr>
            <w:tcW w:type="dxa" w:w="1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−1.6 percentage points, all brackets</w:t>
            </w:r>
          </w:p>
        </w:tc>
        <w:tc>
          <w:tcPr>
            <w:tcW w:type="dxa" w:w="3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months</w:t>
            </w:r>
          </w:p>
        </w:tc>
      </w:tr>
      <w:tr>
        <w:tc>
          <w:tcPr>
            <w:tcW w:type="dxa" w:w="1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−2.0 percentage points, all brackets</w:t>
            </w:r>
          </w:p>
        </w:tc>
        <w:tc>
          <w:tcPr>
            <w:tcW w:type="dxa" w:w="3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months</w:t>
            </w:r>
          </w:p>
        </w:tc>
      </w:tr>
      <w:tr>
        <w:tc>
          <w:tcPr>
            <w:tcW w:type="dxa" w:w="1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8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−3.0 percentage points, all brackets</w:t>
            </w:r>
          </w:p>
        </w:tc>
        <w:tc>
          <w:tcPr>
            <w:tcW w:type="dxa" w:w="3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months</w:t>
            </w:r>
          </w:p>
        </w:tc>
      </w:tr>
      <w:tr>
        <w:tc>
          <w:tcPr>
            <w:tcW w:type="dxa" w:w="1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8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−3.5 percentage points, all brackets</w:t>
            </w:r>
          </w:p>
        </w:tc>
        <w:tc>
          <w:tcPr>
            <w:tcW w:type="dxa" w:w="3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 months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"All brackets" means this reduction applies uniformly to whichever standard bracket rate (or ceiling-capped rate) a given sale would otherwise use — it is a flat point reduction layered on top, not a separate bracket schedule of its own.</w:t>
      </w:r>
    </w:p>
    <w:p>
      <w:pPr>
        <w:pStyle w:val="Heading2"/>
      </w:pPr>
      <w:r>
        <w:t xml:space="preserve">2.1 Purchasable, standalone one-time add-ons (separate from the package perks above)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 addition to the package-linked reductions above, the person has proposed a separate purchasable add-on product — a provider can buy a short-term rate reduction directly, independent of package upgrades. Example pricing discussed: a −3% reduction for R600 expiring in 1.5 months; a −5% reduction for R1,000 expiring in 2.5 months; a −5% reduction for R750 expiring in 0.6 months.</w:t>
      </w:r>
    </w:p>
    <w:p>
      <w:pPr>
        <w:pBdr>
          <w:left w:val="single" w:color="534AB7" w:sz="18"/>
        </w:pBdr>
        <w:shd w:fill="EEEDFE" w:val="clear"/>
        <w:spacing w:after="0" w:before="160"/>
        <w:ind w:left="100"/>
      </w:pPr>
      <w:r>
        <w:rPr>
          <w:b/>
          <w:bCs/>
          <w:color w:val="3C3489"/>
          <w:sz w:val="19"/>
          <w:szCs w:val="19"/>
        </w:rPr>
        <w:t xml:space="preserve">STILL OPEN — Add-on pricing and rules not yet finalized</w:t>
      </w:r>
    </w:p>
    <w:p>
      <w:pPr>
        <w:shd w:fill="EEEDFE" w:val="clear"/>
        <w:spacing w:after="200"/>
        <w:ind w:left="100"/>
      </w:pPr>
      <w:r>
        <w:rPr>
          <w:color w:val="26215C"/>
          <w:sz w:val="19"/>
          <w:szCs w:val="19"/>
        </w:rPr>
        <w:t xml:space="preserve">The person explicitly flagged this as something to “iron out later.” Before implementation, this needs: a confirmed price/discount/duration matrix (the three examples given look like illustrative anchors, not a complete menu), a rule for whether a purchased add-on stacks with the package-linked temporary reduction in Section 2 above (if both can be active at once, the floor in Section 1 becomes even more important to enforce correctly), and whether there's a limit on how many add-ons a provider can stack or queue at once. Do not implement this sub-feature until these are confirmed — the package-linked perks in the rest of this document do not depend on it and can ship independently.</w:t>
      </w:r>
    </w:p>
    <w:p>
      <w:pPr>
        <w:pBdr>
          <w:bottom w:val="single" w:color="D9D6CC" w:sz="6" w:space="1"/>
        </w:pBdr>
        <w:spacing w:after="240" w:before="120"/>
      </w:pPr>
    </w:p>
    <w:p>
      <w:pPr>
        <w:pStyle w:val="Heading1"/>
      </w:pPr>
      <w:r>
        <w:t xml:space="preserve">3. Full benefits matrix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Combines the perks explicitly listed by the person with their stated availability ranges. “Incoming” means designed in this project's conversation history but not yet built; “not yet specified” means named but not yet designed in any document.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2200"/>
        <w:gridCol w:w="3500"/>
      </w:tblGrid>
      <w:tr>
        <w:tc>
          <w:tcPr>
            <w:tcW w:type="dxa" w:w="34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available from</w:t>
            </w:r>
          </w:p>
        </w:tc>
        <w:tc>
          <w:tcPr>
            <w:tcW w:type="dxa" w:w="3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Rescue (3-month dormancy intervention)</w:t>
            </w:r>
          </w:p>
        </w:tc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2 → 5</w:t>
            </w:r>
          </w:p>
        </w:tc>
        <w:tc>
          <w:tcPr>
            <w:tcW w:type="dxa" w:w="3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yet specified — referenced in lifecycle discussion, concrete process not yet designed</w:t>
            </w:r>
          </w:p>
        </w:tc>
      </w:tr>
      <w:tr>
        <w:tc>
          <w:tcPr>
            <w:tcW w:type="dxa" w:w="34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Management Support</w:t>
            </w:r>
          </w:p>
        </w:tc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1 → 5 (all packages)</w:t>
            </w:r>
          </w:p>
        </w:tc>
        <w:tc>
          <w:tcPr>
            <w:tcW w:type="dxa" w:w="3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yet specified — scope undefined</w:t>
            </w:r>
          </w:p>
        </w:tc>
      </w:tr>
      <w:tr>
        <w:tc>
          <w:tcPr>
            <w:tcW w:type="dxa" w:w="34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Graphic Design coupon (partner)</w:t>
            </w:r>
          </w:p>
        </w:tc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3 → 5</w:t>
            </w:r>
          </w:p>
        </w:tc>
        <w:tc>
          <w:tcPr>
            <w:tcW w:type="dxa" w:w="3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Incoming — partner coupon mechanic discussed, uses stubbed/placeholder partner IDs until the partner admin system exists</w:t>
            </w:r>
          </w:p>
        </w:tc>
      </w:tr>
      <w:tr>
        <w:tc>
          <w:tcPr>
            <w:tcW w:type="dxa" w:w="34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4-Week Social Content Management coupon (partner)</w:t>
            </w:r>
          </w:p>
        </w:tc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 4 → 5</w:t>
            </w:r>
          </w:p>
        </w:tc>
        <w:tc>
          <w:tcPr>
            <w:tcW w:type="dxa" w:w="3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Incoming — same stubbed-partner caveat as above; also requires the partners app to support a partner posting content on a provider's behalf, which is a capability not yet built</w:t>
            </w:r>
          </w:p>
        </w:tc>
      </w:tr>
      <w:tr>
        <w:tc>
          <w:tcPr>
            <w:tcW w:type="dxa" w:w="346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Temporary commission-reduction add-on (Section 2)</w:t>
            </w:r>
          </w:p>
        </w:tc>
        <w:tc>
          <w:tcPr>
            <w:tcW w:type="dxa" w:w="22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Package-specific, one per package</w:t>
            </w:r>
          </w:p>
        </w:tc>
        <w:tc>
          <w:tcPr>
            <w:tcW w:type="dxa" w:w="3500"/>
            <w:tcBorders>
              <w:top w:val="single" w:color="D9D6CC" w:sz="2"/>
              <w:left w:val="single" w:color="D9D6CC" w:sz="2"/>
              <w:bottom w:val="single" w:color="D9D6CC" w:sz="2"/>
              <w:right w:val="single" w:color="D9D6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Specified in this document (Section 2)</w:t>
            </w:r>
          </w:p>
        </w:tc>
      </w:tr>
    </w:tbl>
    <w:p>
      <w:pPr>
        <w:pBdr>
          <w:left w:val="single" w:color="534AB7" w:sz="18"/>
        </w:pBdr>
        <w:shd w:fill="EEEDFE" w:val="clear"/>
        <w:spacing w:after="0" w:before="160"/>
        <w:ind w:left="100"/>
      </w:pPr>
      <w:r>
        <w:rPr>
          <w:b/>
          <w:bCs/>
          <w:color w:val="3C3489"/>
          <w:sz w:val="19"/>
          <w:szCs w:val="19"/>
        </w:rPr>
        <w:t xml:space="preserve">STILL OPEN — “Business Rescue” and “Business Management Support” need real definitions</w:t>
      </w:r>
    </w:p>
    <w:p>
      <w:pPr>
        <w:shd w:fill="EEEDFE" w:val="clear"/>
        <w:spacing w:after="200"/>
        <w:ind w:left="100"/>
      </w:pPr>
      <w:r>
        <w:rPr>
          <w:color w:val="26215C"/>
          <w:sz w:val="19"/>
          <w:szCs w:val="19"/>
        </w:rPr>
        <w:t xml:space="preserve">Both are named as benefits with package-availability ranges but neither has a defined scope yet. “Business Rescue” likely refers to the dormancy/retention intervention from the lifecycle discussion (not yet finalized as its own document); “Business Management Support” is undefined entirely — does it mean priority support response, a dedicated contact, guidance content, something else? Recommend defining both concretely before they appear in any provider-facing package comparison page, since an undefined named benefit on a pricing page is a promise without a definition behind it.</w:t>
      </w:r>
    </w:p>
    <w:p>
      <w:pPr>
        <w:pBdr>
          <w:bottom w:val="single" w:color="D9D6CC" w:sz="6" w:space="1"/>
        </w:pBdr>
        <w:spacing w:after="240" w:before="120"/>
      </w:pPr>
    </w:p>
    <w:p>
      <w:pPr>
        <w:pStyle w:val="Heading1"/>
      </w:pPr>
      <w:r>
        <w:t xml:space="preserve">4. Additional perk ideas (proposed, not yet confirmed)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Brainstormed against capabilities already designed or built elsewhere in this project — none of these are decided, all need the person's sign-off before inclusion in any package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support response — since provider/customer messaging already exists, flagging higher-package support threads for faster response costs nothing new to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visible package-tier badge on the public profile, distinct from the existing verification badges (“verified business/vendor”) — signals package tier itself as a status marker.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 gallery/portfolio capacity for higher packages, if the dynamic schema system currently caps gallery size for all providers equally.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Reduced or waived review time for new service listings, if a manual review step exists or is added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Early access to new verticals or platform features before general rollout, as a low-cost goodwill perk for top tiers.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simultaneous default-package promotions per service (if lower tiers are ever restricted to one active promotion at a time).</w:t>
      </w:r>
    </w:p>
    <w:p>
      <w:pPr>
        <w:pBdr>
          <w:bottom w:val="single" w:color="D9D6CC" w:sz="6" w:space="1"/>
        </w:pBdr>
        <w:spacing w:after="240" w:before="120"/>
      </w:pPr>
    </w:p>
    <w:p>
      <w:pPr>
        <w:pStyle w:val="Heading1"/>
      </w:pPr>
      <w:r>
        <w:t xml:space="preserve">5. Open items before this is implementation-ready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stacking floor: 3% (as stated) or 4% (recommended alternative) — see Section 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Define “Business Rescue” and “Business Management Support” concretely — see Section 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Finalize the purchasable one-time add-on menu (prices, durations, stacking rules with the package-linked reductions) — see Section 2.1. Explicitly deferred per the person's own request to “iron this out later.”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partner-coupon mechanics can ship with stubbed/placeholder partner records, per the person's earlier confirmation, and ensure this is clearly flagged in code comments so it isn't mistaken for a finished integration.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provider-level lifecycle/retention system this document references (dormancy triggers, email nurture sequences, the business-rescue process) was being specified in a separate, interrupted conversation and still needs to be completed — see the companion lifecycle addendum once resumed.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None of the percentages, prices, or durations in this document should be treated as final — implement all of them as configurable values, not hardcoded constants, consistent with the configuration-driven approach used throughout this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Page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780"/>
        <w:sz w:val="16"/>
        <w:szCs w:val="16"/>
      </w:rPr>
      <w:t xml:space="preserve">ServicePros / DPM — package &amp; perks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2026-06-21T16:08:45.814Z</dcterms:created>
  <dcterms:modified xsi:type="dcterms:W3CDTF">2026-06-21T16:08:45.814Z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