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pPr>
      <w:r>
        <w:rPr>
          <w:b/>
          <w:bCs/>
          <w:sz w:val="56"/>
          <w:szCs w:val="56"/>
        </w:rPr>
        <w:t xml:space="preserve">Providers platform</w:t>
      </w:r>
    </w:p>
    <w:p>
      <w:pPr>
        <w:spacing w:after="720"/>
      </w:pPr>
      <w:r>
        <w:rPr>
          <w:color w:val="5F5E5A"/>
          <w:sz w:val="28"/>
          <w:szCs w:val="28"/>
        </w:rPr>
        <w:t xml:space="preserve">Tech stack &amp; architecture document</w:t>
      </w:r>
    </w:p>
    <w:p>
      <w:pPr>
        <w:spacing w:after="80"/>
      </w:pPr>
      <w:r>
        <w:rPr>
          <w:b/>
          <w:bCs/>
          <w:sz w:val="22"/>
          <w:szCs w:val="22"/>
        </w:rPr>
        <w:t xml:space="preserve">Document type: </w:t>
      </w:r>
      <w:r>
        <w:rPr>
          <w:sz w:val="22"/>
          <w:szCs w:val="22"/>
        </w:rPr>
        <w:t xml:space="preserve">Technical architecture specification (companion to the PRD and business logic spec)</w:t>
      </w:r>
    </w:p>
    <w:p>
      <w:pPr>
        <w:spacing w:after="80"/>
      </w:pPr>
      <w:r>
        <w:rPr>
          <w:b/>
          <w:bCs/>
          <w:sz w:val="22"/>
          <w:szCs w:val="22"/>
        </w:rPr>
        <w:t xml:space="preserve">Intended consumer: </w:t>
      </w:r>
      <w:r>
        <w:rPr>
          <w:sz w:val="22"/>
          <w:szCs w:val="22"/>
        </w:rPr>
        <w:t xml:space="preserve">AI coding agent / automated build tooling</w:t>
      </w:r>
    </w:p>
    <w:p>
      <w:pPr>
        <w:spacing w:after="80"/>
      </w:pPr>
      <w:r>
        <w:rPr>
          <w:b/>
          <w:bCs/>
          <w:sz w:val="22"/>
          <w:szCs w:val="22"/>
        </w:rPr>
        <w:t xml:space="preserve">Build context: </w:t>
      </w:r>
      <w:r>
        <w:rPr>
          <w:sz w:val="22"/>
          <w:szCs w:val="22"/>
        </w:rPr>
        <w:t xml:space="preserve">Solo developer, JavaScript/TypeScript throughout, hosted on Vercel, domains via Namecheap/GoDaddy</w:t>
      </w:r>
    </w:p>
    <w:p>
      <w:pPr>
        <w:spacing w:after="80"/>
      </w:pPr>
      <w:r>
        <w:rPr>
          <w:b/>
          <w:bCs/>
          <w:sz w:val="22"/>
          <w:szCs w:val="22"/>
        </w:rPr>
        <w:t xml:space="preserve">Relationship to other documents: </w:t>
      </w:r>
      <w:r>
        <w:rPr>
          <w:sz w:val="22"/>
          <w:szCs w:val="22"/>
        </w:rPr>
        <w:t xml:space="preserve">This document specifies how the system defined in the PRD and business logic spec is actually implemented, deployed, and operated. It does not redefine entities or business rules; it implements them on a concrete stack.</w:t>
      </w:r>
    </w:p>
    <w:p>
      <w:r>
        <w:br w:type="page"/>
      </w:r>
    </w:p>
    <w:p>
      <w:pPr>
        <w:spacing w:after="240"/>
      </w:pPr>
      <w:r>
        <w:rPr>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How to read this document</w:t>
      </w:r>
    </w:p>
    <w:p>
      <w:pPr>
        <w:spacing w:after="160"/>
      </w:pPr>
      <w:r>
        <w:rPr>
          <w:b w:val="false"/>
          <w:bCs w:val="false"/>
          <w:i w:val="false"/>
          <w:iCs w:val="false"/>
        </w:rPr>
        <w:t xml:space="preserve">This document specifies the concrete technology choices, deployment architecture, and operational setup for the providers platform. It assumes the entities and requirements from the PRD and the rules from the business logic specification; it does not repeat them.</w:t>
      </w:r>
    </w:p>
    <w:p>
      <w:pPr>
        <w:spacing w:after="160"/>
      </w:pPr>
      <w:r>
        <w:rPr>
          <w:b w:val="false"/>
          <w:bCs w:val="false"/>
          <w:i w:val="false"/>
          <w:iCs w:val="false"/>
        </w:rPr>
        <w:t xml:space="preserve">Two block types appear in addition to standard numbered requirements:</w:t>
      </w:r>
    </w:p>
    <w:p>
      <w:pPr>
        <w:pStyle w:val="ListParagraph"/>
        <w:numPr>
          <w:ilvl w:val="0"/>
          <w:numId w:val="2"/>
        </w:numPr>
        <w:spacing w:after="80"/>
      </w:pPr>
      <w:r>
        <w:t xml:space="preserve">A shaded blue block marked “TECHNICAL DECISION” indicates a stack/infrastructure choice where more than one reasonable option exists. A recommendation is given, with reasoning, since these are largely objective engineering tradeoffs rather than business policy — but the choice is still flagged explicitly rather than presented as the only option.</w:t>
      </w:r>
    </w:p>
    <w:p>
      <w:pPr>
        <w:pStyle w:val="ListParagraph"/>
        <w:numPr>
          <w:ilvl w:val="0"/>
          <w:numId w:val="2"/>
        </w:numPr>
        <w:spacing w:after="80"/>
      </w:pPr>
      <w:r>
        <w:t xml:space="preserve">A shaded green block marked “REFINES PRIOR DOCUMENT” flags a place where this document sharpens or updates a requirement stated more abstractly in the PRD, now that a concrete hosting platform (Vercel) is known. These are refinements, not contradictions — the underlying intent of the original requirement is preserved.</w:t>
      </w:r>
    </w:p>
    <w:p>
      <w:pPr>
        <w:pBdr>
          <w:bottom w:val="single" w:color="D9D6CC" w:sz="6" w:space="1"/>
        </w:pBdr>
        <w:spacing w:after="240" w:before="120"/>
      </w:pPr>
    </w:p>
    <w:p>
      <w:pPr>
        <w:pStyle w:val="Heading1"/>
      </w:pPr>
      <w:r>
        <w:t xml:space="preserve">1. Stack summary</w:t>
      </w:r>
    </w:p>
    <w:p>
      <w:pPr>
        <w:spacing w:after="160"/>
      </w:pPr>
      <w:r>
        <w:rPr>
          <w:b w:val="false"/>
          <w:bCs w:val="false"/>
          <w:i w:val="false"/>
          <w:iCs w:val="false"/>
        </w:rPr>
        <w:t xml:space="preserve">The platform is built as a single Next.js application (TypeScript, App Router) deployed on Vercel, backed by a managed serverless Postgres database, with supporting managed services for auth, file storage, payments, email, and scheduled jobs. No separate backend service, container orchestration, or microservice split is used — this is a deliberate choice given the solo-developer build context (see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760"/>
      </w:tblGrid>
      <w:tr>
        <w:tc>
          <w:tcPr>
            <w:tcW w:type="dxa" w:w="17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layer</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choice</w:t>
            </w:r>
          </w:p>
        </w:tc>
        <w:tc>
          <w:tcPr>
            <w:tcW w:type="dxa" w:w="47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role</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Framework</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Next.js (App Router), TypeScript</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Single codebase serving all tenant sites and the provider/customer dashboards</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Hosting</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Vercel</w:t>
            </w:r>
          </w:p>
        </w:tc>
        <w:tc>
          <w:tcPr>
            <w:tcW w:type="dxa" w:w="4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Deployment, edge middleware, serverless functions, cron, blob storage</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Database</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Supabase Postgres</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Single shared database across all verticals, per PRD TEN-004</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ORM</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Prisma</w:t>
            </w:r>
          </w:p>
        </w:tc>
        <w:tc>
          <w:tcPr>
            <w:tcW w:type="dxa" w:w="4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Schema definition, migrations, type-safe queries</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Auth</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Supabase Auth</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Customer and provider account authentication</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File storage</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Supabase Storage</w:t>
            </w:r>
          </w:p>
        </w:tc>
        <w:tc>
          <w:tcPr>
            <w:tcW w:type="dxa" w:w="4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Profile images, gallery, service images, file_upload dynamic fields</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Payments</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Paystack (or PayFast)</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Split-payout processing per PRD PAY-001 / business logic Section 3</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Email</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Resend</w:t>
            </w:r>
          </w:p>
        </w:tc>
        <w:tc>
          <w:tcPr>
            <w:tcW w:type="dxa" w:w="4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Booking notifications, account emails</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Scheduled jobs</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Vercel Cron</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Booking auto-expiry sweep (business logic BOOK-LOGIC-005)</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Search</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Postgres full-text search + pg_trgm</w:t>
            </w:r>
          </w:p>
        </w:tc>
        <w:tc>
          <w:tcPr>
            <w:tcW w:type="dxa" w:w="4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Provider search/ranking (business logic Section 4), v1 scope</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DNS / domains</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Namecheap / GoDaddy</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Domain registration, DNS records pointed at Vercel</w:t>
            </w:r>
          </w:p>
        </w:tc>
      </w:tr>
    </w:tbl>
    <w:p>
      <w:pPr>
        <w:pStyle w:val="Heading2"/>
      </w:pPr>
      <w:r>
        <w:t xml:space="preserve">1.1 Database, auth, and storage: consolidated on Supabase</w:t>
      </w:r>
    </w:p>
    <w:p>
      <w:pPr>
        <w:pBdr>
          <w:left w:val="single" w:color="639922" w:sz="18"/>
        </w:pBdr>
        <w:shd w:fill="EAF3DE" w:val="clear"/>
        <w:spacing w:after="0" w:before="160"/>
        <w:ind w:left="100"/>
      </w:pPr>
      <w:r>
        <w:rPr>
          <w:b/>
          <w:bCs/>
          <w:color w:val="3B6D11"/>
          <w:sz w:val="19"/>
          <w:szCs w:val="19"/>
        </w:rPr>
        <w:t xml:space="preserve">REFINES PRIOR DOCUMENT — Supersedes the original Neon + Clerk + Vercel Blob recommendation</w:t>
      </w:r>
    </w:p>
    <w:p>
      <w:pPr>
        <w:shd w:fill="EAF3DE" w:val="clear"/>
        <w:spacing w:after="200"/>
        <w:ind w:left="100"/>
      </w:pPr>
      <w:r>
        <w:rPr>
          <w:color w:val="173404"/>
          <w:sz w:val="19"/>
          <w:szCs w:val="19"/>
        </w:rPr>
        <w:t xml:space="preserve">An earlier version of this document recommended Neon for the database (citing database branching and avoiding bundled auth/storage overlap) and a managed auth provider such as Clerk. That recommendation assumed three separate vendors: Neon, Clerk, and Vercel Blob. Clerk's production setup requires registering a Google Cloud project, which is a real operational blocker at this stage of the build. Given that constraint, the original argument against Supabase's bundled surface area (“redundant alongside choices already made elsewhere”) no longer holds, because those other choices (Clerk, a separate storage provider) are exactly what's being removed. Database, auth, and file storage are consolidated onto Supabase instead, for one vendor instead of three.</w:t>
      </w:r>
    </w:p>
    <w:p>
      <w:pPr>
        <w:spacing w:after="160"/>
      </w:pPr>
      <w:r>
        <w:rPr>
          <w:b w:val="false"/>
          <w:bCs w:val="false"/>
          <w:i w:val="false"/>
          <w:iCs w:val="false"/>
        </w:rPr>
        <w:t xml:space="preserve">This affects three rows in the stack summary table above (Database, Auth, File storage) and is reflected as DECIDED rather than open in this section, superseding the technical-decision framing used elsewhere in this document for genuinely undecided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4460"/>
      </w:tblGrid>
      <w:tr>
        <w:tc>
          <w:tcPr>
            <w:tcW w:type="dxa" w:w="18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concern</w:t>
            </w:r>
          </w:p>
        </w:tc>
        <w:tc>
          <w:tcPr>
            <w:tcW w:type="dxa" w:w="31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what changed</w:t>
            </w:r>
          </w:p>
        </w:tc>
        <w:tc>
          <w:tcPr>
            <w:tcW w:type="dxa" w:w="44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tradeoff accepted</w:t>
            </w:r>
          </w:p>
        </w:tc>
      </w:tr>
      <w:tr>
        <w:tc>
          <w:tcPr>
            <w:tcW w:type="dxa" w:w="1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Database</w:t>
            </w:r>
          </w:p>
        </w:tc>
        <w:tc>
          <w:tcPr>
            <w:tcW w:type="dxa" w:w="31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Postgres on Supabase instead of Neon</w:t>
            </w:r>
          </w:p>
        </w:tc>
        <w:tc>
          <w:tcPr>
            <w:tcW w:type="dxa" w:w="44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Loses Neon's native database branching (no direct equivalent on Supabase); a separate Supabase project should be used for dev/staging instead of automatic per-branch databases</w:t>
            </w:r>
          </w:p>
        </w:tc>
      </w:tr>
      <w:tr>
        <w:tc>
          <w:tcPr>
            <w:tcW w:type="dxa" w:w="1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Auth</w:t>
            </w:r>
          </w:p>
        </w:tc>
        <w:tc>
          <w:tcPr>
            <w:tcW w:type="dxa" w:w="31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Supabase Auth instead of a managed provider like Clerk</w:t>
            </w:r>
          </w:p>
        </w:tc>
        <w:tc>
          <w:tcPr>
            <w:tcW w:type="dxa" w:w="44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Supabase Auth requires more manual UI/flow wiring than Clerk's pre-built components, but does not require a separate Google Cloud project to run in production — removing the blocker that prompted this change</w:t>
            </w:r>
          </w:p>
        </w:tc>
      </w:tr>
      <w:tr>
        <w:tc>
          <w:tcPr>
            <w:tcW w:type="dxa" w:w="1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File storage</w:t>
            </w:r>
          </w:p>
        </w:tc>
        <w:tc>
          <w:tcPr>
            <w:tcW w:type="dxa" w:w="31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Supabase Storage instead of Vercel Blob</w:t>
            </w:r>
          </w:p>
        </w:tc>
        <w:tc>
          <w:tcPr>
            <w:tcW w:type="dxa" w:w="44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Loses Vercel's direct-to-blob signed-upload integration that Section 6 was originally written around; replaced by Supabase Storage's equivalent signed-upload mechanism (see Section 6)</w:t>
            </w:r>
          </w:p>
        </w:tc>
      </w:tr>
    </w:tbl>
    <w:p>
      <w:pPr>
        <w:spacing w:after="100"/>
      </w:pPr>
      <w:r>
        <w:rPr>
          <w:rFonts w:ascii="Consolas" w:cs="Consolas" w:eastAsia="Consolas" w:hAnsi="Consolas"/>
          <w:b/>
          <w:bCs/>
          <w:sz w:val="18"/>
          <w:szCs w:val="18"/>
        </w:rPr>
        <w:t xml:space="preserve">ARCH-020  </w:t>
      </w:r>
      <w:r>
        <w:t xml:space="preserve">All database, authentication, and file storage operations shall use Supabase as the single provider for these three concerns. No remaining reference to Neon, Clerk, or Vercel Blob in this document should be treated as current — see the corrected references in Sections 6 and 10.</w:t>
      </w:r>
    </w:p>
    <w:p>
      <w:pPr>
        <w:pBdr>
          <w:bottom w:val="single" w:color="D9D6CC" w:sz="6" w:space="1"/>
        </w:pBdr>
        <w:spacing w:after="240" w:before="120"/>
      </w:pPr>
    </w:p>
    <w:p>
      <w:pPr>
        <w:pStyle w:val="Heading1"/>
      </w:pPr>
      <w:r>
        <w:t xml:space="preserve">2. Multi-tenancy implementation</w:t>
      </w:r>
    </w:p>
    <w:p>
      <w:pPr>
        <w:spacing w:after="160"/>
      </w:pPr>
      <w:r>
        <w:rPr>
          <w:b w:val="false"/>
          <w:bCs w:val="false"/>
          <w:i w:val="false"/>
          <w:iCs w:val="false"/>
        </w:rPr>
        <w:t xml:space="preserve">This is the most consequential architectural decision in this document. The PRD (Section 4, TEN-001 through TEN-006) establishes the requirement — one codebase, one shared database, multiple branded deployments per vertical — without committing to a specific implementation mechanism. This section commits to one, based on what Vercel specifically supports well.</w:t>
      </w:r>
    </w:p>
    <w:p>
      <w:pPr>
        <w:pStyle w:val="Heading2"/>
      </w:pPr>
      <w:r>
        <w:t xml:space="preserve">2.1 Two candidate approaches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500"/>
      </w:tblGrid>
      <w:tr>
        <w:tc>
          <w:tcPr>
            <w:tcW w:type="dxa" w:w="21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approach</w:t>
            </w:r>
          </w:p>
        </w:tc>
        <w:tc>
          <w:tcPr>
            <w:tcW w:type="dxa" w:w="56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description</w:t>
            </w:r>
          </w:p>
        </w:tc>
        <w:tc>
          <w:tcPr>
            <w:tcW w:type="dxa" w:w="15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assessment</w:t>
            </w:r>
          </w:p>
        </w:tc>
      </w:tr>
      <w:tr>
        <w:tc>
          <w:tcPr>
            <w:tcW w:type="dxa" w:w="21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A: Hostname-based, single deployment</w:t>
            </w:r>
          </w:p>
        </w:tc>
        <w:tc>
          <w:tcPr>
            <w:tcW w:type="dxa" w:w="56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One Vercel project. All vertical domains (cleaningservices.co.za, eventvendors.co.za, etc.) and the home marketplace domain are attached to the same project. Next.js middleware reads the incoming request's hostname and resolves the active tenant (provider_category filter, branding) at request time from a database-backed lookup table.</w:t>
            </w:r>
          </w:p>
        </w:tc>
        <w:tc>
          <w:tcPr>
            <w:tcW w:type="dxa" w:w="15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Selected — see 2.2</w:t>
            </w:r>
          </w:p>
        </w:tc>
      </w:tr>
      <w:tr>
        <w:tc>
          <w:tcPr>
            <w:tcW w:type="dxa" w:w="21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 Per-vertical deployment</w:t>
            </w:r>
          </w:p>
        </w:tc>
        <w:tc>
          <w:tcPr>
            <w:tcW w:type="dxa" w:w="56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The same repository is deployed as a separate Vercel project per vertical, each configured with a different environment variable indicating its category filter, each bound to its own domain.</w:t>
            </w:r>
          </w:p>
        </w:tc>
        <w:tc>
          <w:tcPr>
            <w:tcW w:type="dxa" w:w="15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Rejected — N deployments to keep in sync, no benefit over A on this stack</w:t>
            </w:r>
          </w:p>
        </w:tc>
      </w:tr>
    </w:tbl>
    <w:p>
      <w:pPr>
        <w:pBdr>
          <w:left w:val="single" w:color="639922" w:sz="18"/>
        </w:pBdr>
        <w:shd w:fill="EAF3DE" w:val="clear"/>
        <w:spacing w:after="0" w:before="160"/>
        <w:ind w:left="100"/>
      </w:pPr>
      <w:r>
        <w:rPr>
          <w:b/>
          <w:bCs/>
          <w:color w:val="3B6D11"/>
          <w:sz w:val="19"/>
          <w:szCs w:val="19"/>
        </w:rPr>
        <w:t xml:space="preserve">REFINES PRIOR DOCUMENT — TEN-003 (deploy-time env var configuration)</w:t>
      </w:r>
    </w:p>
    <w:p>
      <w:pPr>
        <w:shd w:fill="EAF3DE" w:val="clear"/>
        <w:spacing w:after="200"/>
        <w:ind w:left="100"/>
      </w:pPr>
      <w:r>
        <w:rPr>
          <w:color w:val="173404"/>
          <w:sz w:val="19"/>
          <w:szCs w:val="19"/>
        </w:rPr>
        <w:t xml:space="preserve">The PRD's TEN-003 describes tenant configuration as supplied “via environment configuration at deploy time.” This document refines that to hostname-based resolution at request time (Approach A below), because Vercel allows multiple custom domains on a single project. Approach A delivers the same outcome TEN-001–006 require — one codebase, branded per-vertical sites, no code change to add a vertical — with less operational overhead than maintaining N separate deployments in lockstep (Approach B). The underlying requirement is unchanged; only the mechanism is now concrete.</w:t>
      </w:r>
    </w:p>
    <w:p>
      <w:pPr>
        <w:pStyle w:val="Heading2"/>
      </w:pPr>
      <w:r>
        <w:t xml:space="preserve">2.2 Decision: Approach A, hostname-based resolution</w:t>
      </w:r>
    </w:p>
    <w:p>
      <w:pPr>
        <w:spacing w:after="100"/>
      </w:pPr>
      <w:r>
        <w:rPr>
          <w:rFonts w:ascii="Consolas" w:cs="Consolas" w:eastAsia="Consolas" w:hAnsi="Consolas"/>
          <w:b/>
          <w:bCs/>
          <w:sz w:val="18"/>
          <w:szCs w:val="18"/>
        </w:rPr>
        <w:t xml:space="preserve">ARCH-001  </w:t>
      </w:r>
      <w:r>
        <w:t xml:space="preserve">The system shall use a single Vercel project/deployment. All vertical domains and the home marketplace domain shall be attached to this project as custom domains.</w:t>
      </w:r>
    </w:p>
    <w:p>
      <w:pPr>
        <w:spacing w:after="100"/>
      </w:pPr>
      <w:r>
        <w:rPr>
          <w:rFonts w:ascii="Consolas" w:cs="Consolas" w:eastAsia="Consolas" w:hAnsi="Consolas"/>
          <w:b/>
          <w:bCs/>
          <w:sz w:val="18"/>
          <w:szCs w:val="18"/>
        </w:rPr>
        <w:t xml:space="preserve">ARCH-002  </w:t>
      </w:r>
      <w:r>
        <w:t xml:space="preserve">A tenant_domains table shall map each registered domain (or hostname) to either a specific provider_category_id (a vertical deployment) or null (the unfiltered home marketplace, per PRD TEN-005).</w:t>
      </w:r>
    </w:p>
    <w:p>
      <w:pPr>
        <w:spacing w:after="100"/>
      </w:pPr>
      <w:r>
        <w:rPr>
          <w:rFonts w:ascii="Consolas" w:cs="Consolas" w:eastAsia="Consolas" w:hAnsi="Consolas"/>
          <w:b/>
          <w:bCs/>
          <w:sz w:val="18"/>
          <w:szCs w:val="18"/>
        </w:rPr>
        <w:t xml:space="preserve">ARCH-003  </w:t>
      </w:r>
      <w:r>
        <w:t xml:space="preserve">Next.js middleware (middleware.ts) shall run on every request, read the request hostname, resolve the corresponding tenant_domains row, and attach the resolved category filter and branding context to the request (e.g. via request headers or a server-side context mechanism) for downstream pages and API routes to consume.</w:t>
      </w:r>
    </w:p>
    <w:p>
      <w:pPr>
        <w:spacing w:after="100"/>
      </w:pPr>
      <w:r>
        <w:rPr>
          <w:rFonts w:ascii="Consolas" w:cs="Consolas" w:eastAsia="Consolas" w:hAnsi="Consolas"/>
          <w:b/>
          <w:bCs/>
          <w:sz w:val="18"/>
          <w:szCs w:val="18"/>
        </w:rPr>
        <w:t xml:space="preserve">ARCH-004  </w:t>
      </w:r>
      <w:r>
        <w:t xml:space="preserve">Adding a new vertical shall require only: (a) registering the new domain with the registrar and pointing its DNS at Vercel, (b) attaching the domain to the existing Vercel project, and (c) inserting a tenant_domains row and any associated provider_categories / provider_types / form_configs records. No code change or redeployment shall be required.</w:t>
      </w:r>
    </w:p>
    <w:p>
      <w:pPr>
        <w:spacing w:after="100"/>
      </w:pPr>
      <w:r>
        <w:rPr>
          <w:rFonts w:ascii="Consolas" w:cs="Consolas" w:eastAsia="Consolas" w:hAnsi="Consolas"/>
          <w:b/>
          <w:bCs/>
          <w:sz w:val="18"/>
          <w:szCs w:val="18"/>
        </w:rPr>
        <w:t xml:space="preserve">ARCH-005  </w:t>
      </w:r>
      <w:r>
        <w:t xml:space="preserve">Tenant branding (site name, logo, theme colors) shall be stored alongside the tenant_domains mapping (or in a related tenant_branding table) and read by the same middleware-resolved context, so each vertical can present distinct branding from shared UI components.</w:t>
      </w:r>
    </w:p>
    <w:p>
      <w:pPr>
        <w:pStyle w:val="Heading2"/>
      </w:pPr>
      <w:r>
        <w:t xml:space="preserve">2.3 High-level request flow</w:t>
      </w:r>
    </w:p>
    <w:p>
      <w:pPr>
        <w:shd w:fill="F1EFE8" w:val="clear"/>
        <w:spacing w:after="200" w:before="100"/>
        <w:ind w:left="100"/>
      </w:pPr>
      <w:r>
        <w:rPr>
          <w:rFonts w:ascii="Consolas" w:cs="Consolas" w:eastAsia="Consolas" w:hAnsi="Consolas"/>
          <w:sz w:val="18"/>
          <w:szCs w:val="18"/>
        </w:rPr>
        <w:t xml:space="preserve">Browser request to cleaningservices.co.za</w:t>
      </w:r>
      <w:r>
        <w:rPr>
          <w:rFonts w:ascii="Consolas" w:cs="Consolas" w:eastAsia="Consolas" w:hAnsi="Consolas"/>
          <w:sz w:val="18"/>
          <w:szCs w:val="18"/>
        </w:rPr>
        <w:br/>
        <w:t xml:space="preserve">  -&gt; Vercel Edge Network</w:t>
      </w:r>
      <w:r>
        <w:rPr>
          <w:rFonts w:ascii="Consolas" w:cs="Consolas" w:eastAsia="Consolas" w:hAnsi="Consolas"/>
          <w:sz w:val="18"/>
          <w:szCs w:val="18"/>
        </w:rPr>
        <w:br/>
        <w:t xml:space="preserve">  -&gt; middleware.ts</w:t>
      </w:r>
      <w:r>
        <w:rPr>
          <w:rFonts w:ascii="Consolas" w:cs="Consolas" w:eastAsia="Consolas" w:hAnsi="Consolas"/>
          <w:sz w:val="18"/>
          <w:szCs w:val="18"/>
        </w:rPr>
        <w:br/>
        <w:t xml:space="preserve">       - reads hostname "cleaningservices.co.za"</w:t>
      </w:r>
      <w:r>
        <w:rPr>
          <w:rFonts w:ascii="Consolas" w:cs="Consolas" w:eastAsia="Consolas" w:hAnsi="Consolas"/>
          <w:sz w:val="18"/>
          <w:szCs w:val="18"/>
        </w:rPr>
        <w:br/>
        <w:t xml:space="preserve">       - looks up tenant_domains -&gt; category_id = &lt;cleaning category&gt;</w:t>
      </w:r>
      <w:r>
        <w:rPr>
          <w:rFonts w:ascii="Consolas" w:cs="Consolas" w:eastAsia="Consolas" w:hAnsi="Consolas"/>
          <w:sz w:val="18"/>
          <w:szCs w:val="18"/>
        </w:rPr>
        <w:br/>
        <w:t xml:space="preserve">       - attaches tenant context to the request</w:t>
      </w:r>
      <w:r>
        <w:rPr>
          <w:rFonts w:ascii="Consolas" w:cs="Consolas" w:eastAsia="Consolas" w:hAnsi="Consolas"/>
          <w:sz w:val="18"/>
          <w:szCs w:val="18"/>
        </w:rPr>
        <w:br/>
        <w:t xml:space="preserve">  -&gt; Next.js App Router (Server Components)</w:t>
      </w:r>
      <w:r>
        <w:rPr>
          <w:rFonts w:ascii="Consolas" w:cs="Consolas" w:eastAsia="Consolas" w:hAnsi="Consolas"/>
          <w:sz w:val="18"/>
          <w:szCs w:val="18"/>
        </w:rPr>
        <w:br/>
        <w:t xml:space="preserve">       - queries providers WHERE category_id = &lt;cleaning category&gt;</w:t>
      </w:r>
      <w:r>
        <w:rPr>
          <w:rFonts w:ascii="Consolas" w:cs="Consolas" w:eastAsia="Consolas" w:hAnsi="Consolas"/>
          <w:sz w:val="18"/>
          <w:szCs w:val="18"/>
        </w:rPr>
        <w:br/>
        <w:t xml:space="preserve">       - renders vertical-branded UI using tenant branding context</w:t>
      </w:r>
      <w:r>
        <w:rPr>
          <w:rFonts w:ascii="Consolas" w:cs="Consolas" w:eastAsia="Consolas" w:hAnsi="Consolas"/>
          <w:sz w:val="18"/>
          <w:szCs w:val="18"/>
        </w:rPr>
        <w:br/>
        <w:t xml:space="preserve">  -&gt; Prisma -&gt; Postgres (single shared database)</w:t>
      </w:r>
    </w:p>
    <w:p>
      <w:pPr>
        <w:spacing w:after="160"/>
      </w:pPr>
      <w:r>
        <w:rPr>
          <w:b w:val="false"/>
          <w:bCs w:val="false"/>
          <w:i w:val="false"/>
          <w:iCs w:val="false"/>
        </w:rPr>
        <w:t xml:space="preserve">The same flow for the home marketplace domain resolves category_id as null, and downstream queries omit the category filter entirely, per PRD TEN-005.</w:t>
      </w:r>
    </w:p>
    <w:p>
      <w:pPr>
        <w:pBdr>
          <w:bottom w:val="single" w:color="D9D6CC" w:sz="6" w:space="1"/>
        </w:pBdr>
        <w:spacing w:after="240" w:before="120"/>
      </w:pPr>
    </w:p>
    <w:p>
      <w:pPr>
        <w:pStyle w:val="Heading1"/>
      </w:pPr>
      <w:r>
        <w:t xml:space="preserve">3. Repository structure</w:t>
      </w:r>
    </w:p>
    <w:p>
      <w:pPr>
        <w:spacing w:after="160"/>
      </w:pPr>
      <w:r>
        <w:rPr>
          <w:b w:val="false"/>
          <w:bCs w:val="false"/>
          <w:i w:val="false"/>
          <w:iCs w:val="false"/>
        </w:rPr>
        <w:t xml:space="preserve">A single repository, single Next.js application. No monorepo tooling (Turborepo, Nx, etc.) is warranted at this stage — there is one deployable application, not multiple independently-versioned packages. Introducing monorepo tooling now would add operational overhead disproportionate to a solo-developer build.</w:t>
      </w:r>
    </w:p>
    <w:p>
      <w:pPr>
        <w:shd w:fill="F1EFE8" w:val="clear"/>
        <w:spacing w:after="200" w:before="100"/>
        <w:ind w:left="100"/>
      </w:pPr>
      <w:r>
        <w:rPr>
          <w:rFonts w:ascii="Consolas" w:cs="Consolas" w:eastAsia="Consolas" w:hAnsi="Consolas"/>
          <w:sz w:val="18"/>
          <w:szCs w:val="18"/>
        </w:rPr>
        <w:t xml:space="preserve">/</w:t>
      </w:r>
      <w:r>
        <w:rPr>
          <w:rFonts w:ascii="Consolas" w:cs="Consolas" w:eastAsia="Consolas" w:hAnsi="Consolas"/>
          <w:sz w:val="18"/>
          <w:szCs w:val="18"/>
        </w:rPr>
        <w:br/>
        <w:t xml:space="preserve">  middleware.ts                  tenant resolution (Section 2)</w:t>
      </w:r>
      <w:r>
        <w:rPr>
          <w:rFonts w:ascii="Consolas" w:cs="Consolas" w:eastAsia="Consolas" w:hAnsi="Consolas"/>
          <w:sz w:val="18"/>
          <w:szCs w:val="18"/>
        </w:rPr>
        <w:br/>
        <w:t xml:space="preserve">  app/</w:t>
      </w:r>
      <w:r>
        <w:rPr>
          <w:rFonts w:ascii="Consolas" w:cs="Consolas" w:eastAsia="Consolas" w:hAnsi="Consolas"/>
          <w:sz w:val="18"/>
          <w:szCs w:val="18"/>
        </w:rPr>
        <w:br/>
        <w:t xml:space="preserve">    (public)/                    customer-facing routes, per-tenant rendering</w:t>
      </w:r>
      <w:r>
        <w:rPr>
          <w:rFonts w:ascii="Consolas" w:cs="Consolas" w:eastAsia="Consolas" w:hAnsi="Consolas"/>
          <w:sz w:val="18"/>
          <w:szCs w:val="18"/>
        </w:rPr>
        <w:br/>
        <w:t xml:space="preserve">      page.tsx                   vertical landing page / home marketplace landing</w:t>
      </w:r>
      <w:r>
        <w:rPr>
          <w:rFonts w:ascii="Consolas" w:cs="Consolas" w:eastAsia="Consolas" w:hAnsi="Consolas"/>
          <w:sz w:val="18"/>
          <w:szCs w:val="18"/>
        </w:rPr>
        <w:br/>
        <w:t xml:space="preserve">      search/                    search &amp; listing pages (PRD DISC-001/002)</w:t>
      </w:r>
      <w:r>
        <w:rPr>
          <w:rFonts w:ascii="Consolas" w:cs="Consolas" w:eastAsia="Consolas" w:hAnsi="Consolas"/>
          <w:sz w:val="18"/>
          <w:szCs w:val="18"/>
        </w:rPr>
        <w:br/>
        <w:t xml:space="preserve">      providers/[slug]/          public provider profile page</w:t>
      </w:r>
      <w:r>
        <w:rPr>
          <w:rFonts w:ascii="Consolas" w:cs="Consolas" w:eastAsia="Consolas" w:hAnsi="Consolas"/>
          <w:sz w:val="18"/>
          <w:szCs w:val="18"/>
        </w:rPr>
        <w:br/>
        <w:t xml:space="preserve">      feed/                      social content feed (PRD Section 13)</w:t>
      </w:r>
      <w:r>
        <w:rPr>
          <w:rFonts w:ascii="Consolas" w:cs="Consolas" w:eastAsia="Consolas" w:hAnsi="Consolas"/>
          <w:sz w:val="18"/>
          <w:szCs w:val="18"/>
        </w:rPr>
        <w:br/>
        <w:t xml:space="preserve">    (auth)/                      sign in / sign up flows</w:t>
      </w:r>
      <w:r>
        <w:rPr>
          <w:rFonts w:ascii="Consolas" w:cs="Consolas" w:eastAsia="Consolas" w:hAnsi="Consolas"/>
          <w:sz w:val="18"/>
          <w:szCs w:val="18"/>
        </w:rPr>
        <w:br/>
        <w:t xml:space="preserve">    provider-dashboard/          authenticated provider area</w:t>
      </w:r>
      <w:r>
        <w:rPr>
          <w:rFonts w:ascii="Consolas" w:cs="Consolas" w:eastAsia="Consolas" w:hAnsi="Consolas"/>
          <w:sz w:val="18"/>
          <w:szCs w:val="18"/>
        </w:rPr>
        <w:br/>
        <w:t xml:space="preserve">      onboarding/                stepped onboarding flow (business logic Section 1)</w:t>
      </w:r>
      <w:r>
        <w:rPr>
          <w:rFonts w:ascii="Consolas" w:cs="Consolas" w:eastAsia="Consolas" w:hAnsi="Consolas"/>
          <w:sz w:val="18"/>
          <w:szCs w:val="18"/>
        </w:rPr>
        <w:br/>
        <w:t xml:space="preserve">      services/                  service CRUD (PRD Section 9)</w:t>
      </w:r>
      <w:r>
        <w:rPr>
          <w:rFonts w:ascii="Consolas" w:cs="Consolas" w:eastAsia="Consolas" w:hAnsi="Consolas"/>
          <w:sz w:val="18"/>
          <w:szCs w:val="18"/>
        </w:rPr>
        <w:br/>
        <w:t xml:space="preserve">      bookings/                  booking management (business logic Section 2)</w:t>
      </w:r>
      <w:r>
        <w:rPr>
          <w:rFonts w:ascii="Consolas" w:cs="Consolas" w:eastAsia="Consolas" w:hAnsi="Consolas"/>
          <w:sz w:val="18"/>
          <w:szCs w:val="18"/>
        </w:rPr>
        <w:br/>
        <w:t xml:space="preserve">    customer-account/            authenticated customer area (bookings, reviews)</w:t>
      </w:r>
      <w:r>
        <w:rPr>
          <w:rFonts w:ascii="Consolas" w:cs="Consolas" w:eastAsia="Consolas" w:hAnsi="Consolas"/>
          <w:sz w:val="18"/>
          <w:szCs w:val="18"/>
        </w:rPr>
        <w:br/>
        <w:t xml:space="preserve">    api/                         route handlers</w:t>
      </w:r>
      <w:r>
        <w:rPr>
          <w:rFonts w:ascii="Consolas" w:cs="Consolas" w:eastAsia="Consolas" w:hAnsi="Consolas"/>
          <w:sz w:val="18"/>
          <w:szCs w:val="18"/>
        </w:rPr>
        <w:br/>
        <w:t xml:space="preserve">      bookings/                  booking state transitions</w:t>
      </w:r>
      <w:r>
        <w:rPr>
          <w:rFonts w:ascii="Consolas" w:cs="Consolas" w:eastAsia="Consolas" w:hAnsi="Consolas"/>
          <w:sz w:val="18"/>
          <w:szCs w:val="18"/>
        </w:rPr>
        <w:br/>
        <w:t xml:space="preserve">      webhooks/paystack/         PSP webhook receiver</w:t>
      </w:r>
      <w:r>
        <w:rPr>
          <w:rFonts w:ascii="Consolas" w:cs="Consolas" w:eastAsia="Consolas" w:hAnsi="Consolas"/>
          <w:sz w:val="18"/>
          <w:szCs w:val="18"/>
        </w:rPr>
        <w:br/>
        <w:t xml:space="preserve">      cron/booking-expiry/       invoked by Vercel Cron (Section 6)</w:t>
      </w:r>
      <w:r>
        <w:rPr>
          <w:rFonts w:ascii="Consolas" w:cs="Consolas" w:eastAsia="Consolas" w:hAnsi="Consolas"/>
          <w:sz w:val="18"/>
          <w:szCs w:val="18"/>
        </w:rPr>
        <w:br/>
        <w:t xml:space="preserve">  lib/</w:t>
      </w:r>
      <w:r>
        <w:rPr>
          <w:rFonts w:ascii="Consolas" w:cs="Consolas" w:eastAsia="Consolas" w:hAnsi="Consolas"/>
          <w:sz w:val="18"/>
          <w:szCs w:val="18"/>
        </w:rPr>
        <w:br/>
        <w:t xml:space="preserve">    domain/                      business logic, framework-agnostic where possible</w:t>
      </w:r>
      <w:r>
        <w:rPr>
          <w:rFonts w:ascii="Consolas" w:cs="Consolas" w:eastAsia="Consolas" w:hAnsi="Consolas"/>
          <w:sz w:val="18"/>
          <w:szCs w:val="18"/>
        </w:rPr>
        <w:br/>
        <w:t xml:space="preserve">      onboarding.ts              step sequencing (business logic S1)</w:t>
      </w:r>
      <w:r>
        <w:rPr>
          <w:rFonts w:ascii="Consolas" w:cs="Consolas" w:eastAsia="Consolas" w:hAnsi="Consolas"/>
          <w:sz w:val="18"/>
          <w:szCs w:val="18"/>
        </w:rPr>
        <w:br/>
        <w:t xml:space="preserve">      booking.ts                 state machine logic (business logic Section 2)</w:t>
      </w:r>
      <w:r>
        <w:rPr>
          <w:rFonts w:ascii="Consolas" w:cs="Consolas" w:eastAsia="Consolas" w:hAnsi="Consolas"/>
          <w:sz w:val="18"/>
          <w:szCs w:val="18"/>
        </w:rPr>
        <w:br/>
        <w:t xml:space="preserve">      payments.ts                commission calculation (business logic Section 3)</w:t>
      </w:r>
      <w:r>
        <w:rPr>
          <w:rFonts w:ascii="Consolas" w:cs="Consolas" w:eastAsia="Consolas" w:hAnsi="Consolas"/>
          <w:sz w:val="18"/>
          <w:szCs w:val="18"/>
        </w:rPr>
        <w:br/>
        <w:t xml:space="preserve">      ranking.ts                 search scoring (business logic Section 4)</w:t>
      </w:r>
      <w:r>
        <w:rPr>
          <w:rFonts w:ascii="Consolas" w:cs="Consolas" w:eastAsia="Consolas" w:hAnsi="Consolas"/>
          <w:sz w:val="18"/>
          <w:szCs w:val="18"/>
        </w:rPr>
        <w:br/>
        <w:t xml:space="preserve">    tenant.ts                    tenant context resolution helpers</w:t>
      </w:r>
      <w:r>
        <w:rPr>
          <w:rFonts w:ascii="Consolas" w:cs="Consolas" w:eastAsia="Consolas" w:hAnsi="Consolas"/>
          <w:sz w:val="18"/>
          <w:szCs w:val="18"/>
        </w:rPr>
        <w:br/>
        <w:t xml:space="preserve">  prisma/</w:t>
      </w:r>
      <w:r>
        <w:rPr>
          <w:rFonts w:ascii="Consolas" w:cs="Consolas" w:eastAsia="Consolas" w:hAnsi="Consolas"/>
          <w:sz w:val="18"/>
          <w:szCs w:val="18"/>
        </w:rPr>
        <w:br/>
        <w:t xml:space="preserve">    schema.prisma                single source of schema truth (Section 7)</w:t>
      </w:r>
      <w:r>
        <w:rPr>
          <w:rFonts w:ascii="Consolas" w:cs="Consolas" w:eastAsia="Consolas" w:hAnsi="Consolas"/>
          <w:sz w:val="18"/>
          <w:szCs w:val="18"/>
        </w:rPr>
        <w:br/>
        <w:t xml:space="preserve">    migrations/</w:t>
      </w:r>
    </w:p>
    <w:p>
      <w:pPr>
        <w:spacing w:after="100"/>
      </w:pPr>
      <w:r>
        <w:rPr>
          <w:rFonts w:ascii="Consolas" w:cs="Consolas" w:eastAsia="Consolas" w:hAnsi="Consolas"/>
          <w:b/>
          <w:bCs/>
          <w:sz w:val="18"/>
          <w:szCs w:val="18"/>
        </w:rPr>
        <w:t xml:space="preserve">ARCH-006  </w:t>
      </w:r>
      <w:r>
        <w:t xml:space="preserve">Business logic functions (commission calculation, booking state transitions, ranking score composition, onboarding step evaluation) shall be implemented as plain, testable functions under lib/domain/, separate from route handlers and UI components, so the rules defined in the business logic specification can be unit tested independent of the framework layer.</w:t>
      </w:r>
    </w:p>
    <w:p>
      <w:pPr>
        <w:pBdr>
          <w:bottom w:val="single" w:color="D9D6CC" w:sz="6" w:space="1"/>
        </w:pBdr>
        <w:spacing w:after="240" w:before="120"/>
      </w:pPr>
    </w:p>
    <w:p>
      <w:pPr>
        <w:pStyle w:val="Heading1"/>
      </w:pPr>
      <w:r>
        <w:t xml:space="preserve">4. Configuration strategy</w:t>
      </w:r>
    </w:p>
    <w:p>
      <w:pPr>
        <w:spacing w:after="160"/>
      </w:pPr>
      <w:r>
        <w:rPr>
          <w:b w:val="false"/>
          <w:bCs w:val="false"/>
          <w:i w:val="false"/>
          <w:iCs w:val="false"/>
        </w:rPr>
        <w:t xml:space="preserve">The business logic specification repeatedly requires that business-tunable values (commission rate, booking auto-expiry window, ranking signal weights, paid placement boost cap) be configurable without a code deployment. This section makes explicit how that requirement is actually satisfied on this stack, since it is easy to conflate two different kinds of configuration.</w:t>
      </w:r>
    </w:p>
    <w:p>
      <w:pPr>
        <w:pStyle w:val="Heading2"/>
      </w:pPr>
      <w:r>
        <w:t xml:space="preserve">4.1 Two distinct configuration mechanisms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700"/>
        <w:gridCol w:w="3260"/>
        <w:gridCol w:w="3000"/>
      </w:tblGrid>
      <w:tr>
        <w:tc>
          <w:tcPr>
            <w:tcW w:type="dxa" w:w="27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mechanism</w:t>
            </w:r>
          </w:p>
        </w:tc>
        <w:tc>
          <w:tcPr>
            <w:tcW w:type="dxa" w:w="3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used for</w:t>
            </w:r>
          </w:p>
        </w:tc>
        <w:tc>
          <w:tcPr>
            <w:tcW w:type="dxa" w:w="30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changing it requires</w:t>
            </w:r>
          </w:p>
        </w:tc>
      </w:tr>
      <w:tr>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Environment variables (Vercel project settings)</w:t>
            </w:r>
          </w:p>
        </w:tc>
        <w:tc>
          <w:tcPr>
            <w:tcW w:type="dxa" w:w="3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Infrastructure secrets: database connection string, API keys (Paystack, Resend, blob storage), auth provider secrets</w:t>
            </w:r>
          </w:p>
        </w:tc>
        <w:tc>
          <w:tcPr>
            <w:tcW w:type="dxa" w:w="30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A redeploy (or Vercel's instant env var propagation, depending on variable type) — acceptable here because these change rarely and are not business-tunable values</w:t>
            </w:r>
          </w:p>
        </w:tc>
      </w:tr>
      <w:tr>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Database-backed configuration table(s)</w:t>
            </w:r>
          </w:p>
        </w:tc>
        <w:tc>
          <w:tcPr>
            <w:tcW w:type="dxa" w:w="3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Business-tunable values: commission_rate, booking auto-expiry window, ranking signal weights, paid placement boost cap and threshold (business logic Sections 2–4)</w:t>
            </w:r>
          </w:p>
        </w:tc>
        <w:tc>
          <w:tcPr>
            <w:tcW w:type="dxa" w:w="30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An update to a row in a platform_config table — no redeploy, no code change, consistent with PAY-LOGIC-001 and the configuration requirements throughout the business logic spec</w:t>
            </w:r>
          </w:p>
        </w:tc>
      </w:tr>
      <w:tr>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tenant_domains / tenant_branding tables</w:t>
            </w:r>
          </w:p>
        </w:tc>
        <w:tc>
          <w:tcPr>
            <w:tcW w:type="dxa" w:w="3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Vertical/domain mapping and branding (Section 2)</w:t>
            </w:r>
          </w:p>
        </w:tc>
        <w:tc>
          <w:tcPr>
            <w:tcW w:type="dxa" w:w="30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An insert/update to the relevant table — no redeploy</w:t>
            </w:r>
          </w:p>
        </w:tc>
      </w:tr>
    </w:tbl>
    <w:p>
      <w:pPr>
        <w:spacing w:after="100"/>
      </w:pPr>
      <w:r>
        <w:rPr>
          <w:rFonts w:ascii="Consolas" w:cs="Consolas" w:eastAsia="Consolas" w:hAnsi="Consolas"/>
          <w:b/>
          <w:bCs/>
          <w:sz w:val="18"/>
          <w:szCs w:val="18"/>
        </w:rPr>
        <w:t xml:space="preserve">ARCH-007  </w:t>
      </w:r>
      <w:r>
        <w:t xml:space="preserve">Business-tunable values defined as BUSINESS DECISION REQUIRED items in the business logic specification shall be implemented as rows in a database-backed configuration table, never as environment variables or hardcoded constants, since environment variables still require a deployment action to change on this stack.</w:t>
      </w:r>
    </w:p>
    <w:p>
      <w:pPr>
        <w:spacing w:after="100"/>
      </w:pPr>
      <w:r>
        <w:rPr>
          <w:rFonts w:ascii="Consolas" w:cs="Consolas" w:eastAsia="Consolas" w:hAnsi="Consolas"/>
          <w:b/>
          <w:bCs/>
          <w:sz w:val="18"/>
          <w:szCs w:val="18"/>
        </w:rPr>
        <w:t xml:space="preserve">ARCH-008  </w:t>
      </w:r>
      <w:r>
        <w:t xml:space="preserve">An administrative interface or direct database access for editing platform_config values is required for this requirement to be operationally usable; building that interface is not specified in this document (see Section 9, open items).</w:t>
      </w:r>
    </w:p>
    <w:p>
      <w:pPr>
        <w:pBdr>
          <w:bottom w:val="single" w:color="D9D6CC" w:sz="6" w:space="1"/>
        </w:pBdr>
        <w:spacing w:after="240" w:before="120"/>
      </w:pPr>
    </w:p>
    <w:p>
      <w:pPr>
        <w:pStyle w:val="Heading1"/>
      </w:pPr>
      <w:r>
        <w:t xml:space="preserve">5. Background jobs and scheduled tasks</w:t>
      </w:r>
    </w:p>
    <w:p>
      <w:pPr>
        <w:spacing w:after="160"/>
      </w:pPr>
      <w:r>
        <w:rPr>
          <w:b w:val="false"/>
          <w:bCs w:val="false"/>
          <w:i w:val="false"/>
          <w:iCs w:val="false"/>
        </w:rPr>
        <w:t xml:space="preserve">The business logic specification's booking auto-expiry rule (BOOK-LOGIC-005) requires a sweep that transitions stale requested bookings to declined after a configurable window. This is the only scheduled/background process currently required by the specification.</w:t>
      </w:r>
    </w:p>
    <w:p>
      <w:pPr>
        <w:spacing w:after="100"/>
      </w:pPr>
      <w:r>
        <w:rPr>
          <w:rFonts w:ascii="Consolas" w:cs="Consolas" w:eastAsia="Consolas" w:hAnsi="Consolas"/>
          <w:b/>
          <w:bCs/>
          <w:sz w:val="18"/>
          <w:szCs w:val="18"/>
        </w:rPr>
        <w:t xml:space="preserve">ARCH-009  </w:t>
      </w:r>
      <w:r>
        <w:t xml:space="preserve">A Vercel Cron job shall invoke an API route (e.g. /api/cron/booking-expiry) on a fixed schedule (e.g. hourly), which queries for bookings in the requested state older than the configured auto-expiry window (read from platform_config per ARCH-007) and transitions each to declined, per BOOK-LOGIC-005 and the state transition rules in business logic Section 2.1.</w:t>
      </w:r>
    </w:p>
    <w:p>
      <w:pPr>
        <w:spacing w:after="100"/>
      </w:pPr>
      <w:r>
        <w:rPr>
          <w:rFonts w:ascii="Consolas" w:cs="Consolas" w:eastAsia="Consolas" w:hAnsi="Consolas"/>
          <w:b/>
          <w:bCs/>
          <w:sz w:val="18"/>
          <w:szCs w:val="18"/>
        </w:rPr>
        <w:t xml:space="preserve">ARCH-010  </w:t>
      </w:r>
      <w:r>
        <w:t xml:space="preserve">The cron-invoked route shall be protected (e.g. by verifying a Vercel Cron secret header) so it cannot be triggered by arbitrary external requests.</w:t>
      </w:r>
    </w:p>
    <w:p>
      <w:pPr>
        <w:pBdr>
          <w:left w:val="single" w:color="639922" w:sz="18"/>
        </w:pBdr>
        <w:shd w:fill="EAF3DE" w:val="clear"/>
        <w:spacing w:after="0" w:before="160"/>
        <w:ind w:left="100"/>
      </w:pPr>
      <w:r>
        <w:rPr>
          <w:b/>
          <w:bCs/>
          <w:color w:val="3B6D11"/>
          <w:sz w:val="19"/>
          <w:szCs w:val="19"/>
        </w:rPr>
        <w:t xml:space="preserve">REFINES PRIOR DOCUMENT — Future scaling note</w:t>
      </w:r>
    </w:p>
    <w:p>
      <w:pPr>
        <w:shd w:fill="EAF3DE" w:val="clear"/>
        <w:spacing w:after="200"/>
        <w:ind w:left="100"/>
      </w:pPr>
      <w:r>
        <w:rPr>
          <w:color w:val="173404"/>
          <w:sz w:val="19"/>
          <w:szCs w:val="19"/>
        </w:rPr>
        <w:t xml:space="preserve">Vercel Cron's minimum granularity and execution model is sufficient for the booking volume expected at solo-dev/early-stage scale. If the platform later needs sub-minute precision, fan-out processing, or queue-based retry semantics, a dedicated job queue (e.g. Inngest, which integrates cleanly with Vercel) should be introduced at that point. This is explicitly not needed for v1 and should not be built preemptively.</w:t>
      </w:r>
    </w:p>
    <w:p>
      <w:pPr>
        <w:pBdr>
          <w:bottom w:val="single" w:color="D9D6CC" w:sz="6" w:space="1"/>
        </w:pBdr>
        <w:spacing w:after="240" w:before="120"/>
      </w:pPr>
    </w:p>
    <w:p>
      <w:pPr>
        <w:pStyle w:val="Heading1"/>
      </w:pPr>
      <w:r>
        <w:t xml:space="preserve">6. File and image handling</w:t>
      </w:r>
    </w:p>
    <w:p>
      <w:pPr>
        <w:spacing w:after="160"/>
      </w:pPr>
      <w:r>
        <w:rPr>
          <w:b w:val="false"/>
          <w:bCs w:val="false"/>
          <w:i w:val="false"/>
          <w:iCs w:val="false"/>
        </w:rPr>
        <w:t xml:space="preserve">Provider profile images, gallery images, service images, and file_upload-type dynamic fields (e.g. a DJ's sample mix audio file, per the PRD's dynamic schema worked example) all require file upload handling.</w:t>
      </w:r>
    </w:p>
    <w:p>
      <w:pPr>
        <w:pBdr>
          <w:left w:val="single" w:color="185FA5" w:sz="18"/>
        </w:pBdr>
        <w:shd w:fill="E6F1FB" w:val="clear"/>
        <w:spacing w:after="0" w:before="160"/>
        <w:ind w:left="100"/>
      </w:pPr>
      <w:r>
        <w:rPr>
          <w:b/>
          <w:bCs/>
          <w:color w:val="0C447C"/>
          <w:sz w:val="19"/>
          <w:szCs w:val="19"/>
        </w:rPr>
        <w:t xml:space="preserve">TECHNICAL DECISION — Direct-to-storage client upload vs. routing uploads through a server function</w:t>
      </w:r>
    </w:p>
    <w:p>
      <w:pPr>
        <w:shd w:fill="E6F1FB" w:val="clear"/>
        <w:spacing w:after="0"/>
        <w:ind w:left="100"/>
      </w:pPr>
      <w:r>
        <w:rPr>
          <w:color w:val="042C53"/>
          <w:sz w:val="19"/>
          <w:szCs w:val="19"/>
        </w:rPr>
        <w:t xml:space="preserve">Vercel serverless functions have a request body size limit (a few megabytes depending on plan tier). Routing a multi-megabyte audio file (a DJ sample mix) or several high-resolution gallery images through a server-side API route risks hitting this limit and is unnecessary overhead even when it doesn't. This constraint applies regardless of which storage provider sits behind it (Section 1.1 — Supabase Storage).</w:t>
      </w:r>
    </w:p>
    <w:p>
      <w:pPr>
        <w:shd w:fill="E6F1FB" w:val="clear"/>
        <w:spacing w:after="200"/>
        <w:ind w:left="100"/>
      </w:pPr>
      <w:r>
        <w:rPr>
          <w:i/>
          <w:iCs/>
          <w:color w:val="042C53"/>
          <w:sz w:val="19"/>
          <w:szCs w:val="19"/>
        </w:rPr>
        <w:t xml:space="preserve">Recommendation: Use Supabase Storage's signed-upload-URL pattern: the client requests a short-lived signed upload URL from a small server route (using the Supabase service role key, never exposed client-side), then uploads the file directly from the browser to Supabase Storage, bypassing the serverless function body-size constraint entirely. The server route only ever handles the small signed-URL request/response, not the file bytes themselves — the same shape of solution originally specified around Vercel Blob, now implemented against Supabase's equivalent mechanism.</w:t>
      </w:r>
    </w:p>
    <w:p>
      <w:pPr>
        <w:spacing w:after="100"/>
      </w:pPr>
      <w:r>
        <w:rPr>
          <w:rFonts w:ascii="Consolas" w:cs="Consolas" w:eastAsia="Consolas" w:hAnsi="Consolas"/>
          <w:b/>
          <w:bCs/>
          <w:sz w:val="18"/>
          <w:szCs w:val="18"/>
        </w:rPr>
        <w:t xml:space="preserve">ARCH-011  </w:t>
      </w:r>
      <w:r>
        <w:t xml:space="preserve">All file_upload and image_upload dynamic field types (PRD Section 6.2), plus provider gallery/profile images and service images, shall use Supabase Storage's direct client-to-storage upload pattern (signed upload URLs) rather than routing file bytes through a Next.js API route.</w:t>
      </w:r>
    </w:p>
    <w:p>
      <w:pPr>
        <w:spacing w:after="100"/>
      </w:pPr>
      <w:r>
        <w:rPr>
          <w:rFonts w:ascii="Consolas" w:cs="Consolas" w:eastAsia="Consolas" w:hAnsi="Consolas"/>
          <w:b/>
          <w:bCs/>
          <w:sz w:val="18"/>
          <w:szCs w:val="18"/>
        </w:rPr>
        <w:t xml:space="preserve">ARCH-012  </w:t>
      </w:r>
      <w:r>
        <w:t xml:space="preserve">File type and size constraints per field (e.g. audio files for sample_mix_upload vs. images for gallery) shall be enforced both client-side (for UX) and server-side at the point the signed upload URL is issued, since client-side validation alone is not trustworthy.</w:t>
      </w:r>
    </w:p>
    <w:p>
      <w:pPr>
        <w:spacing w:after="100"/>
      </w:pPr>
      <w:r>
        <w:rPr>
          <w:rFonts w:ascii="Consolas" w:cs="Consolas" w:eastAsia="Consolas" w:hAnsi="Consolas"/>
          <w:b/>
          <w:bCs/>
          <w:sz w:val="18"/>
          <w:szCs w:val="18"/>
        </w:rPr>
        <w:t xml:space="preserve">ARCH-021  </w:t>
      </w:r>
      <w:r>
        <w:t xml:space="preserve">Supabase Storage buckets shall be configured with row-level security policies scoped appropriately (e.g. a provider can only upload to their own provider-scoped storage path), consistent with Supabase's auth-integrated storage model — this is a meaningful difference from the originally-specified Vercel Blob token model and should not be skipped.</w:t>
      </w:r>
    </w:p>
    <w:p>
      <w:pPr>
        <w:pBdr>
          <w:bottom w:val="single" w:color="D9D6CC" w:sz="6" w:space="1"/>
        </w:pBdr>
        <w:spacing w:after="240" w:before="120"/>
      </w:pPr>
    </w:p>
    <w:p>
      <w:pPr>
        <w:pStyle w:val="Heading1"/>
      </w:pPr>
      <w:r>
        <w:t xml:space="preserve">7. Search implementation</w:t>
      </w:r>
    </w:p>
    <w:p>
      <w:pPr>
        <w:spacing w:after="160"/>
      </w:pPr>
      <w:r>
        <w:rPr>
          <w:b w:val="false"/>
          <w:bCs w:val="false"/>
          <w:i w:val="false"/>
          <w:iCs w:val="false"/>
        </w:rPr>
        <w:t xml:space="preserve">The business logic specification (Section 4) defines a relevance scoring model combining text match, location proximity, tag match, review quality, completed booking count, profile completeness, and a reliability penalty, composed with a paid placement boost.</w:t>
      </w:r>
    </w:p>
    <w:p>
      <w:pPr>
        <w:pBdr>
          <w:left w:val="single" w:color="185FA5" w:sz="18"/>
        </w:pBdr>
        <w:shd w:fill="E6F1FB" w:val="clear"/>
        <w:spacing w:after="0" w:before="160"/>
        <w:ind w:left="100"/>
      </w:pPr>
      <w:r>
        <w:rPr>
          <w:b/>
          <w:bCs/>
          <w:color w:val="0C447C"/>
          <w:sz w:val="19"/>
          <w:szCs w:val="19"/>
        </w:rPr>
        <w:t xml:space="preserve">TECHNICAL DECISION — Postgres native search vs. a dedicated search service</w:t>
      </w:r>
    </w:p>
    <w:p>
      <w:pPr>
        <w:shd w:fill="E6F1FB" w:val="clear"/>
        <w:spacing w:after="0"/>
        <w:ind w:left="100"/>
      </w:pPr>
      <w:r>
        <w:rPr>
          <w:color w:val="042C53"/>
          <w:sz w:val="19"/>
          <w:szCs w:val="19"/>
        </w:rPr>
        <w:t xml:space="preserve">A dedicated search service (Algolia, Elasticsearch/OpenSearch, Typesense) offers more sophisticated relevance tuning and faster fuzzy search at scale, but introduces a second system to operate, sync, and pay for — disproportionate overhead for a solo developer launching a v1 with a modest initial provider count per vertical.</w:t>
      </w:r>
    </w:p>
    <w:p>
      <w:pPr>
        <w:shd w:fill="E6F1FB" w:val="clear"/>
        <w:spacing w:after="200"/>
        <w:ind w:left="100"/>
      </w:pPr>
      <w:r>
        <w:rPr>
          <w:i/>
          <w:iCs/>
          <w:color w:val="042C53"/>
          <w:sz w:val="19"/>
          <w:szCs w:val="19"/>
        </w:rPr>
        <w:t xml:space="preserve">Recommendation: Implement search using Postgres's built-in full-text search (tsvector/tsquery) combined with the pg_trgm extension for fuzzy/typo-tolerant text matching. Compose the final ranking score (business logic RANK-LOGIC-001 through 007) as a single scoring query combining the text-match component with the other weighted signals, all readable from platform_config (ARCH-007). Revisit a dedicated search service only if query volume or relevance quality genuinely demands it post-launch — this is a reversible decision, not an architectural commitment that locks the system in.</w:t>
      </w:r>
    </w:p>
    <w:p>
      <w:pPr>
        <w:spacing w:after="100"/>
      </w:pPr>
      <w:r>
        <w:rPr>
          <w:rFonts w:ascii="Consolas" w:cs="Consolas" w:eastAsia="Consolas" w:hAnsi="Consolas"/>
          <w:b/>
          <w:bCs/>
          <w:sz w:val="18"/>
          <w:szCs w:val="18"/>
        </w:rPr>
        <w:t xml:space="preserve">ARCH-013  </w:t>
      </w:r>
      <w:r>
        <w:t xml:space="preserve">Provider search shall query the shared Postgres database directly using full-text search and pg_trgm, scoped by the tenant's resolved provider_category (Section 2) and any active filters, with the ranking score computed per the business logic specification's formula.</w:t>
      </w:r>
    </w:p>
    <w:p>
      <w:pPr>
        <w:pBdr>
          <w:bottom w:val="single" w:color="D9D6CC" w:sz="6" w:space="1"/>
        </w:pBdr>
        <w:spacing w:after="240" w:before="120"/>
      </w:pPr>
    </w:p>
    <w:p>
      <w:pPr>
        <w:pStyle w:val="Heading1"/>
      </w:pPr>
      <w:r>
        <w:t xml:space="preserve">8. Environments and deployment</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300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environment</w:t>
            </w:r>
          </w:p>
        </w:tc>
        <w:tc>
          <w:tcPr>
            <w:tcW w:type="dxa" w:w="47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purpose</w:t>
            </w:r>
          </w:p>
        </w:tc>
        <w:tc>
          <w:tcPr>
            <w:tcW w:type="dxa" w:w="30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database</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Production</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Live traffic on all registered vertical domains plus the home marketplace domain</w:t>
            </w:r>
          </w:p>
        </w:tc>
        <w:tc>
          <w:tcPr>
            <w:tcW w:type="dxa" w:w="30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Production Postgres branch/instance</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Preview</w:t>
            </w:r>
          </w:p>
        </w:tc>
        <w:tc>
          <w:tcPr>
            <w:tcW w:type="dxa" w:w="4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Vercel's automatic preview deployment per branch/pull request, used even as a solo developer to review changes before merging to production</w:t>
            </w:r>
          </w:p>
        </w:tc>
        <w:tc>
          <w:tcPr>
            <w:tcW w:type="dxa" w:w="30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Isolated preview database branch (if using a provider supporting database branching), preventing preview testing from touching production data</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Local development</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Local machine, local or development-tier database connection</w:t>
            </w:r>
          </w:p>
        </w:tc>
        <w:tc>
          <w:tcPr>
            <w:tcW w:type="dxa" w:w="30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Local/dev Postgres instance or a shared dev branch</w:t>
            </w:r>
          </w:p>
        </w:tc>
      </w:tr>
    </w:tbl>
    <w:p>
      <w:pPr>
        <w:spacing w:after="100"/>
      </w:pPr>
      <w:r>
        <w:rPr>
          <w:rFonts w:ascii="Consolas" w:cs="Consolas" w:eastAsia="Consolas" w:hAnsi="Consolas"/>
          <w:b/>
          <w:bCs/>
          <w:sz w:val="18"/>
          <w:szCs w:val="18"/>
        </w:rPr>
        <w:t xml:space="preserve">ARCH-014  </w:t>
      </w:r>
      <w:r>
        <w:t xml:space="preserve">Production deployment shall occur on merge to the main branch. All other branches shall deploy as Vercel preview deployments, not production.</w:t>
      </w:r>
    </w:p>
    <w:p>
      <w:pPr>
        <w:spacing w:after="100"/>
      </w:pPr>
      <w:r>
        <w:rPr>
          <w:rFonts w:ascii="Consolas" w:cs="Consolas" w:eastAsia="Consolas" w:hAnsi="Consolas"/>
          <w:b/>
          <w:bCs/>
          <w:sz w:val="18"/>
          <w:szCs w:val="18"/>
        </w:rPr>
        <w:t xml:space="preserve">ARCH-015  </w:t>
      </w:r>
      <w:r>
        <w:t xml:space="preserve">Database migrations (Prisma) shall be applied as part of the deployment process, not run manually against production on an ad hoc basis, to keep schema state reproducible and auditable.</w:t>
      </w:r>
    </w:p>
    <w:p>
      <w:pPr>
        <w:pBdr>
          <w:bottom w:val="single" w:color="D9D6CC" w:sz="6" w:space="1"/>
        </w:pBdr>
        <w:spacing w:after="240" w:before="120"/>
      </w:pPr>
    </w:p>
    <w:p>
      <w:pPr>
        <w:pStyle w:val="Heading1"/>
      </w:pPr>
      <w:r>
        <w:t xml:space="preserve">9. Security and operational basics</w:t>
      </w:r>
    </w:p>
    <w:p>
      <w:pPr>
        <w:spacing w:after="160"/>
      </w:pPr>
      <w:r>
        <w:rPr>
          <w:b w:val="false"/>
          <w:bCs w:val="false"/>
          <w:i w:val="false"/>
          <w:iCs w:val="false"/>
        </w:rPr>
        <w:t xml:space="preserve">The following are baseline practices proportionate to a solo-developer build — deliberately not enterprise-scale process (no separate security team review gate, no multi-region failover requirement at this stage), but not skipped either.</w:t>
      </w:r>
    </w:p>
    <w:p>
      <w:pPr>
        <w:spacing w:after="100"/>
      </w:pPr>
      <w:r>
        <w:rPr>
          <w:rFonts w:ascii="Consolas" w:cs="Consolas" w:eastAsia="Consolas" w:hAnsi="Consolas"/>
          <w:b/>
          <w:bCs/>
          <w:sz w:val="18"/>
          <w:szCs w:val="18"/>
        </w:rPr>
        <w:t xml:space="preserve">ARCH-016  </w:t>
      </w:r>
      <w:r>
        <w:t xml:space="preserve">All secrets (database connection strings, Paystack API keys, Resend API key, auth provider secrets) shall be stored as Vercel environment variables and never committed to the repository.</w:t>
      </w:r>
    </w:p>
    <w:p>
      <w:pPr>
        <w:spacing w:after="100"/>
      </w:pPr>
      <w:r>
        <w:rPr>
          <w:rFonts w:ascii="Consolas" w:cs="Consolas" w:eastAsia="Consolas" w:hAnsi="Consolas"/>
          <w:b/>
          <w:bCs/>
          <w:sz w:val="18"/>
          <w:szCs w:val="18"/>
        </w:rPr>
        <w:t xml:space="preserve">ARCH-017  </w:t>
      </w:r>
      <w:r>
        <w:t xml:space="preserve">Public-facing API routes that create data (booking creation, review submission, content posts) shall implement basic rate limiting to reduce abuse risk, even at solo-dev scale, since these routes are reachable by anyone on the public vertical sites.</w:t>
      </w:r>
    </w:p>
    <w:p>
      <w:pPr>
        <w:spacing w:after="100"/>
      </w:pPr>
      <w:r>
        <w:rPr>
          <w:rFonts w:ascii="Consolas" w:cs="Consolas" w:eastAsia="Consolas" w:hAnsi="Consolas"/>
          <w:b/>
          <w:bCs/>
          <w:sz w:val="18"/>
          <w:szCs w:val="18"/>
        </w:rPr>
        <w:t xml:space="preserve">ARCH-018  </w:t>
      </w:r>
      <w:r>
        <w:t xml:space="preserve">Paystack webhook endpoints shall verify the webhook signature before processing any payment-state-changing event, to prevent forged payment confirmation requests.</w:t>
      </w:r>
    </w:p>
    <w:p>
      <w:pPr>
        <w:spacing w:after="100"/>
      </w:pPr>
      <w:r>
        <w:rPr>
          <w:rFonts w:ascii="Consolas" w:cs="Consolas" w:eastAsia="Consolas" w:hAnsi="Consolas"/>
          <w:b/>
          <w:bCs/>
          <w:sz w:val="18"/>
          <w:szCs w:val="18"/>
        </w:rPr>
        <w:t xml:space="preserve">ARCH-019  </w:t>
      </w:r>
      <w:r>
        <w:t xml:space="preserve">Prisma migrations shall be treated as the single source of schema truth. No manual, undocumented schema changes shall be made directly against the production database.</w:t>
      </w:r>
    </w:p>
    <w:p>
      <w:pPr>
        <w:spacing w:after="160"/>
      </w:pPr>
      <w:r>
        <w:rPr>
          <w:b w:val="false"/>
          <w:bCs w:val="false"/>
          <w:i w:val="false"/>
          <w:iCs w:val="false"/>
        </w:rPr>
        <w:t xml:space="preserve">Explicitly out of scope at this stage, as disproportionate to a solo-developer build: container orchestration (Kubernetes), a microservice split, a dedicated API gateway, and multi-region active-active deployment. The single Next.js monolith on Vercel, scaling via Vercel's own serverless infrastructure, is the correct architecture for the current stage — these heavier patterns should only be reconsidered if and when concrete scaling evidence demands them, not preemptively.</w:t>
      </w:r>
    </w:p>
    <w:p>
      <w:pPr>
        <w:pBdr>
          <w:bottom w:val="single" w:color="D9D6CC" w:sz="6" w:space="1"/>
        </w:pBdr>
        <w:spacing w:after="240" w:before="120"/>
      </w:pPr>
    </w:p>
    <w:p>
      <w:pPr>
        <w:pStyle w:val="Heading1"/>
      </w:pPr>
      <w:r>
        <w:t xml:space="preserve">10. Summary of technical decisions requiring sign-off</w:t>
      </w:r>
    </w:p>
    <w:p>
      <w:pPr>
        <w:spacing w:after="160"/>
      </w:pPr>
      <w:r>
        <w:rPr>
          <w:b w:val="false"/>
          <w:bCs w:val="false"/>
          <w:i w:val="false"/>
          <w:iCs w:val="false"/>
        </w:rPr>
        <w:t xml:space="preserve">Consolidated from the TECHNICAL DECISION blocks throughout this document. Items 1 and 2 below were originally open technical decisions but have since been resolved (Section 1.1) — retained here with their final outcome rather than removed, so the decision history stays traceable.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500"/>
        <w:gridCol w:w="3160"/>
      </w:tblGrid>
      <w:tr>
        <w:tc>
          <w:tcPr>
            <w:tcW w:type="dxa" w:w="5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w:t>
            </w:r>
          </w:p>
        </w:tc>
        <w:tc>
          <w:tcPr>
            <w:tcW w:type="dxa" w:w="4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decision</w:t>
            </w:r>
          </w:p>
        </w:tc>
        <w:tc>
          <w:tcPr>
            <w:tcW w:type="dxa" w:w="15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section</w:t>
            </w:r>
          </w:p>
        </w:tc>
        <w:tc>
          <w:tcPr>
            <w:tcW w:type="dxa" w:w="31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outcome</w:t>
            </w:r>
          </w:p>
        </w:tc>
      </w:tr>
      <w:tr>
        <w:tc>
          <w:tcPr>
            <w:tcW w:type="dxa" w:w="5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1</w:t>
            </w:r>
          </w:p>
        </w:tc>
        <w:tc>
          <w:tcPr>
            <w:tcW w:type="dxa" w:w="4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Database provider (originally Neon vs. Vercel Postgres vs. Supabase)</w:t>
            </w:r>
          </w:p>
        </w:tc>
        <w:tc>
          <w:tcPr>
            <w:tcW w:type="dxa" w:w="15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1.1</w:t>
            </w:r>
          </w:p>
        </w:tc>
        <w:tc>
          <w:tcPr>
            <w:tcW w:type="dxa" w:w="31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RESOLVED — Supabase Postgres, consolidated with auth and storage per the Clerk/Google-Cloud constraint</w:t>
            </w:r>
          </w:p>
        </w:tc>
      </w:tr>
      <w:tr>
        <w:tc>
          <w:tcPr>
            <w:tcW w:type="dxa" w:w="5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2</w:t>
            </w:r>
          </w:p>
        </w:tc>
        <w:tc>
          <w:tcPr>
            <w:tcW w:type="dxa" w:w="4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Auth provider (originally managed e.g. Clerk vs. self-hosted Auth.js)</w:t>
            </w:r>
          </w:p>
        </w:tc>
        <w:tc>
          <w:tcPr>
            <w:tcW w:type="dxa" w:w="15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1.1</w:t>
            </w:r>
          </w:p>
        </w:tc>
        <w:tc>
          <w:tcPr>
            <w:tcW w:type="dxa" w:w="31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RESOLVED — Supabase Auth, to avoid Clerk's Google Cloud project requirement</w:t>
            </w:r>
          </w:p>
        </w:tc>
      </w:tr>
      <w:tr>
        <w:tc>
          <w:tcPr>
            <w:tcW w:type="dxa" w:w="5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3</w:t>
            </w:r>
          </w:p>
        </w:tc>
        <w:tc>
          <w:tcPr>
            <w:tcW w:type="dxa" w:w="4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File upload pattern (direct-to-storage vs. server-routed)</w:t>
            </w:r>
          </w:p>
        </w:tc>
        <w:tc>
          <w:tcPr>
            <w:tcW w:type="dxa" w:w="15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Section 6</w:t>
            </w:r>
          </w:p>
        </w:tc>
        <w:tc>
          <w:tcPr>
            <w:tcW w:type="dxa" w:w="31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Direct-to-storage client upload via Supabase Storage signed upload URLs</w:t>
            </w:r>
          </w:p>
        </w:tc>
      </w:tr>
      <w:tr>
        <w:tc>
          <w:tcPr>
            <w:tcW w:type="dxa" w:w="5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4</w:t>
            </w:r>
          </w:p>
        </w:tc>
        <w:tc>
          <w:tcPr>
            <w:tcW w:type="dxa" w:w="4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Search implementation (Postgres native vs. dedicated search service)</w:t>
            </w:r>
          </w:p>
        </w:tc>
        <w:tc>
          <w:tcPr>
            <w:tcW w:type="dxa" w:w="15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Section 7</w:t>
            </w:r>
          </w:p>
        </w:tc>
        <w:tc>
          <w:tcPr>
            <w:tcW w:type="dxa" w:w="31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Postgres full-text search + pg_trgm for v1; revisit only if scale demands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6"/>
        <w:szCs w:val="16"/>
      </w:rPr>
      <w:t xml:space="preserve">Page </w:t>
    </w:r>
    <w:r>
      <w:rPr>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780"/>
        <w:sz w:val="16"/>
        <w:szCs w:val="16"/>
      </w:rPr>
      <w:t xml:space="preserve">Providers platform — tech stack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8"/>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C2C2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4444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2026-06-20T01:03:31.233Z</dcterms:created>
  <dcterms:modified xsi:type="dcterms:W3CDTF">2026-06-20T01:03:31.248Z</dcterms:modified>
</cp:coreProperties>
</file>

<file path=docProps/custom.xml><?xml version="1.0" encoding="utf-8"?>
<Properties xmlns="http://schemas.openxmlformats.org/officeDocument/2006/custom-properties" xmlns:vt="http://schemas.openxmlformats.org/officeDocument/2006/docPropsVTypes"/>
</file>