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Multi-vertical service provider marketplace — core application specification</w:t>
      </w:r>
    </w:p>
    <w:p>
      <w:pPr>
        <w:spacing w:after="80"/>
      </w:pPr>
      <w:r>
        <w:rPr>
          <w:b/>
          <w:bCs/>
          <w:sz w:val="22"/>
          <w:szCs w:val="22"/>
        </w:rPr>
        <w:t xml:space="preserve">Document type: </w:t>
      </w:r>
      <w:r>
        <w:rPr>
          <w:sz w:val="22"/>
          <w:szCs w:val="22"/>
        </w:rPr>
        <w:t xml:space="preserve">Product requirements document (build specification)</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Scope: </w:t>
      </w:r>
      <w:r>
        <w:rPr>
          <w:sz w:val="22"/>
          <w:szCs w:val="22"/>
        </w:rPr>
        <w:t xml:space="preserve">Core providers platform only (customers, providers, bookings, multi-vertical deployment)</w:t>
      </w:r>
    </w:p>
    <w:p>
      <w:pPr>
        <w:spacing w:after="80"/>
      </w:pPr>
      <w:r>
        <w:rPr>
          <w:b/>
          <w:bCs/>
          <w:sz w:val="22"/>
          <w:szCs w:val="22"/>
        </w:rPr>
        <w:t xml:space="preserve">Out of scope: </w:t>
      </w:r>
      <w:r>
        <w:rPr>
          <w:sz w:val="22"/>
          <w:szCs w:val="22"/>
        </w:rPr>
        <w:t xml:space="preserve">Partners app, home marketplace aggregator, payment gateway integration build (see Section 17)</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use this document</w:t>
      </w:r>
    </w:p>
    <w:p>
      <w:pPr>
        <w:spacing w:after="160"/>
      </w:pPr>
      <w:r>
        <w:rPr>
          <w:b w:val="false"/>
          <w:bCs w:val="false"/>
          <w:i w:val="false"/>
          <w:iCs w:val="false"/>
        </w:rPr>
        <w:t xml:space="preserve">This document is a build specification, not a pitch document. It is written for consumption by an AI coding agent or development team implementing the system directly. Requirements are stated as explicit, numbered, testable rules using “shall” / “must” / “should” language. Where a decision has not yet been made, it is flagged explicitly as an open question in Section 17 rather than implied.</w:t>
      </w:r>
    </w:p>
    <w:p>
      <w:pPr>
        <w:spacing w:after="160"/>
      </w:pPr>
      <w:r>
        <w:rPr>
          <w:b w:val="false"/>
          <w:bCs w:val="false"/>
          <w:i w:val="false"/>
          <w:iCs w:val="false"/>
        </w:rPr>
        <w:t xml:space="preserve">Conventions used throughout:</w:t>
      </w:r>
    </w:p>
    <w:p>
      <w:pPr>
        <w:pStyle w:val="ListParagraph"/>
        <w:numPr>
          <w:ilvl w:val="0"/>
          <w:numId w:val="2"/>
        </w:numPr>
        <w:spacing w:after="80"/>
      </w:pPr>
      <w:r>
        <w:t xml:space="preserve">Requirement IDs follow the pattern [SECTION-NNN], e.g. PROV-003, and are referenced elsewhere in the document where a dependency exists.</w:t>
      </w:r>
    </w:p>
    <w:p>
      <w:pPr>
        <w:pStyle w:val="ListParagraph"/>
        <w:numPr>
          <w:ilvl w:val="0"/>
          <w:numId w:val="2"/>
        </w:numPr>
        <w:spacing w:after="80"/>
      </w:pPr>
      <w:r>
        <w:t xml:space="preserve">“Shall” denotes a mandatory requirement. “Should” denotes a strong recommendation that may be deferred without blocking launch. “May” denotes optional/future scope.</w:t>
      </w:r>
    </w:p>
    <w:p>
      <w:pPr>
        <w:pStyle w:val="ListParagraph"/>
        <w:numPr>
          <w:ilvl w:val="0"/>
          <w:numId w:val="2"/>
        </w:numPr>
        <w:spacing w:after="80"/>
      </w:pPr>
      <w:r>
        <w:t xml:space="preserve">Entity and field names are given in snake_case to match expected database column naming, and should be treated as authoritative unless the implementing team has a documented naming convention that supersedes it.</w:t>
      </w:r>
    </w:p>
    <w:p>
      <w:pPr>
        <w:pBdr>
          <w:bottom w:val="single" w:color="D9D6CC" w:sz="6" w:space="1"/>
        </w:pBdr>
        <w:spacing w:after="240" w:before="120"/>
      </w:pPr>
    </w:p>
    <w:p>
      <w:pPr>
        <w:pStyle w:val="Heading1"/>
      </w:pPr>
      <w:r>
        <w:t xml:space="preserve">1. Product overview</w:t>
      </w:r>
    </w:p>
    <w:p>
      <w:pPr>
        <w:spacing w:after="160"/>
      </w:pPr>
      <w:r>
        <w:rPr>
          <w:b w:val="false"/>
          <w:bCs w:val="false"/>
          <w:i w:val="false"/>
          <w:iCs w:val="false"/>
        </w:rPr>
        <w:t xml:space="preserve">The providers platform is a multi-tenant, multi-vertical service marketplace. A single core application and a single shared database support multiple independently branded, independently deployed front-end sites (“verticals”), each scoped to one service category (e.g. cleaning services, event services, security services). Each vertical deployment is produced from the same codebase, differentiated only by configuration (category filter, branding, domain).</w:t>
      </w:r>
    </w:p>
    <w:p>
      <w:pPr>
        <w:spacing w:after="160"/>
      </w:pPr>
      <w:r>
        <w:rPr>
          <w:b w:val="false"/>
          <w:bCs w:val="false"/>
          <w:i w:val="false"/>
          <w:iCs w:val="false"/>
        </w:rPr>
        <w:t xml:space="preserve">On each vertical site, customers can search for and discover service providers, view provider profiles and the services they offer, and book providers directly through the platform. Providers manage their own profile, services, and bookings through a provider dashboard. The platform charges a commission on services booked and paid for through the platform.</w:t>
      </w:r>
    </w:p>
    <w:p>
      <w:pPr>
        <w:spacing w:after="160"/>
      </w:pPr>
      <w:r>
        <w:rPr>
          <w:b w:val="false"/>
          <w:bCs w:val="false"/>
          <w:i w:val="false"/>
          <w:iCs w:val="false"/>
        </w:rPr>
        <w:t xml:space="preserve">A separate, unfiltered “home marketplace” deployment aggregates providers across all verticals into a single site. The home marketplace additionally surfaces a provider search, featured providers, and featured provider specials/deals on its landing page.</w:t>
      </w:r>
    </w:p>
    <w:p>
      <w:pPr>
        <w:spacing w:after="160"/>
      </w:pPr>
      <w:r>
        <w:rPr>
          <w:b w:val="false"/>
          <w:bCs w:val="false"/>
          <w:i w:val="false"/>
          <w:iCs w:val="false"/>
        </w:rPr>
        <w:t xml:space="preserve">Because different verticals contain structurally different provider types (e.g. an event-services vertical contains both DJs and caterers, each requiring different profile information), the platform implements a configuration-driven dynamic schema for provider profile data rather than a fixed, type-specific data model. This allows new provider types — and new verticals — to be added through configuration rather than through code changes or database migrations.</w:t>
      </w:r>
    </w:p>
    <w:p>
      <w:pPr>
        <w:pStyle w:val="Heading2"/>
      </w:pPr>
      <w:r>
        <w:t xml:space="preserve">1.1 Relationship to adjacent systems</w:t>
      </w:r>
    </w:p>
    <w:p>
      <w:pPr>
        <w:spacing w:after="160"/>
      </w:pPr>
      <w:r>
        <w:rPr>
          <w:b w:val="false"/>
          <w:bCs w:val="false"/>
          <w:i w:val="false"/>
          <w:iCs w:val="false"/>
        </w:rPr>
        <w:t xml:space="preserve">This document specifies the core providers platform only. Two adjacent systems are explicitly out of scope here and are referenced only where the providers platform must integrate with them:</w:t>
      </w:r>
    </w:p>
    <w:p>
      <w:pPr>
        <w:pStyle w:val="ListParagraph"/>
        <w:numPr>
          <w:ilvl w:val="0"/>
          <w:numId w:val="2"/>
        </w:numPr>
        <w:spacing w:after="80"/>
      </w:pPr>
      <w:r>
        <w:t xml:space="preserve">Partners app — a separate, simpler application where business-service partners (e.g. compliance, brand design, copywriting) maintain a generic profile, list services, and publish content. Providers hire partners through a separate flow not detailed in this document.</w:t>
      </w:r>
    </w:p>
    <w:p>
      <w:pPr>
        <w:pStyle w:val="ListParagraph"/>
        <w:numPr>
          <w:ilvl w:val="0"/>
          <w:numId w:val="2"/>
        </w:numPr>
        <w:spacing w:after="80"/>
      </w:pPr>
      <w:r>
        <w:t xml:space="preserve">Home marketplace app — the unfiltered, all-verticals aggregator site. Its data dependency on the core schema is noted in Section 11, but its UI/UX is not specified here.</w:t>
      </w:r>
    </w:p>
    <w:p>
      <w:pPr>
        <w:pBdr>
          <w:bottom w:val="single" w:color="D9D6CC" w:sz="6" w:space="1"/>
        </w:pBdr>
        <w:spacing w:after="240" w:before="120"/>
      </w:pPr>
    </w:p>
    <w:p>
      <w:pPr>
        <w:pStyle w:val="Heading1"/>
      </w:pPr>
      <w:r>
        <w:t xml:space="preserve">2. Goals and non-goals</w:t>
      </w:r>
    </w:p>
    <w:p>
      <w:pPr>
        <w:pStyle w:val="Heading2"/>
      </w:pPr>
      <w:r>
        <w:t xml:space="preserve">2.1 Goals</w:t>
      </w:r>
    </w:p>
    <w:p>
      <w:pPr>
        <w:pStyle w:val="ListParagraph"/>
        <w:numPr>
          <w:ilvl w:val="0"/>
          <w:numId w:val="3"/>
        </w:numPr>
        <w:spacing w:after="80"/>
      </w:pPr>
      <w:r>
        <w:t xml:space="preserve">Enable a provider business to create a complete, searchable, bookable profile on the platform, with profile fields tailored to its specific provider type.</w:t>
      </w:r>
    </w:p>
    <w:p>
      <w:pPr>
        <w:pStyle w:val="ListParagraph"/>
        <w:numPr>
          <w:ilvl w:val="0"/>
          <w:numId w:val="3"/>
        </w:numPr>
        <w:spacing w:after="80"/>
      </w:pPr>
      <w:r>
        <w:t xml:space="preserve">Enable a customer to search, compare, and book a provider on a given vertical site, and to leave a review only after a completed booking.</w:t>
      </w:r>
    </w:p>
    <w:p>
      <w:pPr>
        <w:pStyle w:val="ListParagraph"/>
        <w:numPr>
          <w:ilvl w:val="0"/>
          <w:numId w:val="3"/>
        </w:numPr>
        <w:spacing w:after="80"/>
      </w:pPr>
      <w:r>
        <w:t xml:space="preserve">Support deployment of new verticals (new service categories) without code changes — configuration only.</w:t>
      </w:r>
    </w:p>
    <w:p>
      <w:pPr>
        <w:pStyle w:val="ListParagraph"/>
        <w:numPr>
          <w:ilvl w:val="0"/>
          <w:numId w:val="3"/>
        </w:numPr>
        <w:spacing w:after="80"/>
      </w:pPr>
      <w:r>
        <w:t xml:space="preserve">Support deployment of new provider types within an existing vertical (e.g. adding “wedding planner” to the events vertical) without schema migrations — configuration only.</w:t>
      </w:r>
    </w:p>
    <w:p>
      <w:pPr>
        <w:pStyle w:val="ListParagraph"/>
        <w:numPr>
          <w:ilvl w:val="0"/>
          <w:numId w:val="3"/>
        </w:numPr>
        <w:spacing w:after="80"/>
      </w:pPr>
      <w:r>
        <w:t xml:space="preserve">Process bookings and provider payouts with the platform commission deducted, without the platform itself holding customer or provider funds (see Section 15).</w:t>
      </w:r>
    </w:p>
    <w:p>
      <w:pPr>
        <w:pStyle w:val="ListParagraph"/>
        <w:numPr>
          <w:ilvl w:val="0"/>
          <w:numId w:val="3"/>
        </w:numPr>
        <w:spacing w:after="80"/>
      </w:pPr>
      <w:r>
        <w:t xml:space="preserve">Ensure each vertical site is independently indexable and rankable by search engines for category + location queries (e.g. “cleaning services in Queenstown”).</w:t>
      </w:r>
    </w:p>
    <w:p>
      <w:pPr>
        <w:pStyle w:val="Heading2"/>
      </w:pPr>
      <w:r>
        <w:t xml:space="preserve">2.2 Non-goals (for this document)</w:t>
      </w:r>
    </w:p>
    <w:p>
      <w:pPr>
        <w:pStyle w:val="ListParagraph"/>
        <w:numPr>
          <w:ilvl w:val="0"/>
          <w:numId w:val="2"/>
        </w:numPr>
        <w:spacing w:after="80"/>
      </w:pPr>
      <w:r>
        <w:t xml:space="preserve">The partners app and its data model are not specified here (see Section 17).</w:t>
      </w:r>
    </w:p>
    <w:p>
      <w:pPr>
        <w:pStyle w:val="ListParagraph"/>
        <w:numPr>
          <w:ilvl w:val="0"/>
          <w:numId w:val="2"/>
        </w:numPr>
        <w:spacing w:after="80"/>
      </w:pPr>
      <w:r>
        <w:t xml:space="preserve">The home marketplace app's full UI/UX is not specified here; only its data dependency on the core platform is noted.</w:t>
      </w:r>
    </w:p>
    <w:p>
      <w:pPr>
        <w:pStyle w:val="ListParagraph"/>
        <w:numPr>
          <w:ilvl w:val="0"/>
          <w:numId w:val="2"/>
        </w:numPr>
        <w:spacing w:after="80"/>
      </w:pPr>
      <w:r>
        <w:t xml:space="preserve">Specific commission percentages are not finalized in this document (see Section 15 and Section 17).</w:t>
      </w:r>
    </w:p>
    <w:p>
      <w:pPr>
        <w:pStyle w:val="ListParagraph"/>
        <w:numPr>
          <w:ilvl w:val="0"/>
          <w:numId w:val="2"/>
        </w:numPr>
        <w:spacing w:after="80"/>
      </w:pPr>
      <w:r>
        <w:t xml:space="preserve">Payment gateway selection and integration detail are not finalized in this document (see Section 15 and Section 17).</w:t>
      </w:r>
    </w:p>
    <w:p>
      <w:pPr>
        <w:pBdr>
          <w:bottom w:val="single" w:color="D9D6CC" w:sz="6" w:space="1"/>
        </w:pBdr>
        <w:spacing w:after="240" w:before="120"/>
      </w:pPr>
    </w:p>
    <w:p>
      <w:pPr>
        <w:pStyle w:val="Heading1"/>
      </w:pPr>
      <w:r>
        <w:t xml:space="preserve">3. Actors and roles</w:t>
      </w:r>
    </w:p>
    <w:p>
      <w:pPr>
        <w:pStyle w:val="Heading2"/>
      </w:pPr>
      <w:r>
        <w:t xml:space="preserve">3.1 Customer</w:t>
      </w:r>
    </w:p>
    <w:p>
      <w:pPr>
        <w:spacing w:after="160"/>
      </w:pPr>
      <w:r>
        <w:rPr>
          <w:b w:val="false"/>
          <w:bCs w:val="false"/>
          <w:i w:val="false"/>
          <w:iCs w:val="false"/>
        </w:rPr>
        <w:t xml:space="preserve">A public, unauthenticated visitor until they choose to book a provider, at which point an account is required. Customers can browse and search providers, view provider profiles and services, and view the public content feed without an account. Customers must create an account to book a provider, and can only review a provider after a booking with that provider has been marked complete.</w:t>
      </w:r>
    </w:p>
    <w:p>
      <w:pPr>
        <w:pStyle w:val="Heading2"/>
      </w:pPr>
      <w:r>
        <w:t xml:space="preserve">3.2 Provider</w:t>
      </w:r>
    </w:p>
    <w:p>
      <w:pPr>
        <w:spacing w:after="160"/>
      </w:pPr>
      <w:r>
        <w:rPr>
          <w:b w:val="false"/>
          <w:bCs w:val="false"/>
          <w:i w:val="false"/>
          <w:iCs w:val="false"/>
        </w:rPr>
        <w:t xml:space="preserve">A business entity that lists itself on the platform within a single vertical and a single provider type within that vertical. Providers manage their profile, services, bookings, and social content through an authenticated provider dashboard. Providers may browse and hire partners through a partner-facing flow (see Section 17 — partner integration is out of scope for this document but the touchpoint is noted).</w:t>
      </w:r>
    </w:p>
    <w:p>
      <w:pPr>
        <w:pStyle w:val="Heading2"/>
      </w:pPr>
      <w:r>
        <w:t xml:space="preserve">3.3 Platform administrator</w:t>
      </w:r>
    </w:p>
    <w:p>
      <w:pPr>
        <w:spacing w:after="160"/>
      </w:pPr>
      <w:r>
        <w:rPr>
          <w:b w:val="false"/>
          <w:bCs w:val="false"/>
          <w:i w:val="false"/>
          <w:iCs w:val="false"/>
        </w:rPr>
        <w:t xml:space="preserve">An internal role with authority to configure provider categories, provider types, field definitions, form configurations, and tags (see Section 7). Administrators may also moderate provider listings, content, and reviews. Full admin tooling requirements are not detailed in this document and should be treated as a follow-on specification.</w:t>
      </w:r>
    </w:p>
    <w:p>
      <w:pPr>
        <w:pStyle w:val="Heading2"/>
      </w:pPr>
      <w:r>
        <w:t xml:space="preserve">3.4 Partner (referenced only)</w:t>
      </w:r>
    </w:p>
    <w:p>
      <w:pPr>
        <w:spacing w:after="160"/>
      </w:pPr>
      <w:r>
        <w:rPr>
          <w:b w:val="false"/>
          <w:bCs w:val="false"/>
          <w:i w:val="false"/>
          <w:iCs w:val="false"/>
        </w:rPr>
        <w:t xml:space="preserve">A business-services provider (compliance, brand design, copywriting, etc.) operating in a separate app. Referenced here only as the counterparty when a Provider initiates a partner hire. Full partner requirements are out of scope (Section 17).</w:t>
      </w:r>
    </w:p>
    <w:p>
      <w:pPr>
        <w:pBdr>
          <w:bottom w:val="single" w:color="D9D6CC" w:sz="6" w:space="1"/>
        </w:pBdr>
        <w:spacing w:after="240" w:before="120"/>
      </w:pPr>
    </w:p>
    <w:p>
      <w:pPr>
        <w:pStyle w:val="Heading1"/>
      </w:pPr>
      <w:r>
        <w:t xml:space="preserve">4. Multi-tenancy model</w:t>
      </w:r>
    </w:p>
    <w:p>
      <w:pPr>
        <w:spacing w:after="160"/>
      </w:pPr>
      <w:r>
        <w:rPr>
          <w:b w:val="false"/>
          <w:bCs w:val="false"/>
          <w:i w:val="false"/>
          <w:iCs w:val="false"/>
        </w:rPr>
        <w:t xml:space="preserve">The platform is built as a single application codebase and a single shared database. Each vertical (e.g. cleaning services, event services, security services) is a separate deployment of the same application, distinguished by a tenant configuration that determines which provider category (or categories) that deployment displays.</w:t>
      </w:r>
    </w:p>
    <w:p>
      <w:pPr>
        <w:pStyle w:val="Heading2"/>
      </w:pPr>
      <w:r>
        <w:t xml:space="preserve">4.1 Requirements</w:t>
      </w:r>
    </w:p>
    <w:p>
      <w:pPr>
        <w:spacing w:after="100"/>
      </w:pPr>
      <w:r>
        <w:rPr>
          <w:rFonts w:ascii="Consolas" w:cs="Consolas" w:eastAsia="Consolas" w:hAnsi="Consolas"/>
          <w:b/>
          <w:bCs/>
          <w:sz w:val="18"/>
          <w:szCs w:val="18"/>
        </w:rPr>
        <w:t xml:space="preserve">TEN-001  </w:t>
      </w:r>
      <w:r>
        <w:t xml:space="preserve">The system shall support deploying the same application codebase multiple times, each instance bound to a distinct domain (e.g. cleaningservices.co.za, eventvendors.co.za) and a distinct tenant configuration.</w:t>
      </w:r>
    </w:p>
    <w:p>
      <w:pPr>
        <w:spacing w:after="100"/>
      </w:pPr>
      <w:r>
        <w:rPr>
          <w:rFonts w:ascii="Consolas" w:cs="Consolas" w:eastAsia="Consolas" w:hAnsi="Consolas"/>
          <w:b/>
          <w:bCs/>
          <w:sz w:val="18"/>
          <w:szCs w:val="18"/>
        </w:rPr>
        <w:t xml:space="preserve">TEN-002  </w:t>
      </w:r>
      <w:r>
        <w:t xml:space="preserve">Tenant configuration shall determine, at minimum: which provider_category (or categories) the deployment displays; site branding (name, logo, theme); and the canonical domain used for SEO metadata and canonical URLs.</w:t>
      </w:r>
    </w:p>
    <w:p>
      <w:pPr>
        <w:spacing w:after="100"/>
      </w:pPr>
      <w:r>
        <w:rPr>
          <w:rFonts w:ascii="Consolas" w:cs="Consolas" w:eastAsia="Consolas" w:hAnsi="Consolas"/>
          <w:b/>
          <w:bCs/>
          <w:sz w:val="18"/>
          <w:szCs w:val="18"/>
        </w:rPr>
        <w:t xml:space="preserve">TEN-003  </w:t>
      </w:r>
      <w:r>
        <w:t xml:space="preserve">Tenant configuration shall be supplied via environment configuration at deploy time, not hardcoded, so that a new vertical can be stood up by configuring and deploying a new instance rather than modifying application code.</w:t>
      </w:r>
    </w:p>
    <w:p>
      <w:pPr>
        <w:spacing w:after="100"/>
      </w:pPr>
      <w:r>
        <w:rPr>
          <w:rFonts w:ascii="Consolas" w:cs="Consolas" w:eastAsia="Consolas" w:hAnsi="Consolas"/>
          <w:b/>
          <w:bCs/>
          <w:sz w:val="18"/>
          <w:szCs w:val="18"/>
        </w:rPr>
        <w:t xml:space="preserve">TEN-004  </w:t>
      </w:r>
      <w:r>
        <w:t xml:space="preserve">All tenant deployments shall read from and write to the same shared database. A provider, once created, exists in exactly one provider_category and is visible only on the deployment(s) whose tenant configuration includes that category, plus the home marketplace deployment.</w:t>
      </w:r>
    </w:p>
    <w:p>
      <w:pPr>
        <w:spacing w:after="100"/>
      </w:pPr>
      <w:r>
        <w:rPr>
          <w:rFonts w:ascii="Consolas" w:cs="Consolas" w:eastAsia="Consolas" w:hAnsi="Consolas"/>
          <w:b/>
          <w:bCs/>
          <w:sz w:val="18"/>
          <w:szCs w:val="18"/>
        </w:rPr>
        <w:t xml:space="preserve">TEN-005  </w:t>
      </w:r>
      <w:r>
        <w:t xml:space="preserve">The home marketplace deployment is a tenant configuration with no category filter applied — it displays providers across all categories. Its data dependency is the same shared database; its UI/UX (including landing page provider search, featured providers, and featured specials/deals) is out of scope for this document.</w:t>
      </w:r>
    </w:p>
    <w:p>
      <w:pPr>
        <w:spacing w:after="100"/>
      </w:pPr>
      <w:r>
        <w:rPr>
          <w:rFonts w:ascii="Consolas" w:cs="Consolas" w:eastAsia="Consolas" w:hAnsi="Consolas"/>
          <w:b/>
          <w:bCs/>
          <w:sz w:val="18"/>
          <w:szCs w:val="18"/>
        </w:rPr>
        <w:t xml:space="preserve">TEN-006  </w:t>
      </w:r>
      <w:r>
        <w:t xml:space="preserve">Adding a new vertical shall not require a database migration unless the new vertical introduces a provider type whose fields are not already present in the field registry (see Section 7). Adding a new provider type within an existing or new vertical shall be achievable through configuration of provider_types, fields, and form_configs records, without a schema migration.</w:t>
      </w:r>
    </w:p>
    <w:p>
      <w:pPr>
        <w:pBdr>
          <w:bottom w:val="single" w:color="D9D6CC" w:sz="6" w:space="1"/>
        </w:pBdr>
        <w:spacing w:after="240" w:before="120"/>
      </w:pPr>
    </w:p>
    <w:p>
      <w:pPr>
        <w:pStyle w:val="Heading1"/>
      </w:pPr>
      <w:r>
        <w:t xml:space="preserve">5. Core data model</w:t>
      </w:r>
    </w:p>
    <w:p>
      <w:pPr>
        <w:spacing w:after="160"/>
      </w:pPr>
      <w:r>
        <w:rPr>
          <w:b w:val="false"/>
          <w:bCs w:val="false"/>
          <w:i w:val="false"/>
          <w:iCs w:val="false"/>
        </w:rPr>
        <w:t xml:space="preserve">The data model uses a hybrid approach: a fixed relational schema for entities common to all providers (identity, services, bookings, reviews, tags), combined with a configuration-driven dynamic attribute system for provider-type-specific fields (Section 7). This avoids both (a) a single flat table with hundreds of mostly-null columns, and (b) a schema migration every time a new provider type or field is introduced.</w:t>
      </w:r>
    </w:p>
    <w:p>
      <w:pPr>
        <w:pStyle w:val="Heading2"/>
      </w:pPr>
      <w:r>
        <w:t xml:space="preserve">5.1 Entity overview</w:t>
      </w:r>
    </w:p>
    <w:p>
      <w:pPr>
        <w:spacing w:after="160"/>
      </w:pPr>
      <w:r>
        <w:rPr>
          <w:b w:val="false"/>
          <w:bCs w:val="false"/>
          <w:i w:val="false"/>
          <w:iCs w:val="false"/>
        </w:rPr>
        <w:t xml:space="preserve">The following entities make up the core schema. Relationships are described narratively beneath each table; an entity-relationship summary is given in 5.2.</w:t>
      </w:r>
    </w:p>
    <w:p>
      <w:pPr>
        <w:pStyle w:val="Heading3"/>
      </w:pPr>
      <w:r>
        <w:t xml:space="preserve">provider_categories</w:t>
      </w:r>
    </w:p>
    <w:p>
      <w:pPr>
        <w:spacing w:after="160"/>
      </w:pPr>
      <w:r>
        <w:rPr>
          <w:b w:val="false"/>
          <w:bCs w:val="false"/>
          <w:i w:val="false"/>
          <w:iCs w:val="false"/>
        </w:rPr>
        <w:t xml:space="preserve">Represents a top-level vertical (e.g. cleaning, events, security). Determines which tenant deployment(s) a provider is visible on (see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1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53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1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5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name</w:t>
            </w:r>
          </w:p>
        </w:tc>
        <w:tc>
          <w:tcPr>
            <w:tcW w:type="dxa" w:w="1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5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Display name, e.g. “Event services”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slug</w:t>
            </w:r>
          </w:p>
        </w:tc>
        <w:tc>
          <w:tcPr>
            <w:tcW w:type="dxa" w:w="1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5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URL-safe identifier, used in routing and tenant config matching</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1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5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provider_types</w:t>
      </w:r>
    </w:p>
    <w:p>
      <w:pPr>
        <w:spacing w:after="160"/>
      </w:pPr>
      <w:r>
        <w:rPr>
          <w:b w:val="false"/>
          <w:bCs w:val="false"/>
          <w:i w:val="false"/>
          <w:iCs w:val="false"/>
        </w:rPr>
        <w:t xml:space="preserve">Represents a sub-category within a provider_category (e.g. DJ and caterer within events). Each provider belongs to exactly one provider_type. Each provider_type has its own form_config defining which fields are collected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3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category_id</w:t>
            </w:r>
          </w:p>
        </w:tc>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provider_categories.id</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name</w:t>
            </w:r>
          </w:p>
        </w:tc>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e.g. “DJ”, “Caterer”</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slug</w:t>
            </w:r>
          </w:p>
        </w:tc>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 within category</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fields</w:t>
      </w:r>
    </w:p>
    <w:p>
      <w:pPr>
        <w:spacing w:after="160"/>
      </w:pPr>
      <w:r>
        <w:rPr>
          <w:b w:val="false"/>
          <w:bCs w:val="false"/>
          <w:i w:val="false"/>
          <w:iCs w:val="false"/>
        </w:rPr>
        <w:t xml:space="preserve">A global, reusable registry of field definitions. A field is defined once and can be referenced by any number of form_configs across any number of provider_types. This is what allows, e.g., a “service area” field to be reused across DJ, caterer, and cleaning-provider forms without redefining it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260"/>
      </w:tblGrid>
      <w:tr>
        <w:tc>
          <w:tcPr>
            <w:tcW w:type="dxa" w:w="1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1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key</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Stable machine-readable identifier, e.g. cuisine_types</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label</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Human-readable label shown on the form</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input_type</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enum</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See Section 7.2 for the fixed list of supported input types</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options</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json, nullable</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For select/multi-select types: the list of selectable options</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validator_config</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json, nullable</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Validation rules; null/empty means the field is not validated (Section 7.3)</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is_tag_searchable</w:t>
            </w:r>
          </w:p>
        </w:tc>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boolean</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Whether this field's value(s) should also be indexed as searchable tags (Section 7.5)</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form_configs</w:t>
      </w:r>
    </w:p>
    <w:p>
      <w:pPr>
        <w:spacing w:after="160"/>
      </w:pPr>
      <w:r>
        <w:rPr>
          <w:b w:val="false"/>
          <w:bCs w:val="false"/>
          <w:i w:val="false"/>
          <w:iCs w:val="false"/>
        </w:rPr>
        <w:t xml:space="preserve">Defines the ordered, stepped onboarding form for a given provider_type. Each form_config belongs to exactly one provider_type and represents one step in the multi-step onboarding flow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3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39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3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3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provider_type_id</w:t>
            </w:r>
          </w:p>
        </w:tc>
        <w:tc>
          <w:tcPr>
            <w:tcW w:type="dxa" w:w="3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provider_types.id</w:t>
            </w:r>
          </w:p>
        </w:tc>
        <w:tc>
          <w:tcPr>
            <w:tcW w:type="dxa" w:w="3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Nullable — see note below on category-level steps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category_id</w:t>
            </w:r>
          </w:p>
        </w:tc>
        <w:tc>
          <w:tcPr>
            <w:tcW w:type="dxa" w:w="3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provider_categories.id, nullable</w:t>
            </w:r>
          </w:p>
        </w:tc>
        <w:tc>
          <w:tcPr>
            <w:tcW w:type="dxa" w:w="3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Set instead of provider_type_id when a step applies to all types in a category</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step_number</w:t>
            </w:r>
          </w:p>
        </w:tc>
        <w:tc>
          <w:tcPr>
            <w:tcW w:type="dxa" w:w="3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integer</w:t>
            </w:r>
          </w:p>
        </w:tc>
        <w:tc>
          <w:tcPr>
            <w:tcW w:type="dxa" w:w="3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Order in which this step is presented during onboarding</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step_title</w:t>
            </w:r>
          </w:p>
        </w:tc>
        <w:tc>
          <w:tcPr>
            <w:tcW w:type="dxa" w:w="3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3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Display title for the step</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3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3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spacing w:after="160"/>
      </w:pPr>
      <w:r>
        <w:rPr>
          <w:b w:val="false"/>
          <w:bCs w:val="false"/>
          <w:i w:val="false"/>
          <w:iCs w:val="false"/>
        </w:rPr>
        <w:t xml:space="preserve">Note: a form_config may attach at the provider_type level or the provider_category level. Category-level steps hold fields common to every provider_type within that category (e.g. “events per month capacity” for all event providers), avoiding duplicate field definitions across every type in a category. See requirement DYN-006.</w:t>
      </w:r>
    </w:p>
    <w:p>
      <w:pPr>
        <w:pStyle w:val="Heading3"/>
      </w:pPr>
      <w:r>
        <w:t xml:space="preserve">form_config_fields</w:t>
      </w:r>
    </w:p>
    <w:p>
      <w:pPr>
        <w:spacing w:after="160"/>
      </w:pPr>
      <w:r>
        <w:rPr>
          <w:b w:val="false"/>
          <w:bCs w:val="false"/>
          <w:i w:val="false"/>
          <w:iCs w:val="false"/>
        </w:rPr>
        <w:t xml:space="preserve">Join table associating a form_config (step) with an ordered list of fields, plus per-field overrides for that context (e.g. whether the field is required in this specific step, even if the underlying field definition does not mandate validation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form_config_id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form_configs.id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field_id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fields.id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display_order</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integer</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Order within the step</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is_required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boolean</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Overrides whether this field blocks step completion if empty</w:t>
            </w:r>
          </w:p>
        </w:tc>
      </w:tr>
    </w:tbl>
    <w:p>
      <w:pPr>
        <w:pStyle w:val="Heading3"/>
      </w:pPr>
      <w:r>
        <w:t xml:space="preserve">providers</w:t>
      </w:r>
    </w:p>
    <w:p>
      <w:pPr>
        <w:spacing w:after="160"/>
      </w:pPr>
      <w:r>
        <w:rPr>
          <w:b w:val="false"/>
          <w:bCs w:val="false"/>
          <w:i w:val="false"/>
          <w:iCs w:val="false"/>
        </w:rPr>
        <w:t xml:space="preserve">The core provider record. Holds fields common to every provider regardless of type (Section 9), plus the foreign key to provider_type which determines which dynamic fields apply. Type-specific field values are not stored on this table — see provider_field_values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provider_type_id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provider_types.id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business_name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bio</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rich text</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Free-form rich text bio</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profile_image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(URL)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gallery</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json (array of URLs)</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faqs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json (array of {question, answer})</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links</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json (array of {label, url})</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onboarding_step</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integer</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Current step the provider has reached; see Section 8</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is_published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boolean</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Whether the profile is publicly visible/searchable; see PROV-006</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provider_field_values</w:t>
      </w:r>
    </w:p>
    <w:p>
      <w:pPr>
        <w:spacing w:after="160"/>
      </w:pPr>
      <w:r>
        <w:rPr>
          <w:b w:val="false"/>
          <w:bCs w:val="false"/>
          <w:i w:val="false"/>
          <w:iCs w:val="false"/>
        </w:rPr>
        <w:t xml:space="preserve">Stores the value a given provider has entered for a given dynamic field. One row per (provider, field) pair. This is the side-table that keeps the providers table itself free of type-specific nullable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Composite PK with field_id</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field_id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fields.id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Composite PK with provider_id</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value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text or json</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Raw value; interpretation depends on the referenced field's input_type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services</w:t>
      </w:r>
    </w:p>
    <w:p>
      <w:pPr>
        <w:spacing w:after="160"/>
      </w:pPr>
      <w:r>
        <w:rPr>
          <w:b w:val="false"/>
          <w:bCs w:val="false"/>
          <w:i w:val="false"/>
          <w:iCs w:val="false"/>
        </w:rPr>
        <w:t xml:space="preserve">A service offered by a provider. The shape is uniform across all provider types — no dynamic schema applies here (see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image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(URL)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title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description</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text</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price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discount_type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amount | percent | none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discount_amount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decimal,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tags</w:t>
      </w:r>
    </w:p>
    <w:p>
      <w:pPr>
        <w:spacing w:after="160"/>
      </w:pPr>
      <w:r>
        <w:rPr>
          <w:b w:val="false"/>
          <w:bCs w:val="false"/>
          <w:i w:val="false"/>
          <w:iCs w:val="false"/>
        </w:rPr>
        <w:t xml:space="preserve">Globally configured, reusable labels usable for search/filter, independent of provider_type. See Section 7.5 for the relationship between tags and dynamic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name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3"/>
      </w:pPr>
      <w:r>
        <w:t xml:space="preserve">provider_tags</w:t>
      </w:r>
    </w:p>
    <w:p>
      <w:pPr>
        <w:spacing w:after="160"/>
      </w:pPr>
      <w:r>
        <w:rPr>
          <w:b w:val="false"/>
          <w:bCs w:val="false"/>
          <w:i w:val="false"/>
          <w:iCs w:val="false"/>
        </w:rPr>
        <w:t xml:space="preserve">Join table associating providers with tags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Composite PK with tag_id</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tag_id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tags.id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Composite PK with provider_id</w:t>
            </w:r>
          </w:p>
        </w:tc>
      </w:tr>
    </w:tbl>
    <w:p>
      <w:pPr>
        <w:pStyle w:val="Heading2"/>
      </w:pPr>
      <w:r>
        <w:t xml:space="preserve">5.2 Entity relationship summary</w:t>
      </w:r>
    </w:p>
    <w:p>
      <w:pPr>
        <w:pStyle w:val="ListParagraph"/>
        <w:numPr>
          <w:ilvl w:val="0"/>
          <w:numId w:val="2"/>
        </w:numPr>
        <w:spacing w:after="80"/>
      </w:pPr>
      <w:r>
        <w:t xml:space="preserve">provider_categories 1—→N provider_types</w:t>
      </w:r>
    </w:p>
    <w:p>
      <w:pPr>
        <w:pStyle w:val="ListParagraph"/>
        <w:numPr>
          <w:ilvl w:val="0"/>
          <w:numId w:val="2"/>
        </w:numPr>
        <w:spacing w:after="80"/>
      </w:pPr>
      <w:r>
        <w:t xml:space="preserve">provider_types 1—→N form_configs (and provider_categories 1—→N form_configs, for category-level steps)</w:t>
      </w:r>
    </w:p>
    <w:p>
      <w:pPr>
        <w:pStyle w:val="ListParagraph"/>
        <w:numPr>
          <w:ilvl w:val="0"/>
          <w:numId w:val="2"/>
        </w:numPr>
        <w:spacing w:after="80"/>
      </w:pPr>
      <w:r>
        <w:t xml:space="preserve">form_configs 1—→N form_config_fields —N—1 fields</w:t>
      </w:r>
    </w:p>
    <w:p>
      <w:pPr>
        <w:pStyle w:val="ListParagraph"/>
        <w:numPr>
          <w:ilvl w:val="0"/>
          <w:numId w:val="2"/>
        </w:numPr>
        <w:spacing w:after="80"/>
      </w:pPr>
      <w:r>
        <w:t xml:space="preserve">provider_types 1—→N providers</w:t>
      </w:r>
    </w:p>
    <w:p>
      <w:pPr>
        <w:pStyle w:val="ListParagraph"/>
        <w:numPr>
          <w:ilvl w:val="0"/>
          <w:numId w:val="2"/>
        </w:numPr>
        <w:spacing w:after="80"/>
      </w:pPr>
      <w:r>
        <w:t xml:space="preserve">providers 1—→N provider_field_values —N—1 fields</w:t>
      </w:r>
    </w:p>
    <w:p>
      <w:pPr>
        <w:pStyle w:val="ListParagraph"/>
        <w:numPr>
          <w:ilvl w:val="0"/>
          <w:numId w:val="2"/>
        </w:numPr>
        <w:spacing w:after="80"/>
      </w:pPr>
      <w:r>
        <w:t xml:space="preserve">providers 1—→N services</w:t>
      </w:r>
    </w:p>
    <w:p>
      <w:pPr>
        <w:pStyle w:val="ListParagraph"/>
        <w:numPr>
          <w:ilvl w:val="0"/>
          <w:numId w:val="2"/>
        </w:numPr>
        <w:spacing w:after="80"/>
      </w:pPr>
      <w:r>
        <w:t xml:space="preserve">providers N——N tags (via provider_tags)</w:t>
      </w:r>
    </w:p>
    <w:p>
      <w:pPr>
        <w:pBdr>
          <w:bottom w:val="single" w:color="D9D6CC" w:sz="6" w:space="1"/>
        </w:pBdr>
        <w:spacing w:after="240" w:before="120"/>
      </w:pPr>
    </w:p>
    <w:p>
      <w:pPr>
        <w:pStyle w:val="Heading1"/>
      </w:pPr>
      <w:r>
        <w:t xml:space="preserve">6. Dynamic provider schema system</w:t>
      </w:r>
    </w:p>
    <w:p>
      <w:pPr>
        <w:spacing w:after="160"/>
      </w:pPr>
      <w:r>
        <w:rPr>
          <w:b w:val="false"/>
          <w:bCs w:val="false"/>
          <w:i w:val="false"/>
          <w:iCs w:val="false"/>
        </w:rPr>
        <w:t xml:space="preserve">This section specifies the configuration-driven system that allows different provider types to capture different profile information without code changes or schema migrations, as introduced in Section 5.</w:t>
      </w:r>
    </w:p>
    <w:p>
      <w:pPr>
        <w:pStyle w:val="Heading2"/>
      </w:pPr>
      <w:r>
        <w:t xml:space="preserve">6.1 Requirements</w:t>
      </w:r>
    </w:p>
    <w:p>
      <w:pPr>
        <w:spacing w:after="100"/>
      </w:pPr>
      <w:r>
        <w:rPr>
          <w:rFonts w:ascii="Consolas" w:cs="Consolas" w:eastAsia="Consolas" w:hAnsi="Consolas"/>
          <w:b/>
          <w:bCs/>
          <w:sz w:val="18"/>
          <w:szCs w:val="18"/>
        </w:rPr>
        <w:t xml:space="preserve">DYN-001  </w:t>
      </w:r>
      <w:r>
        <w:t xml:space="preserve">The system shall allow a platform administrator to define a new field (in the fields table) without requiring a code deployment.</w:t>
      </w:r>
    </w:p>
    <w:p>
      <w:pPr>
        <w:spacing w:after="100"/>
      </w:pPr>
      <w:r>
        <w:rPr>
          <w:rFonts w:ascii="Consolas" w:cs="Consolas" w:eastAsia="Consolas" w:hAnsi="Consolas"/>
          <w:b/>
          <w:bCs/>
          <w:sz w:val="18"/>
          <w:szCs w:val="18"/>
        </w:rPr>
        <w:t xml:space="preserve">DYN-002  </w:t>
      </w:r>
      <w:r>
        <w:t xml:space="preserve">The system shall allow a platform administrator to compose a form_config for a given provider_type by selecting an ordered list of existing fields, without requiring a code deployment.</w:t>
      </w:r>
    </w:p>
    <w:p>
      <w:pPr>
        <w:spacing w:after="100"/>
      </w:pPr>
      <w:r>
        <w:rPr>
          <w:rFonts w:ascii="Consolas" w:cs="Consolas" w:eastAsia="Consolas" w:hAnsi="Consolas"/>
          <w:b/>
          <w:bCs/>
          <w:sz w:val="18"/>
          <w:szCs w:val="18"/>
        </w:rPr>
        <w:t xml:space="preserve">DYN-003  </w:t>
      </w:r>
      <w:r>
        <w:t xml:space="preserve">The provider onboarding form renderer shall render form inputs purely from form_config + form_config_fields + fields data — it shall not contain provider-type-specific or field-specific rendering logic hardcoded per type.</w:t>
      </w:r>
    </w:p>
    <w:p>
      <w:pPr>
        <w:spacing w:after="100"/>
      </w:pPr>
      <w:r>
        <w:rPr>
          <w:rFonts w:ascii="Consolas" w:cs="Consolas" w:eastAsia="Consolas" w:hAnsi="Consolas"/>
          <w:b/>
          <w:bCs/>
          <w:sz w:val="18"/>
          <w:szCs w:val="18"/>
        </w:rPr>
        <w:t xml:space="preserve">DYN-004  </w:t>
      </w:r>
      <w:r>
        <w:t xml:space="preserve">Each input_type (Section 7.2) shall correspond to exactly one reusable form input component. Adding a new field using an existing input_type shall require no frontend code changes.</w:t>
      </w:r>
    </w:p>
    <w:p>
      <w:pPr>
        <w:spacing w:after="100"/>
      </w:pPr>
      <w:r>
        <w:rPr>
          <w:rFonts w:ascii="Consolas" w:cs="Consolas" w:eastAsia="Consolas" w:hAnsi="Consolas"/>
          <w:b/>
          <w:bCs/>
          <w:sz w:val="18"/>
          <w:szCs w:val="18"/>
        </w:rPr>
        <w:t xml:space="preserve">DYN-005  </w:t>
      </w:r>
      <w:r>
        <w:t xml:space="preserve">Validation shall be applied per-field according to validator_config (Section 7.3). Fields with empty/null validator_config shall be accepted with any value, including empty, unless is_required is set true at the form_config_fields level.</w:t>
      </w:r>
    </w:p>
    <w:p>
      <w:pPr>
        <w:spacing w:after="100"/>
      </w:pPr>
      <w:r>
        <w:rPr>
          <w:rFonts w:ascii="Consolas" w:cs="Consolas" w:eastAsia="Consolas" w:hAnsi="Consolas"/>
          <w:b/>
          <w:bCs/>
          <w:sz w:val="18"/>
          <w:szCs w:val="18"/>
        </w:rPr>
        <w:t xml:space="preserve">DYN-006  </w:t>
      </w:r>
      <w:r>
        <w:t xml:space="preserve">A form_config may be associated with a provider_type (type-specific step) or directly with a provider_category (category-wide step shared by every type in that category). The onboarding flow (Section 8) shall present category-level steps and type-level steps together as a single ordered sequence for a given provider.</w:t>
      </w:r>
    </w:p>
    <w:p>
      <w:pPr>
        <w:pStyle w:val="Heading2"/>
      </w:pPr>
      <w:r>
        <w:t xml:space="preserve">6.2 Supported input types</w:t>
      </w:r>
    </w:p>
    <w:p>
      <w:pPr>
        <w:spacing w:after="160"/>
      </w:pPr>
      <w:r>
        <w:rPr>
          <w:b w:val="false"/>
          <w:bCs w:val="false"/>
          <w:i w:val="false"/>
          <w:iCs w:val="false"/>
        </w:rPr>
        <w:t xml:space="preserve">The following is the fixed set of input_type values the form renderer must support at launch. New input types require frontend code changes; new fields using existing input types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input_type</w:t>
            </w:r>
          </w:p>
        </w:tc>
        <w:tc>
          <w:tcPr>
            <w:tcW w:type="dxa" w:w="65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description</w:t>
            </w:r>
          </w:p>
        </w:tc>
      </w:tr>
      <w:tr>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short_text</w:t>
            </w:r>
          </w:p>
        </w:tc>
        <w:tc>
          <w:tcPr>
            <w:tcW w:type="dxa" w:w="65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Single-line text input</w:t>
            </w:r>
          </w:p>
        </w:tc>
      </w:tr>
      <w:tr>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rich_text</w:t>
            </w:r>
          </w:p>
        </w:tc>
        <w:tc>
          <w:tcPr>
            <w:tcW w:type="dxa" w:w="65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Multi-line formatted text (used for bio; may be reused elsewhere)</w:t>
            </w:r>
          </w:p>
        </w:tc>
      </w:tr>
      <w:tr>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number</w:t>
            </w:r>
          </w:p>
        </w:tc>
        <w:tc>
          <w:tcPr>
            <w:tcW w:type="dxa" w:w="65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Numeric input</w:t>
            </w:r>
          </w:p>
        </w:tc>
      </w:tr>
      <w:tr>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boolean</w:t>
            </w:r>
          </w:p>
        </w:tc>
        <w:tc>
          <w:tcPr>
            <w:tcW w:type="dxa" w:w="65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Yes/no toggle</w:t>
            </w:r>
          </w:p>
        </w:tc>
      </w:tr>
      <w:tr>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single_select</w:t>
            </w:r>
          </w:p>
        </w:tc>
        <w:tc>
          <w:tcPr>
            <w:tcW w:type="dxa" w:w="65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One choice from a fixed option list (defined in fields.options)</w:t>
            </w:r>
          </w:p>
        </w:tc>
      </w:tr>
      <w:tr>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multi_select</w:t>
            </w:r>
          </w:p>
        </w:tc>
        <w:tc>
          <w:tcPr>
            <w:tcW w:type="dxa" w:w="65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One or more choices from a fixed option list</w:t>
            </w:r>
          </w:p>
        </w:tc>
      </w:tr>
      <w:tr>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tag_picker</w:t>
            </w:r>
          </w:p>
        </w:tc>
        <w:tc>
          <w:tcPr>
            <w:tcW w:type="dxa" w:w="65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Select from existing tags or create new ones (see 7.5)</w:t>
            </w:r>
          </w:p>
        </w:tc>
      </w:tr>
      <w:tr>
        <w:tc>
          <w:tcPr>
            <w:tcW w:type="dxa" w:w="2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image_upload</w:t>
            </w:r>
          </w:p>
        </w:tc>
        <w:tc>
          <w:tcPr>
            <w:tcW w:type="dxa" w:w="65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Single image file upload</w:t>
            </w:r>
          </w:p>
        </w:tc>
      </w:tr>
      <w:tr>
        <w:tc>
          <w:tcPr>
            <w:tcW w:type="dxa" w:w="2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file_upload</w:t>
            </w:r>
          </w:p>
        </w:tc>
        <w:tc>
          <w:tcPr>
            <w:tcW w:type="dxa" w:w="65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Generic file upload (e.g. a DJ sample mix audio file)</w:t>
            </w:r>
          </w:p>
        </w:tc>
      </w:tr>
    </w:tbl>
    <w:p>
      <w:pPr>
        <w:pStyle w:val="Heading2"/>
      </w:pPr>
      <w:r>
        <w:t xml:space="preserve">6.3 Validation</w:t>
      </w:r>
    </w:p>
    <w:p>
      <w:pPr>
        <w:spacing w:after="160"/>
      </w:pPr>
      <w:r>
        <w:rPr>
          <w:b w:val="false"/>
          <w:bCs w:val="false"/>
          <w:i w:val="false"/>
          <w:iCs w:val="false"/>
        </w:rPr>
        <w:t xml:space="preserve">Per the person's direction, not every field requires validation — only fields the business considers important. This is modeled as follows:</w:t>
      </w:r>
    </w:p>
    <w:p>
      <w:pPr>
        <w:pStyle w:val="ListParagraph"/>
        <w:numPr>
          <w:ilvl w:val="0"/>
          <w:numId w:val="2"/>
        </w:numPr>
        <w:spacing w:after="80"/>
      </w:pPr>
      <w:r>
        <w:t xml:space="preserve">fields.validator_config holds rule definitions (e.g. min/max length, numeric range, required file type/size for uploads). A null or empty validator_config means no validation rule is enforced beyond the input_type's basic shape (e.g. a number field still rejects non-numeric input, but has no min/max).</w:t>
      </w:r>
    </w:p>
    <w:p>
      <w:pPr>
        <w:pStyle w:val="ListParagraph"/>
        <w:numPr>
          <w:ilvl w:val="0"/>
          <w:numId w:val="2"/>
        </w:numPr>
        <w:spacing w:after="80"/>
      </w:pPr>
      <w:r>
        <w:t xml:space="preserve">form_config_fields.is_required is a separate, per-context flag: a field can be optional in one provider_type's form and required in another, even though the underlying field definition is shared.</w:t>
      </w:r>
    </w:p>
    <w:p>
      <w:pPr>
        <w:pStyle w:val="ListParagraph"/>
        <w:numPr>
          <w:ilvl w:val="0"/>
          <w:numId w:val="2"/>
        </w:numPr>
        <w:spacing w:after="80"/>
      </w:pPr>
      <w:r>
        <w:t xml:space="preserve">A step is considered complete (Section 8) only when all fields marked is_required = true within that step have a non-empty value and pass any validator_config rules defined on the field.</w:t>
      </w:r>
    </w:p>
    <w:p>
      <w:pPr>
        <w:pStyle w:val="Heading2"/>
      </w:pPr>
      <w:r>
        <w:t xml:space="preserve">6.4 Worked example: DJ vs caterer (event services category)</w:t>
      </w:r>
    </w:p>
    <w:p>
      <w:pPr>
        <w:spacing w:after="160"/>
      </w:pPr>
      <w:r>
        <w:rPr>
          <w:b w:val="false"/>
          <w:bCs w:val="false"/>
          <w:i w:val="false"/>
          <w:iCs w:val="false"/>
        </w:rPr>
        <w:t xml:space="preserve">To illustrate how the same system produces different forms for different types within one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provider_type</w:t>
            </w:r>
          </w:p>
        </w:tc>
        <w:tc>
          <w:tcPr>
            <w:tcW w:type="dxa" w:w="69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type-specific fields (illustrative, not exhaustive)</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DJ</w:t>
            </w:r>
          </w:p>
        </w:tc>
        <w:tc>
          <w:tcPr>
            <w:tcW w:type="dxa" w:w="6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sample_mix_upload (file_upload), event_types_serviced (multi_select), typical_audience (multi_select)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Caterer</w:t>
            </w:r>
          </w:p>
        </w:tc>
        <w:tc>
          <w:tcPr>
            <w:tcW w:type="dxa" w:w="6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cuisine_types (multi_select), dietary_options (multi_select), serves_alcohol (boolean)</w:t>
            </w:r>
          </w:p>
        </w:tc>
      </w:tr>
    </w:tbl>
    <w:p>
      <w:pPr>
        <w:spacing w:after="160"/>
      </w:pPr>
      <w:r>
        <w:rPr>
          <w:b w:val="false"/>
          <w:bCs w:val="false"/>
          <w:i w:val="false"/>
          <w:iCs w:val="false"/>
        </w:rPr>
        <w:t xml:space="preserve">Both provider types additionally inherit any category-level fields configured against the events provider_category (e.g. “max events per month”), per DYN-006, without that field needing to be redefined in each type's own form_config.</w:t>
      </w:r>
    </w:p>
    <w:p>
      <w:pPr>
        <w:pStyle w:val="Heading2"/>
      </w:pPr>
      <w:r>
        <w:t xml:space="preserve">6.5 Tags vs. dynamic fields</w:t>
      </w:r>
    </w:p>
    <w:p>
      <w:pPr>
        <w:spacing w:after="160"/>
      </w:pPr>
      <w:r>
        <w:rPr>
          <w:b w:val="false"/>
          <w:bCs w:val="false"/>
          <w:i w:val="false"/>
          <w:iCs w:val="false"/>
        </w:rPr>
        <w:t xml:space="preserve">Tags (Section 5.1) and dynamic fields can overlap in purpose but serve distinct roles: a dynamic field captures structured data displayed on a provider's profile (e.g. a caterer's list of dietary options as a defined field with defined options), while a tag is a cross-cutting, searchable/filterable label usable in search regardless of provider_type (e.g. “eco-friendly”, “available weekends”).</w:t>
      </w:r>
    </w:p>
    <w:p>
      <w:pPr>
        <w:spacing w:after="100"/>
      </w:pPr>
      <w:r>
        <w:rPr>
          <w:rFonts w:ascii="Consolas" w:cs="Consolas" w:eastAsia="Consolas" w:hAnsi="Consolas"/>
          <w:b/>
          <w:bCs/>
          <w:sz w:val="18"/>
          <w:szCs w:val="18"/>
        </w:rPr>
        <w:t xml:space="preserve">DYN-007  </w:t>
      </w:r>
      <w:r>
        <w:t xml:space="preserve">A field may be flagged is_tag_searchable = true, in which case its submitted value(s) shall also be indexed as searchable tags at write time, allowing a structured field to participate in cross-type tag search without manual duplication of data entry by the provider.</w:t>
      </w:r>
    </w:p>
    <w:p>
      <w:pPr>
        <w:pBdr>
          <w:bottom w:val="single" w:color="D9D6CC" w:sz="6" w:space="1"/>
        </w:pBdr>
        <w:spacing w:after="240" w:before="120"/>
      </w:pPr>
    </w:p>
    <w:p>
      <w:pPr>
        <w:pStyle w:val="Heading1"/>
      </w:pPr>
      <w:r>
        <w:t xml:space="preserve">7. Provider onboarding flow</w:t>
      </w:r>
    </w:p>
    <w:p>
      <w:pPr>
        <w:spacing w:after="160"/>
      </w:pPr>
      <w:r>
        <w:rPr>
          <w:b w:val="false"/>
          <w:bCs w:val="false"/>
          <w:i w:val="false"/>
          <w:iCs w:val="false"/>
        </w:rPr>
        <w:t xml:space="preserve">Provider onboarding is presented as a sequence of steps, each step corresponding to one form_config (Section 6). The sequence for a given provider is the ordered union of: (a) any form_configs attached to that provider's provider_category, and (b) any form_configs attached to that provider's specific provider_type, ordered by step_number.</w:t>
      </w:r>
    </w:p>
    <w:p>
      <w:pPr>
        <w:pStyle w:val="Heading2"/>
      </w:pPr>
      <w:r>
        <w:t xml:space="preserve">7.1 Requirements</w:t>
      </w:r>
    </w:p>
    <w:p>
      <w:pPr>
        <w:spacing w:after="100"/>
      </w:pPr>
      <w:r>
        <w:rPr>
          <w:rFonts w:ascii="Consolas" w:cs="Consolas" w:eastAsia="Consolas" w:hAnsi="Consolas"/>
          <w:b/>
          <w:bCs/>
          <w:sz w:val="18"/>
          <w:szCs w:val="18"/>
        </w:rPr>
        <w:t xml:space="preserve">ONB-001  </w:t>
      </w:r>
      <w:r>
        <w:t xml:space="preserve">A provider account shall be able to select a provider_category and provider_type at the start of onboarding, before any dynamic form steps are presented.</w:t>
      </w:r>
    </w:p>
    <w:p>
      <w:pPr>
        <w:spacing w:after="100"/>
      </w:pPr>
      <w:r>
        <w:rPr>
          <w:rFonts w:ascii="Consolas" w:cs="Consolas" w:eastAsia="Consolas" w:hAnsi="Consolas"/>
          <w:b/>
          <w:bCs/>
          <w:sz w:val="18"/>
          <w:szCs w:val="18"/>
        </w:rPr>
        <w:t xml:space="preserve">ONB-002  </w:t>
      </w:r>
      <w:r>
        <w:t xml:space="preserve">The system shall persist providers.onboarding_step after each step is completed, allowing the provider to leave and resume onboarding without data loss.</w:t>
      </w:r>
    </w:p>
    <w:p>
      <w:pPr>
        <w:spacing w:after="100"/>
      </w:pPr>
      <w:r>
        <w:rPr>
          <w:rFonts w:ascii="Consolas" w:cs="Consolas" w:eastAsia="Consolas" w:hAnsi="Consolas"/>
          <w:b/>
          <w:bCs/>
          <w:sz w:val="18"/>
          <w:szCs w:val="18"/>
        </w:rPr>
        <w:t xml:space="preserve">ONB-003  </w:t>
      </w:r>
      <w:r>
        <w:t xml:space="preserve">A step shall not be marked complete (and the provider shall not be allowed to advance) unless all fields marked is_required = true within that step's form_config_fields have valid values, per DYN-005.</w:t>
      </w:r>
    </w:p>
    <w:p>
      <w:pPr>
        <w:spacing w:after="100"/>
      </w:pPr>
      <w:r>
        <w:rPr>
          <w:rFonts w:ascii="Consolas" w:cs="Consolas" w:eastAsia="Consolas" w:hAnsi="Consolas"/>
          <w:b/>
          <w:bCs/>
          <w:sz w:val="18"/>
          <w:szCs w:val="18"/>
        </w:rPr>
        <w:t xml:space="preserve">ONB-004  </w:t>
      </w:r>
      <w:r>
        <w:t xml:space="preserve">A provider profile shall not be published (publicly visible/searchable; see PROV-006) until all onboarding steps, including category-level and type-level steps, are marked complete.</w:t>
      </w:r>
    </w:p>
    <w:p>
      <w:pPr>
        <w:spacing w:after="100"/>
      </w:pPr>
      <w:r>
        <w:rPr>
          <w:rFonts w:ascii="Consolas" w:cs="Consolas" w:eastAsia="Consolas" w:hAnsi="Consolas"/>
          <w:b/>
          <w:bCs/>
          <w:sz w:val="18"/>
          <w:szCs w:val="18"/>
        </w:rPr>
        <w:t xml:space="preserve">ONB-005  </w:t>
      </w:r>
      <w:r>
        <w:t xml:space="preserve">A provider shall be able to save partial progress on a step and exit without losing entered data, even if that step is not yet complete.</w:t>
      </w:r>
    </w:p>
    <w:p>
      <w:pPr>
        <w:pBdr>
          <w:bottom w:val="single" w:color="D9D6CC" w:sz="6" w:space="1"/>
        </w:pBdr>
        <w:spacing w:after="240" w:before="120"/>
      </w:pPr>
    </w:p>
    <w:p>
      <w:pPr>
        <w:pStyle w:val="Heading1"/>
      </w:pPr>
      <w:r>
        <w:t xml:space="preserve">8. Provider profile</w:t>
      </w:r>
    </w:p>
    <w:p>
      <w:pPr>
        <w:spacing w:after="160"/>
      </w:pPr>
      <w:r>
        <w:rPr>
          <w:b w:val="false"/>
          <w:bCs w:val="false"/>
          <w:i w:val="false"/>
          <w:iCs w:val="false"/>
        </w:rPr>
        <w:t xml:space="preserve">In addition to the dynamic, type-specific fields captured via the onboarding flow, every provider profile — regardless of provider_type — captures the following fixed fields, as specified in providers (Section 5.1):</w:t>
      </w:r>
    </w:p>
    <w:p>
      <w:pPr>
        <w:pStyle w:val="ListParagraph"/>
        <w:numPr>
          <w:ilvl w:val="0"/>
          <w:numId w:val="2"/>
        </w:numPr>
        <w:spacing w:after="80"/>
      </w:pPr>
      <w:r>
        <w:t xml:space="preserve">Business name</w:t>
      </w:r>
    </w:p>
    <w:p>
      <w:pPr>
        <w:pStyle w:val="ListParagraph"/>
        <w:numPr>
          <w:ilvl w:val="0"/>
          <w:numId w:val="2"/>
        </w:numPr>
        <w:spacing w:after="80"/>
      </w:pPr>
      <w:r>
        <w:t xml:space="preserve">Rich text bio</w:t>
      </w:r>
    </w:p>
    <w:p>
      <w:pPr>
        <w:pStyle w:val="ListParagraph"/>
        <w:numPr>
          <w:ilvl w:val="0"/>
          <w:numId w:val="2"/>
        </w:numPr>
        <w:spacing w:after="80"/>
      </w:pPr>
      <w:r>
        <w:t xml:space="preserve">Profile picture</w:t>
      </w:r>
    </w:p>
    <w:p>
      <w:pPr>
        <w:pStyle w:val="ListParagraph"/>
        <w:numPr>
          <w:ilvl w:val="0"/>
          <w:numId w:val="2"/>
        </w:numPr>
        <w:spacing w:after="80"/>
      </w:pPr>
      <w:r>
        <w:t xml:space="preserve">Gallery (multiple images)</w:t>
      </w:r>
    </w:p>
    <w:p>
      <w:pPr>
        <w:pStyle w:val="ListParagraph"/>
        <w:numPr>
          <w:ilvl w:val="0"/>
          <w:numId w:val="2"/>
        </w:numPr>
        <w:spacing w:after="80"/>
      </w:pPr>
      <w:r>
        <w:t xml:space="preserve">FAQs (list of question/answer pairs)</w:t>
      </w:r>
    </w:p>
    <w:p>
      <w:pPr>
        <w:pStyle w:val="ListParagraph"/>
        <w:numPr>
          <w:ilvl w:val="0"/>
          <w:numId w:val="2"/>
        </w:numPr>
        <w:spacing w:after="80"/>
      </w:pPr>
      <w:r>
        <w:t xml:space="preserve">Tags</w:t>
      </w:r>
    </w:p>
    <w:p>
      <w:pPr>
        <w:pStyle w:val="ListParagraph"/>
        <w:numPr>
          <w:ilvl w:val="0"/>
          <w:numId w:val="2"/>
        </w:numPr>
        <w:spacing w:after="80"/>
      </w:pPr>
      <w:r>
        <w:t xml:space="preserve">Links (e.g. external website, social profiles)</w:t>
      </w:r>
    </w:p>
    <w:p>
      <w:pPr>
        <w:pStyle w:val="Heading2"/>
      </w:pPr>
      <w:r>
        <w:t xml:space="preserve">8.1 Requirements</w:t>
      </w:r>
    </w:p>
    <w:p>
      <w:pPr>
        <w:spacing w:after="100"/>
      </w:pPr>
      <w:r>
        <w:rPr>
          <w:rFonts w:ascii="Consolas" w:cs="Consolas" w:eastAsia="Consolas" w:hAnsi="Consolas"/>
          <w:b/>
          <w:bCs/>
          <w:sz w:val="18"/>
          <w:szCs w:val="18"/>
        </w:rPr>
        <w:t xml:space="preserve">PROV-001  </w:t>
      </w:r>
      <w:r>
        <w:t xml:space="preserve">The provider profile page shall render the fixed fields listed above identically in structure across all provider types, while rendering type-specific dynamic fields (Section 6) in a section determined by that provider's form_config layout.</w:t>
      </w:r>
    </w:p>
    <w:p>
      <w:pPr>
        <w:spacing w:after="100"/>
      </w:pPr>
      <w:r>
        <w:rPr>
          <w:rFonts w:ascii="Consolas" w:cs="Consolas" w:eastAsia="Consolas" w:hAnsi="Consolas"/>
          <w:b/>
          <w:bCs/>
          <w:sz w:val="18"/>
          <w:szCs w:val="18"/>
        </w:rPr>
        <w:t xml:space="preserve">PROV-002  </w:t>
      </w:r>
      <w:r>
        <w:t xml:space="preserve">Provider cards (the summary representation shown in search results and listing grids) shall be rendered per provider_type, since the most relevant summary information differs by type (e.g. a DJ card may foreground event_types_serviced, while a caterer card may foreground cuisine_types). Card rendering shall be data-driven from the provider's dynamic field values, not a hardcoded template per type, where practical.</w:t>
      </w:r>
    </w:p>
    <w:p>
      <w:pPr>
        <w:spacing w:after="100"/>
      </w:pPr>
      <w:r>
        <w:rPr>
          <w:rFonts w:ascii="Consolas" w:cs="Consolas" w:eastAsia="Consolas" w:hAnsi="Consolas"/>
          <w:b/>
          <w:bCs/>
          <w:sz w:val="18"/>
          <w:szCs w:val="18"/>
        </w:rPr>
        <w:t xml:space="preserve">PROV-003  </w:t>
      </w:r>
      <w:r>
        <w:t xml:space="preserve">Provider profile pages shall display the provider's published services (Section 9), public reviews (Section 13), and social content feed posts (Section 14).</w:t>
      </w:r>
    </w:p>
    <w:p>
      <w:pPr>
        <w:spacing w:after="100"/>
      </w:pPr>
      <w:r>
        <w:rPr>
          <w:rFonts w:ascii="Consolas" w:cs="Consolas" w:eastAsia="Consolas" w:hAnsi="Consolas"/>
          <w:b/>
          <w:bCs/>
          <w:sz w:val="18"/>
          <w:szCs w:val="18"/>
        </w:rPr>
        <w:t xml:space="preserve">PROV-004  </w:t>
      </w:r>
      <w:r>
        <w:t xml:space="preserve">A provider shall be able to edit any fixed or dynamic field after initial onboarding is complete, through the provider dashboard.</w:t>
      </w:r>
    </w:p>
    <w:p>
      <w:pPr>
        <w:spacing w:after="100"/>
      </w:pPr>
      <w:r>
        <w:rPr>
          <w:rFonts w:ascii="Consolas" w:cs="Consolas" w:eastAsia="Consolas" w:hAnsi="Consolas"/>
          <w:b/>
          <w:bCs/>
          <w:sz w:val="18"/>
          <w:szCs w:val="18"/>
        </w:rPr>
        <w:t xml:space="preserve">PROV-005  </w:t>
      </w:r>
      <w:r>
        <w:t xml:space="preserve">Edits to a published provider profile shall apply immediately, without re-triggering the full onboarding/publication flow, unless the edit removes a value required by ONB-003 for the relevant step, in which case the profile shall be flagged incomplete until resolved.</w:t>
      </w:r>
    </w:p>
    <w:p>
      <w:pPr>
        <w:spacing w:after="100"/>
      </w:pPr>
      <w:r>
        <w:rPr>
          <w:rFonts w:ascii="Consolas" w:cs="Consolas" w:eastAsia="Consolas" w:hAnsi="Consolas"/>
          <w:b/>
          <w:bCs/>
          <w:sz w:val="18"/>
          <w:szCs w:val="18"/>
        </w:rPr>
        <w:t xml:space="preserve">PROV-006  </w:t>
      </w:r>
      <w:r>
        <w:t xml:space="preserve">A provider profile shall be considered ‘published’ (is_published = true) only once ONB-004 is satisfied. Unpublished profiles shall not appear in search results, category listings, or be directly accessible via a public URL.</w:t>
      </w:r>
    </w:p>
    <w:p>
      <w:pPr>
        <w:pBdr>
          <w:bottom w:val="single" w:color="D9D6CC" w:sz="6" w:space="1"/>
        </w:pBdr>
        <w:spacing w:after="240" w:before="120"/>
      </w:pPr>
    </w:p>
    <w:p>
      <w:pPr>
        <w:pStyle w:val="Heading1"/>
      </w:pPr>
      <w:r>
        <w:t xml:space="preserve">9. Services</w:t>
      </w:r>
    </w:p>
    <w:p>
      <w:pPr>
        <w:spacing w:after="160"/>
      </w:pPr>
      <w:r>
        <w:rPr>
          <w:b w:val="false"/>
          <w:bCs w:val="false"/>
          <w:i w:val="false"/>
          <w:iCs w:val="false"/>
        </w:rPr>
        <w:t xml:space="preserve">Services are uniform in shape across all provider types. A provider adds services to their profile after profile creation; there is no dynamic schema applied to services (per the person's explicit direction).</w:t>
      </w:r>
    </w:p>
    <w:p>
      <w:pPr>
        <w:pStyle w:val="Heading2"/>
      </w:pPr>
      <w:r>
        <w:t xml:space="preserve">9.1 Requirements</w:t>
      </w:r>
    </w:p>
    <w:p>
      <w:pPr>
        <w:spacing w:after="100"/>
      </w:pPr>
      <w:r>
        <w:rPr>
          <w:rFonts w:ascii="Consolas" w:cs="Consolas" w:eastAsia="Consolas" w:hAnsi="Consolas"/>
          <w:b/>
          <w:bCs/>
          <w:sz w:val="18"/>
          <w:szCs w:val="18"/>
        </w:rPr>
        <w:t xml:space="preserve">SVC-001  </w:t>
      </w:r>
      <w:r>
        <w:t xml:space="preserve">A provider shall be able to create, edit, publish, unpublish, and delete services from their dashboard at any time after their profile exists, independent of onboarding step.</w:t>
      </w:r>
    </w:p>
    <w:p>
      <w:pPr>
        <w:spacing w:after="100"/>
      </w:pPr>
      <w:r>
        <w:rPr>
          <w:rFonts w:ascii="Consolas" w:cs="Consolas" w:eastAsia="Consolas" w:hAnsi="Consolas"/>
          <w:b/>
          <w:bCs/>
          <w:sz w:val="18"/>
          <w:szCs w:val="18"/>
        </w:rPr>
        <w:t xml:space="preserve">SVC-002  </w:t>
      </w:r>
      <w:r>
        <w:t xml:space="preserve">Each service shall capture: image, title, description, price, discount_type (amount, percent, or none), and discount_amount (applicable only when discount_type is not none).</w:t>
      </w:r>
    </w:p>
    <w:p>
      <w:pPr>
        <w:spacing w:after="100"/>
      </w:pPr>
      <w:r>
        <w:rPr>
          <w:rFonts w:ascii="Consolas" w:cs="Consolas" w:eastAsia="Consolas" w:hAnsi="Consolas"/>
          <w:b/>
          <w:bCs/>
          <w:sz w:val="18"/>
          <w:szCs w:val="18"/>
        </w:rPr>
        <w:t xml:space="preserve">SVC-003  </w:t>
      </w:r>
      <w:r>
        <w:t xml:space="preserve">When discount_type is percent, discount_amount shall be validated as a value between 0 and 100. When discount_type is amount, discount_amount shall be validated as a positive value not exceeding the service's price.</w:t>
      </w:r>
    </w:p>
    <w:p>
      <w:pPr>
        <w:spacing w:after="100"/>
      </w:pPr>
      <w:r>
        <w:rPr>
          <w:rFonts w:ascii="Consolas" w:cs="Consolas" w:eastAsia="Consolas" w:hAnsi="Consolas"/>
          <w:b/>
          <w:bCs/>
          <w:sz w:val="18"/>
          <w:szCs w:val="18"/>
        </w:rPr>
        <w:t xml:space="preserve">SVC-004  </w:t>
      </w:r>
      <w:r>
        <w:t xml:space="preserve">A customer shall be required to select a specific service when initiating a booking with a provider (see Section 12); a booking cannot be created against a provider with no selected service.</w:t>
      </w:r>
    </w:p>
    <w:p>
      <w:pPr>
        <w:pBdr>
          <w:bottom w:val="single" w:color="D9D6CC" w:sz="6" w:space="1"/>
        </w:pBdr>
        <w:spacing w:after="240" w:before="120"/>
      </w:pPr>
    </w:p>
    <w:p>
      <w:pPr>
        <w:pStyle w:val="Heading1"/>
      </w:pPr>
      <w:r>
        <w:t xml:space="preserve">10. Search and discovery</w:t>
      </w:r>
    </w:p>
    <w:p>
      <w:pPr>
        <w:spacing w:after="160"/>
      </w:pPr>
      <w:r>
        <w:rPr>
          <w:b w:val="false"/>
          <w:bCs w:val="false"/>
          <w:i w:val="false"/>
          <w:iCs w:val="false"/>
        </w:rPr>
        <w:t xml:space="preserve">Each vertical deployment (Section 4) is independently indexable by search engines, scoped to its provider_category. Discovery within a vertical includes keyword search, category/type filtering, location filtering, and tag filtering.</w:t>
      </w:r>
    </w:p>
    <w:p>
      <w:pPr>
        <w:pStyle w:val="Heading2"/>
      </w:pPr>
      <w:r>
        <w:t xml:space="preserve">10.1 Requirements</w:t>
      </w:r>
    </w:p>
    <w:p>
      <w:pPr>
        <w:spacing w:after="100"/>
      </w:pPr>
      <w:r>
        <w:rPr>
          <w:rFonts w:ascii="Consolas" w:cs="Consolas" w:eastAsia="Consolas" w:hAnsi="Consolas"/>
          <w:b/>
          <w:bCs/>
          <w:sz w:val="18"/>
          <w:szCs w:val="18"/>
        </w:rPr>
        <w:t xml:space="preserve">DISC-001  </w:t>
      </w:r>
      <w:r>
        <w:t xml:space="preserve">Each vertical deployment shall expose server-rendered (or statically generated) pages for provider profiles and category/location listing pages (e.g. “cleaning services in Queenstown”) to support search engine indexing.</w:t>
      </w:r>
    </w:p>
    <w:p>
      <w:pPr>
        <w:spacing w:after="100"/>
      </w:pPr>
      <w:r>
        <w:rPr>
          <w:rFonts w:ascii="Consolas" w:cs="Consolas" w:eastAsia="Consolas" w:hAnsi="Consolas"/>
          <w:b/>
          <w:bCs/>
          <w:sz w:val="18"/>
          <w:szCs w:val="18"/>
        </w:rPr>
        <w:t xml:space="preserve">DISC-002  </w:t>
      </w:r>
      <w:r>
        <w:t xml:space="preserve">Listing/search pages shall support filtering by provider_type (within the deployment's category), tags, and location.</w:t>
      </w:r>
    </w:p>
    <w:p>
      <w:pPr>
        <w:spacing w:after="100"/>
      </w:pPr>
      <w:r>
        <w:rPr>
          <w:rFonts w:ascii="Consolas" w:cs="Consolas" w:eastAsia="Consolas" w:hAnsi="Consolas"/>
          <w:b/>
          <w:bCs/>
          <w:sz w:val="18"/>
          <w:szCs w:val="18"/>
        </w:rPr>
        <w:t xml:space="preserve">DISC-003  </w:t>
      </w:r>
      <w:r>
        <w:t xml:space="preserve">Only published providers (PROV-006) shall appear in search results or listing pages.</w:t>
      </w:r>
    </w:p>
    <w:p>
      <w:pPr>
        <w:spacing w:after="100"/>
      </w:pPr>
      <w:r>
        <w:rPr>
          <w:rFonts w:ascii="Consolas" w:cs="Consolas" w:eastAsia="Consolas" w:hAnsi="Consolas"/>
          <w:b/>
          <w:bCs/>
          <w:sz w:val="18"/>
          <w:szCs w:val="18"/>
        </w:rPr>
        <w:t xml:space="preserve">DISC-004  </w:t>
      </w:r>
      <w:r>
        <w:t xml:space="preserve">The home marketplace deployment (Section 4, TEN-005) shall support search and discovery across all categories, plus a featured providers section and a featured provider specials/deals section on its landing page. Curation/selection logic for ‘featured’ status is not specified in this document (see Section 17).</w:t>
      </w:r>
    </w:p>
    <w:p>
      <w:pPr>
        <w:pBdr>
          <w:bottom w:val="single" w:color="D9D6CC" w:sz="6" w:space="1"/>
        </w:pBdr>
        <w:spacing w:after="240" w:before="120"/>
      </w:pPr>
    </w:p>
    <w:p>
      <w:pPr>
        <w:pStyle w:val="Heading1"/>
      </w:pPr>
      <w:r>
        <w:t xml:space="preserve">11. Booking flow</w:t>
      </w:r>
    </w:p>
    <w:p>
      <w:pPr>
        <w:spacing w:after="160"/>
      </w:pPr>
      <w:r>
        <w:rPr>
          <w:b w:val="false"/>
          <w:bCs w:val="false"/>
          <w:i w:val="false"/>
          <w:iCs w:val="false"/>
        </w:rPr>
        <w:t xml:space="preserve">Customers book providers directly through the platform, selecting a specific service as part of the booking request, per SVC-004.</w:t>
      </w:r>
    </w:p>
    <w:p>
      <w:pPr>
        <w:pStyle w:val="Heading2"/>
      </w:pPr>
      <w:r>
        <w:t xml:space="preserve">11.1 Requirements</w:t>
      </w:r>
    </w:p>
    <w:p>
      <w:pPr>
        <w:spacing w:after="100"/>
      </w:pPr>
      <w:r>
        <w:rPr>
          <w:rFonts w:ascii="Consolas" w:cs="Consolas" w:eastAsia="Consolas" w:hAnsi="Consolas"/>
          <w:b/>
          <w:bCs/>
          <w:sz w:val="18"/>
          <w:szCs w:val="18"/>
        </w:rPr>
        <w:t xml:space="preserve">BOOK-001  </w:t>
      </w:r>
      <w:r>
        <w:t xml:space="preserve">A customer shall be required to create a customer account before completing a booking. Browsing, searching, and viewing provider profiles shall not require an account.</w:t>
      </w:r>
    </w:p>
    <w:p>
      <w:pPr>
        <w:spacing w:after="100"/>
      </w:pPr>
      <w:r>
        <w:rPr>
          <w:rFonts w:ascii="Consolas" w:cs="Consolas" w:eastAsia="Consolas" w:hAnsi="Consolas"/>
          <w:b/>
          <w:bCs/>
          <w:sz w:val="18"/>
          <w:szCs w:val="18"/>
        </w:rPr>
        <w:t xml:space="preserve">BOOK-002  </w:t>
      </w:r>
      <w:r>
        <w:t xml:space="preserve">A booking shall reference exactly one provider, one service offered by that provider, and one customer.</w:t>
      </w:r>
    </w:p>
    <w:p>
      <w:pPr>
        <w:spacing w:after="100"/>
      </w:pPr>
      <w:r>
        <w:rPr>
          <w:rFonts w:ascii="Consolas" w:cs="Consolas" w:eastAsia="Consolas" w:hAnsi="Consolas"/>
          <w:b/>
          <w:bCs/>
          <w:sz w:val="18"/>
          <w:szCs w:val="18"/>
        </w:rPr>
        <w:t xml:space="preserve">BOOK-003  </w:t>
      </w:r>
      <w:r>
        <w:t xml:space="preserve">A booking shall have a status field with, at minimum, the following states: requested, accepted, declined, completed, cancelled.</w:t>
      </w:r>
    </w:p>
    <w:p>
      <w:pPr>
        <w:spacing w:after="100"/>
      </w:pPr>
      <w:r>
        <w:rPr>
          <w:rFonts w:ascii="Consolas" w:cs="Consolas" w:eastAsia="Consolas" w:hAnsi="Consolas"/>
          <w:b/>
          <w:bCs/>
          <w:sz w:val="18"/>
          <w:szCs w:val="18"/>
        </w:rPr>
        <w:t xml:space="preserve">BOOK-004  </w:t>
      </w:r>
      <w:r>
        <w:t xml:space="preserve">Only the provider associated with a booking shall be able to transition that booking to completed.</w:t>
      </w:r>
    </w:p>
    <w:p>
      <w:pPr>
        <w:spacing w:after="100"/>
      </w:pPr>
      <w:r>
        <w:rPr>
          <w:rFonts w:ascii="Consolas" w:cs="Consolas" w:eastAsia="Consolas" w:hAnsi="Consolas"/>
          <w:b/>
          <w:bCs/>
          <w:sz w:val="18"/>
          <w:szCs w:val="18"/>
        </w:rPr>
        <w:t xml:space="preserve">BOOK-005  </w:t>
      </w:r>
      <w:r>
        <w:t xml:space="preserve">A customer shall be able to view a list of their own past and current bookings, including status, from their customer account area.</w:t>
      </w:r>
    </w:p>
    <w:p>
      <w:pPr>
        <w:spacing w:after="100"/>
      </w:pPr>
      <w:r>
        <w:rPr>
          <w:rFonts w:ascii="Consolas" w:cs="Consolas" w:eastAsia="Consolas" w:hAnsi="Consolas"/>
          <w:b/>
          <w:bCs/>
          <w:sz w:val="18"/>
          <w:szCs w:val="18"/>
        </w:rPr>
        <w:t xml:space="preserve">BOOK-006  </w:t>
      </w:r>
      <w:r>
        <w:t xml:space="preserve">A booking transitioning to completed is the trigger condition that permits the associated customer to submit a review for that provider (see Section 13, REV-001).</w:t>
      </w:r>
    </w:p>
    <w:p>
      <w:pPr>
        <w:pBdr>
          <w:bottom w:val="single" w:color="D9D6CC" w:sz="6" w:space="1"/>
        </w:pBdr>
        <w:spacing w:after="240" w:before="120"/>
      </w:pPr>
    </w:p>
    <w:p>
      <w:pPr>
        <w:pStyle w:val="Heading1"/>
      </w:pPr>
      <w:r>
        <w:t xml:space="preserve">12. Reviews</w:t>
      </w:r>
    </w:p>
    <w:p>
      <w:pPr>
        <w:spacing w:after="160"/>
      </w:pPr>
      <w:r>
        <w:rPr>
          <w:b w:val="false"/>
          <w:bCs w:val="false"/>
          <w:i w:val="false"/>
          <w:iCs w:val="false"/>
        </w:rPr>
        <w:t xml:space="preserve">Reviews are gated by booking completion, ensuring only customers who have actually received a service from a provider can review that provider.</w:t>
      </w:r>
    </w:p>
    <w:p>
      <w:pPr>
        <w:pStyle w:val="Heading2"/>
      </w:pPr>
      <w:r>
        <w:t xml:space="preserve">12.1 Requirements</w:t>
      </w:r>
    </w:p>
    <w:p>
      <w:pPr>
        <w:spacing w:after="100"/>
      </w:pPr>
      <w:r>
        <w:rPr>
          <w:rFonts w:ascii="Consolas" w:cs="Consolas" w:eastAsia="Consolas" w:hAnsi="Consolas"/>
          <w:b/>
          <w:bCs/>
          <w:sz w:val="18"/>
          <w:szCs w:val="18"/>
        </w:rPr>
        <w:t xml:space="preserve">REV-001  </w:t>
      </w:r>
      <w:r>
        <w:t xml:space="preserve">A customer shall be permitted to submit a review for a provider if and only if that customer has at least one booking with that provider in the completed status.</w:t>
      </w:r>
    </w:p>
    <w:p>
      <w:pPr>
        <w:spacing w:after="100"/>
      </w:pPr>
      <w:r>
        <w:rPr>
          <w:rFonts w:ascii="Consolas" w:cs="Consolas" w:eastAsia="Consolas" w:hAnsi="Consolas"/>
          <w:b/>
          <w:bCs/>
          <w:sz w:val="18"/>
          <w:szCs w:val="18"/>
        </w:rPr>
        <w:t xml:space="preserve">REV-002  </w:t>
      </w:r>
      <w:r>
        <w:t xml:space="preserve">The system shall reject review submission attempts from a customer with no completed booking against the target provider.</w:t>
      </w:r>
    </w:p>
    <w:p>
      <w:pPr>
        <w:spacing w:after="100"/>
      </w:pPr>
      <w:r>
        <w:rPr>
          <w:rFonts w:ascii="Consolas" w:cs="Consolas" w:eastAsia="Consolas" w:hAnsi="Consolas"/>
          <w:b/>
          <w:bCs/>
          <w:sz w:val="18"/>
          <w:szCs w:val="18"/>
        </w:rPr>
        <w:t xml:space="preserve">REV-003  </w:t>
      </w:r>
      <w:r>
        <w:t xml:space="preserve">A review shall capture, at minimum: a rating (numeric scale) and free-text comment, associated with the specific completed booking that authorized it.</w:t>
      </w:r>
    </w:p>
    <w:p>
      <w:pPr>
        <w:spacing w:after="100"/>
      </w:pPr>
      <w:r>
        <w:rPr>
          <w:rFonts w:ascii="Consolas" w:cs="Consolas" w:eastAsia="Consolas" w:hAnsi="Consolas"/>
          <w:b/>
          <w:bCs/>
          <w:sz w:val="18"/>
          <w:szCs w:val="18"/>
        </w:rPr>
        <w:t xml:space="preserve">REV-004  </w:t>
      </w:r>
      <w:r>
        <w:t xml:space="preserve">A customer shall be limited to one review per completed booking (not one review per provider in total — a customer with multiple separate completed bookings against the same provider may submit a review for each).</w:t>
      </w:r>
    </w:p>
    <w:p>
      <w:pPr>
        <w:spacing w:after="100"/>
      </w:pPr>
      <w:r>
        <w:rPr>
          <w:rFonts w:ascii="Consolas" w:cs="Consolas" w:eastAsia="Consolas" w:hAnsi="Consolas"/>
          <w:b/>
          <w:bCs/>
          <w:sz w:val="18"/>
          <w:szCs w:val="18"/>
        </w:rPr>
        <w:t xml:space="preserve">REV-005  </w:t>
      </w:r>
      <w:r>
        <w:t xml:space="preserve">Published reviews shall be visible on the relevant provider's public profile page.</w:t>
      </w:r>
    </w:p>
    <w:p>
      <w:pPr>
        <w:pBdr>
          <w:bottom w:val="single" w:color="D9D6CC" w:sz="6" w:space="1"/>
        </w:pBdr>
        <w:spacing w:after="240" w:before="120"/>
      </w:pPr>
    </w:p>
    <w:p>
      <w:pPr>
        <w:pStyle w:val="Heading1"/>
      </w:pPr>
      <w:r>
        <w:t xml:space="preserve">13. Social content feed</w:t>
      </w:r>
    </w:p>
    <w:p>
      <w:pPr>
        <w:spacing w:after="160"/>
      </w:pPr>
      <w:r>
        <w:rPr>
          <w:b w:val="false"/>
          <w:bCs w:val="false"/>
          <w:i w:val="false"/>
          <w:iCs w:val="false"/>
        </w:rPr>
        <w:t xml:space="preserve">Providers can publish content (e.g. photos of completed work) to a feed visible to customers, supporting discovery and comparison between providers of the same type.</w:t>
      </w:r>
    </w:p>
    <w:p>
      <w:pPr>
        <w:pStyle w:val="Heading2"/>
      </w:pPr>
      <w:r>
        <w:t xml:space="preserve">13.1 Requirements</w:t>
      </w:r>
    </w:p>
    <w:p>
      <w:pPr>
        <w:spacing w:after="100"/>
      </w:pPr>
      <w:r>
        <w:rPr>
          <w:rFonts w:ascii="Consolas" w:cs="Consolas" w:eastAsia="Consolas" w:hAnsi="Consolas"/>
          <w:b/>
          <w:bCs/>
          <w:sz w:val="18"/>
          <w:szCs w:val="18"/>
        </w:rPr>
        <w:t xml:space="preserve">FEED-001  </w:t>
      </w:r>
      <w:r>
        <w:t xml:space="preserve">An authenticated provider shall be able to create a content post (image and/or text) from their dashboard.</w:t>
      </w:r>
    </w:p>
    <w:p>
      <w:pPr>
        <w:spacing w:after="100"/>
      </w:pPr>
      <w:r>
        <w:rPr>
          <w:rFonts w:ascii="Consolas" w:cs="Consolas" w:eastAsia="Consolas" w:hAnsi="Consolas"/>
          <w:b/>
          <w:bCs/>
          <w:sz w:val="18"/>
          <w:szCs w:val="18"/>
        </w:rPr>
        <w:t xml:space="preserve">FEED-002  </w:t>
      </w:r>
      <w:r>
        <w:t xml:space="preserve">Each vertical deployment shall expose a customer-facing content feed page showing posts from providers within that deployment's provider_category, ordered reverse-chronologically by default.</w:t>
      </w:r>
    </w:p>
    <w:p>
      <w:pPr>
        <w:spacing w:after="100"/>
      </w:pPr>
      <w:r>
        <w:rPr>
          <w:rFonts w:ascii="Consolas" w:cs="Consolas" w:eastAsia="Consolas" w:hAnsi="Consolas"/>
          <w:b/>
          <w:bCs/>
          <w:sz w:val="18"/>
          <w:szCs w:val="18"/>
        </w:rPr>
        <w:t xml:space="preserve">FEED-003  </w:t>
      </w:r>
      <w:r>
        <w:t xml:space="preserve">A provider's own profile page shall display that provider's posts in addition to their appearance in the category-wide feed.</w:t>
      </w:r>
    </w:p>
    <w:p>
      <w:pPr>
        <w:spacing w:after="100"/>
      </w:pPr>
      <w:r>
        <w:rPr>
          <w:rFonts w:ascii="Consolas" w:cs="Consolas" w:eastAsia="Consolas" w:hAnsi="Consolas"/>
          <w:b/>
          <w:bCs/>
          <w:sz w:val="18"/>
          <w:szCs w:val="18"/>
        </w:rPr>
        <w:t xml:space="preserve">FEED-004  </w:t>
      </w:r>
      <w:r>
        <w:t xml:space="preserve">The home marketplace deployment's content feed (if present) shall be able to display posts across all categories, consistent with its unfiltered nature (TEN-005).</w:t>
      </w:r>
    </w:p>
    <w:p>
      <w:pPr>
        <w:pBdr>
          <w:bottom w:val="single" w:color="D9D6CC" w:sz="6" w:space="1"/>
        </w:pBdr>
        <w:spacing w:after="240" w:before="120"/>
      </w:pPr>
    </w:p>
    <w:p>
      <w:pPr>
        <w:pStyle w:val="Heading1"/>
      </w:pPr>
      <w:r>
        <w:t xml:space="preserve">14. Payments and commission</w:t>
      </w:r>
    </w:p>
    <w:p>
      <w:pPr>
        <w:spacing w:after="160"/>
      </w:pPr>
      <w:r>
        <w:rPr>
          <w:b w:val="false"/>
          <w:bCs w:val="false"/>
          <w:i w:val="false"/>
          <w:iCs w:val="false"/>
        </w:rPr>
        <w:t xml:space="preserve">The platform takes a commission on two distinct transaction types: (a) a provider service booking paid for by a customer, and (b) any in-app payment flow between a provider and a partner where applicable (noted here for completeness; full partner payment flow is out of scope per Section 17).</w:t>
      </w:r>
    </w:p>
    <w:p>
      <w:pPr>
        <w:pStyle w:val="Heading2"/>
      </w:pPr>
      <w:r>
        <w:t xml:space="preserve">14.1 Regulatory constraint — funds handling</w:t>
      </w:r>
    </w:p>
    <w:p>
      <w:pPr>
        <w:spacing w:after="160"/>
      </w:pPr>
      <w:r>
        <w:rPr>
          <w:b w:val="false"/>
          <w:bCs w:val="false"/>
          <w:i w:val="false"/>
          <w:iCs w:val="false"/>
        </w:rPr>
        <w:t xml:space="preserve">The platform itself shall not hold customer or provider funds directly. Doing so introduces exposure under South African financial services and payment systems regulation that a standard SaaS marketplace is not structured to carry. Instead, the platform shall integrate with a third-party payment service provider (PSP) that natively supports split payouts (e.g. Paystack or PayFast, both of which support split-payment APIs), such that:</w:t>
      </w:r>
    </w:p>
    <w:p>
      <w:pPr>
        <w:pStyle w:val="ListParagraph"/>
        <w:numPr>
          <w:ilvl w:val="0"/>
          <w:numId w:val="2"/>
        </w:numPr>
        <w:spacing w:after="80"/>
      </w:pPr>
      <w:r>
        <w:t xml:space="preserve">A customer's payment for a booking is processed by the PSP.</w:t>
      </w:r>
    </w:p>
    <w:p>
      <w:pPr>
        <w:pStyle w:val="ListParagraph"/>
        <w:numPr>
          <w:ilvl w:val="0"/>
          <w:numId w:val="2"/>
        </w:numPr>
        <w:spacing w:after="80"/>
      </w:pPr>
      <w:r>
        <w:t xml:space="preserve">The PSP, not the platform, executes the split: the provider's share is paid out to the provider, and the platform's commission share is paid out to the platform, as two distinct legs of the same transaction.</w:t>
      </w:r>
    </w:p>
    <w:p>
      <w:pPr>
        <w:pStyle w:val="ListParagraph"/>
        <w:numPr>
          <w:ilvl w:val="0"/>
          <w:numId w:val="2"/>
        </w:numPr>
        <w:spacing w:after="80"/>
      </w:pPr>
      <w:r>
        <w:t xml:space="preserve">The platform's database records the transaction and commission for accounting/reporting purposes but is never the custodian of the funds in transit.</w:t>
      </w:r>
    </w:p>
    <w:p>
      <w:pPr>
        <w:spacing w:after="100"/>
      </w:pPr>
      <w:r>
        <w:rPr>
          <w:rFonts w:ascii="Consolas" w:cs="Consolas" w:eastAsia="Consolas" w:hAnsi="Consolas"/>
          <w:b/>
          <w:bCs/>
          <w:sz w:val="18"/>
          <w:szCs w:val="18"/>
        </w:rPr>
        <w:t xml:space="preserve">PAY-001  </w:t>
      </w:r>
      <w:r>
        <w:t xml:space="preserve">All customer-to-provider payments for bookings shall be processed through a third-party PSP with native split-payout support. The platform shall not implement custom logic that receives, holds, and later disburses customer funds.</w:t>
      </w:r>
    </w:p>
    <w:p>
      <w:pPr>
        <w:spacing w:after="100"/>
      </w:pPr>
      <w:r>
        <w:rPr>
          <w:rFonts w:ascii="Consolas" w:cs="Consolas" w:eastAsia="Consolas" w:hAnsi="Consolas"/>
          <w:b/>
          <w:bCs/>
          <w:sz w:val="18"/>
          <w:szCs w:val="18"/>
        </w:rPr>
        <w:t xml:space="preserve">PAY-002  </w:t>
      </w:r>
      <w:r>
        <w:t xml:space="preserve">The platform's commission percentage on provider bookings shall be configurable (not hardcoded), to allow business-side adjustment without a code change. The specific percentage is not finalized in this document (see Section 17).</w:t>
      </w:r>
    </w:p>
    <w:p>
      <w:pPr>
        <w:spacing w:after="100"/>
      </w:pPr>
      <w:r>
        <w:rPr>
          <w:rFonts w:ascii="Consolas" w:cs="Consolas" w:eastAsia="Consolas" w:hAnsi="Consolas"/>
          <w:b/>
          <w:bCs/>
          <w:sz w:val="18"/>
          <w:szCs w:val="18"/>
        </w:rPr>
        <w:t xml:space="preserve">PAY-003  </w:t>
      </w:r>
      <w:r>
        <w:t xml:space="preserve">A booking shall not be marked completed (BOOK-004) in a way that releases provider funds until the PSP confirms successful payment capture for that booking.</w:t>
      </w:r>
    </w:p>
    <w:p>
      <w:pPr>
        <w:spacing w:after="100"/>
      </w:pPr>
      <w:r>
        <w:rPr>
          <w:rFonts w:ascii="Consolas" w:cs="Consolas" w:eastAsia="Consolas" w:hAnsi="Consolas"/>
          <w:b/>
          <w:bCs/>
          <w:sz w:val="18"/>
          <w:szCs w:val="18"/>
        </w:rPr>
        <w:t xml:space="preserve">PAY-004  </w:t>
      </w:r>
      <w:r>
        <w:t xml:space="preserve">Refund and dispute handling for cancelled or declined bookings (BOOK-003) shall follow the PSP's native refund mechanisms rather than a custom platform-side funds-handling implementation.</w:t>
      </w:r>
    </w:p>
    <w:p>
      <w:pPr>
        <w:pStyle w:val="Heading2"/>
      </w:pPr>
      <w:r>
        <w:t xml:space="preserve">14.2 Open items</w:t>
      </w:r>
    </w:p>
    <w:p>
      <w:pPr>
        <w:spacing w:after="160"/>
      </w:pPr>
      <w:r>
        <w:rPr>
          <w:b w:val="false"/>
          <w:bCs w:val="false"/>
          <w:i w:val="false"/>
          <w:iCs w:val="false"/>
        </w:rPr>
        <w:t xml:space="preserve">Specific PSP selection, exact commission percentages for provider bookings, and any partner-side commission structure are explicitly deferred to a follow-on technical decision document; see Section 17.</w:t>
      </w:r>
    </w:p>
    <w:p>
      <w:pPr>
        <w:pBdr>
          <w:bottom w:val="single" w:color="D9D6CC" w:sz="6" w:space="1"/>
        </w:pBdr>
        <w:spacing w:after="240" w:before="120"/>
      </w:pPr>
    </w:p>
    <w:p>
      <w:pPr>
        <w:pStyle w:val="Heading1"/>
      </w:pPr>
      <w:r>
        <w:t xml:space="preserve">15. Non-functional requirements</w:t>
      </w:r>
    </w:p>
    <w:p>
      <w:pPr>
        <w:pStyle w:val="Heading2"/>
      </w:pPr>
      <w:r>
        <w:t xml:space="preserve">15.1 SEO / indexability</w:t>
      </w:r>
    </w:p>
    <w:p>
      <w:pPr>
        <w:spacing w:after="100"/>
      </w:pPr>
      <w:r>
        <w:rPr>
          <w:rFonts w:ascii="Consolas" w:cs="Consolas" w:eastAsia="Consolas" w:hAnsi="Consolas"/>
          <w:b/>
          <w:bCs/>
          <w:sz w:val="18"/>
          <w:szCs w:val="18"/>
        </w:rPr>
        <w:t xml:space="preserve">NFR-001  </w:t>
      </w:r>
      <w:r>
        <w:t xml:space="preserve">Provider profile pages and category/location listing pages on each vertical deployment shall be server-rendered or statically generated (not client-side-rendered only), to ensure search engine crawlability.</w:t>
      </w:r>
    </w:p>
    <w:p>
      <w:pPr>
        <w:spacing w:after="100"/>
      </w:pPr>
      <w:r>
        <w:rPr>
          <w:rFonts w:ascii="Consolas" w:cs="Consolas" w:eastAsia="Consolas" w:hAnsi="Consolas"/>
          <w:b/>
          <w:bCs/>
          <w:sz w:val="18"/>
          <w:szCs w:val="18"/>
        </w:rPr>
        <w:t xml:space="preserve">NFR-002  </w:t>
      </w:r>
      <w:r>
        <w:t xml:space="preserve">Each vertical deployment shall generate its own sitemap and canonical URLs scoped to its own domain, consistent with TEN-002.</w:t>
      </w:r>
    </w:p>
    <w:p>
      <w:pPr>
        <w:pStyle w:val="Heading2"/>
      </w:pPr>
      <w:r>
        <w:t xml:space="preserve">15.2 Configuration-driven extensibility</w:t>
      </w:r>
    </w:p>
    <w:p>
      <w:pPr>
        <w:spacing w:after="100"/>
      </w:pPr>
      <w:r>
        <w:rPr>
          <w:rFonts w:ascii="Consolas" w:cs="Consolas" w:eastAsia="Consolas" w:hAnsi="Consolas"/>
          <w:b/>
          <w:bCs/>
          <w:sz w:val="18"/>
          <w:szCs w:val="18"/>
        </w:rPr>
        <w:t xml:space="preserve">NFR-003  </w:t>
      </w:r>
      <w:r>
        <w:t xml:space="preserve">Adding a new provider_category, provider_type, field, or form_config shall be achievable through an administrative interface or direct data configuration, without requiring an application code deployment, per DYN-001 / DYN-002 / TEN-006.</w:t>
      </w:r>
    </w:p>
    <w:p>
      <w:pPr>
        <w:pStyle w:val="Heading2"/>
      </w:pPr>
      <w:r>
        <w:t xml:space="preserve">15.3 Data integrity</w:t>
      </w:r>
    </w:p>
    <w:p>
      <w:pPr>
        <w:spacing w:after="100"/>
      </w:pPr>
      <w:r>
        <w:rPr>
          <w:rFonts w:ascii="Consolas" w:cs="Consolas" w:eastAsia="Consolas" w:hAnsi="Consolas"/>
          <w:b/>
          <w:bCs/>
          <w:sz w:val="18"/>
          <w:szCs w:val="18"/>
        </w:rPr>
        <w:t xml:space="preserve">NFR-004  </w:t>
      </w:r>
      <w:r>
        <w:t xml:space="preserve">Deleting a field that is still referenced by one or more form_config_fields, or that has existing provider_field_values, shall be prevented or require explicit confirmation and a defined migration/cleanup path, rather than silently orphaning data.</w:t>
      </w:r>
    </w:p>
    <w:p>
      <w:pPr>
        <w:spacing w:after="100"/>
      </w:pPr>
      <w:r>
        <w:rPr>
          <w:rFonts w:ascii="Consolas" w:cs="Consolas" w:eastAsia="Consolas" w:hAnsi="Consolas"/>
          <w:b/>
          <w:bCs/>
          <w:sz w:val="18"/>
          <w:szCs w:val="18"/>
        </w:rPr>
        <w:t xml:space="preserve">NFR-005  </w:t>
      </w:r>
      <w:r>
        <w:t xml:space="preserve">Changing a provider's provider_type after profile creation shall be handled explicitly: existing provider_field_values tied to fields not present in the new type's form_configs shall be retained but not displayed, rather than deleted, unless an administrator explicitly purges them.</w:t>
      </w:r>
    </w:p>
    <w:p>
      <w:pPr>
        <w:pBdr>
          <w:bottom w:val="single" w:color="D9D6CC" w:sz="6" w:space="1"/>
        </w:pBdr>
        <w:spacing w:after="240" w:before="120"/>
      </w:pP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term</w:t>
            </w:r>
          </w:p>
        </w:tc>
        <w:tc>
          <w:tcPr>
            <w:tcW w:type="dxa" w:w="69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definition</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Vertical</w:t>
            </w:r>
          </w:p>
        </w:tc>
        <w:tc>
          <w:tcPr>
            <w:tcW w:type="dxa" w:w="6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single service category deployment of the platform, e.g. cleaning services, event services, security services.</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w:t>
            </w:r>
          </w:p>
        </w:tc>
        <w:tc>
          <w:tcPr>
            <w:tcW w:type="dxa" w:w="6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 specific deployed instance of the application, configured for one vertical (or unfiltered, for the home marketplace).</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 category</w:t>
            </w:r>
          </w:p>
        </w:tc>
        <w:tc>
          <w:tcPr>
            <w:tcW w:type="dxa" w:w="6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The top-level grouping a vertical is scoped to (provider_categories table).</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 type</w:t>
            </w:r>
          </w:p>
        </w:tc>
        <w:tc>
          <w:tcPr>
            <w:tcW w:type="dxa" w:w="6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 sub-category within a category, defining a specific set of dynamic fields (provider_types table).</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Dynamic field / field</w:t>
            </w:r>
          </w:p>
        </w:tc>
        <w:tc>
          <w:tcPr>
            <w:tcW w:type="dxa" w:w="6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reusable, globally defined unit of profile data that can be attached to one or more provider types via a form_config.</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 config</w:t>
            </w:r>
          </w:p>
        </w:tc>
        <w:tc>
          <w:tcPr>
            <w:tcW w:type="dxa" w:w="6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 single onboarding step, composed of an ordered set of fields, attached to a provider type and/or category.</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Published</w:t>
            </w:r>
          </w:p>
        </w:tc>
        <w:tc>
          <w:tcPr>
            <w:tcW w:type="dxa" w:w="69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provider profile state indicating all required onboarding steps are complete and the profile is publicly visible/searchable.</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PSP</w:t>
            </w:r>
          </w:p>
        </w:tc>
        <w:tc>
          <w:tcPr>
            <w:tcW w:type="dxa" w:w="69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Payment service provider — the third-party payments processor handling split payouts (Section 14).</w:t>
            </w:r>
          </w:p>
        </w:tc>
      </w:tr>
    </w:tbl>
    <w:p>
      <w:pPr>
        <w:pBdr>
          <w:bottom w:val="single" w:color="D9D6CC" w:sz="6" w:space="1"/>
        </w:pBdr>
        <w:spacing w:after="240" w:before="120"/>
      </w:pPr>
    </w:p>
    <w:p>
      <w:pPr>
        <w:pStyle w:val="Heading1"/>
      </w:pPr>
      <w:r>
        <w:t xml:space="preserve">17. Open questions and deferred decisions</w:t>
      </w:r>
    </w:p>
    <w:p>
      <w:pPr>
        <w:spacing w:after="160"/>
      </w:pPr>
      <w:r>
        <w:rPr>
          <w:b w:val="false"/>
          <w:bCs w:val="false"/>
          <w:i w:val="false"/>
          <w:iCs w:val="false"/>
        </w:rPr>
        <w:t xml:space="preserve">The following are explicitly not decided in this document and should not be inferred or assumed by an implementing AI agent. Each requires a decision before the relevant area can be considered fully specified.</w:t>
      </w:r>
    </w:p>
    <w:p>
      <w:pPr>
        <w:pStyle w:val="ListParagraph"/>
        <w:numPr>
          <w:ilvl w:val="0"/>
          <w:numId w:val="3"/>
        </w:numPr>
        <w:spacing w:after="80"/>
      </w:pPr>
      <w:r>
        <w:t xml:space="preserve">Partners app: full data model, hiring flow, and payment/commission structure between providers and partners (referenced only in Section 3.4 and Section 14).</w:t>
      </w:r>
    </w:p>
    <w:p>
      <w:pPr>
        <w:pStyle w:val="ListParagraph"/>
        <w:numPr>
          <w:ilvl w:val="0"/>
          <w:numId w:val="3"/>
        </w:numPr>
        <w:spacing w:after="80"/>
      </w:pPr>
      <w:r>
        <w:t xml:space="preserve">Home marketplace app: full UI/UX specification beyond the data dependencies noted in Section 4 (TEN-005) and Section 10 (DISC-004), including the curation logic for ‘featured providers’ and ‘featured specials/deals’.</w:t>
      </w:r>
    </w:p>
    <w:p>
      <w:pPr>
        <w:pStyle w:val="ListParagraph"/>
        <w:numPr>
          <w:ilvl w:val="0"/>
          <w:numId w:val="3"/>
        </w:numPr>
        <w:spacing w:after="80"/>
      </w:pPr>
      <w:r>
        <w:t xml:space="preserve">Specific commission percentage(s) for provider bookings, and whether the percentage may vary by vertical or provider type (Section 14, PAY-002).</w:t>
      </w:r>
    </w:p>
    <w:p>
      <w:pPr>
        <w:pStyle w:val="ListParagraph"/>
        <w:numPr>
          <w:ilvl w:val="0"/>
          <w:numId w:val="3"/>
        </w:numPr>
        <w:spacing w:after="80"/>
      </w:pPr>
      <w:r>
        <w:t xml:space="preserve">Final PSP selection (e.g. Paystack vs. PayFast) and the specific split-payout API integration detail (Section 14).</w:t>
      </w:r>
    </w:p>
    <w:p>
      <w:pPr>
        <w:pStyle w:val="ListParagraph"/>
        <w:numPr>
          <w:ilvl w:val="0"/>
          <w:numId w:val="3"/>
        </w:numPr>
        <w:spacing w:after="80"/>
      </w:pPr>
      <w:r>
        <w:t xml:space="preserve">Platform administrator tooling: the interface through which categories, types, fields, and form_configs are actually configured (referenced in Section 3.3 and NFR-003) is not specified beyond the requirement that it not require a code deployment.</w:t>
      </w:r>
    </w:p>
    <w:p>
      <w:pPr>
        <w:pStyle w:val="ListParagraph"/>
        <w:numPr>
          <w:ilvl w:val="0"/>
          <w:numId w:val="3"/>
        </w:numPr>
        <w:spacing w:after="80"/>
      </w:pPr>
      <w:r>
        <w:t xml:space="preserve">Moderation and content policy for the social content feed (Section 13) and for reviews (Section 12), including handling of disputed or fraudulent reviews.</w:t>
      </w:r>
    </w:p>
    <w:p>
      <w:pPr>
        <w:pStyle w:val="ListParagraph"/>
        <w:numPr>
          <w:ilvl w:val="0"/>
          <w:numId w:val="3"/>
        </w:numPr>
        <w:spacing w:after="80"/>
      </w:pPr>
      <w:r>
        <w:t xml:space="preserve">Provider verification / trust signals (e.g. a verified badge), referenced in prior planning discussions but not yet incorporated into this document's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2026-06-19T18:04:04.035Z</dcterms:created>
  <dcterms:modified xsi:type="dcterms:W3CDTF">2026-06-19T18:04:04.035Z</dcterms:modified>
</cp:coreProperties>
</file>

<file path=docProps/custom.xml><?xml version="1.0" encoding="utf-8"?>
<Properties xmlns="http://schemas.openxmlformats.org/officeDocument/2006/custom-properties" xmlns:vt="http://schemas.openxmlformats.org/officeDocument/2006/docPropsVTypes"/>
</file>