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pPr>
      <w:r>
        <w:rPr>
          <w:b/>
          <w:bCs/>
          <w:sz w:val="56"/>
          <w:szCs w:val="56"/>
        </w:rPr>
        <w:t xml:space="preserve">Providers platform</w:t>
      </w:r>
    </w:p>
    <w:p>
      <w:pPr>
        <w:spacing w:after="720"/>
      </w:pPr>
      <w:r>
        <w:rPr>
          <w:color w:val="5F5E5A"/>
          <w:sz w:val="28"/>
          <w:szCs w:val="28"/>
        </w:rPr>
        <w:t xml:space="preserve">Business logic specification</w:t>
      </w:r>
    </w:p>
    <w:p>
      <w:pPr>
        <w:spacing w:after="80"/>
      </w:pPr>
      <w:r>
        <w:rPr>
          <w:b/>
          <w:bCs/>
          <w:sz w:val="22"/>
          <w:szCs w:val="22"/>
        </w:rPr>
        <w:t xml:space="preserve">Document type: </w:t>
      </w:r>
      <w:r>
        <w:rPr>
          <w:sz w:val="22"/>
          <w:szCs w:val="22"/>
        </w:rPr>
        <w:t xml:space="preserve">Business logic / behavioral specification (companion to the PRD)</w:t>
      </w:r>
    </w:p>
    <w:p>
      <w:pPr>
        <w:spacing w:after="80"/>
      </w:pPr>
      <w:r>
        <w:rPr>
          <w:b/>
          <w:bCs/>
          <w:sz w:val="22"/>
          <w:szCs w:val="22"/>
        </w:rPr>
        <w:t xml:space="preserve">Intended consumer: </w:t>
      </w:r>
      <w:r>
        <w:rPr>
          <w:sz w:val="22"/>
          <w:szCs w:val="22"/>
        </w:rPr>
        <w:t xml:space="preserve">AI coding agent / automated build tooling</w:t>
      </w:r>
    </w:p>
    <w:p>
      <w:pPr>
        <w:spacing w:after="80"/>
      </w:pPr>
      <w:r>
        <w:rPr>
          <w:b/>
          <w:bCs/>
          <w:sz w:val="22"/>
          <w:szCs w:val="22"/>
        </w:rPr>
        <w:t xml:space="preserve">Scope: </w:t>
      </w:r>
      <w:r>
        <w:rPr>
          <w:sz w:val="22"/>
          <w:szCs w:val="22"/>
        </w:rPr>
        <w:t xml:space="preserve">Onboarding &amp; form completion logic, booking lifecycle, payments &amp; commission calculation, search ranking &amp; paid placement</w:t>
      </w:r>
    </w:p>
    <w:p>
      <w:pPr>
        <w:spacing w:after="80"/>
      </w:pPr>
      <w:r>
        <w:rPr>
          <w:b/>
          <w:bCs/>
          <w:sz w:val="22"/>
          <w:szCs w:val="22"/>
        </w:rPr>
        <w:t xml:space="preserve">Relationship to PRD: </w:t>
      </w:r>
      <w:r>
        <w:rPr>
          <w:sz w:val="22"/>
          <w:szCs w:val="22"/>
        </w:rPr>
        <w:t xml:space="preserve">This document assumes the entities and structural requirements defined in the Providers Platform PRD. It does not redefine entities; it defines the rules, state transitions, and calculations that operate on them.</w:t>
      </w:r>
    </w:p>
    <w:p>
      <w:r>
        <w:br w:type="page"/>
      </w:r>
    </w:p>
    <w:p>
      <w:pPr>
        <w:spacing w:after="240"/>
      </w:pPr>
      <w:r>
        <w:rPr>
          <w:b/>
          <w:bCs/>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0. How to read this document</w:t>
      </w:r>
    </w:p>
    <w:p>
      <w:pPr>
        <w:spacing w:after="160"/>
      </w:pPr>
      <w:r>
        <w:rPr>
          <w:b w:val="false"/>
          <w:bCs w:val="false"/>
          <w:i w:val="false"/>
          <w:iCs w:val="false"/>
        </w:rPr>
        <w:t xml:space="preserve">This document specifies behavior, not structure — it answers “what happens when X occurs” rather than “what fields exist.” It assumes familiarity with the entities defined in the Providers Platform PRD (provider_categories, provider_types, fields, form_configs, providers, services, bookings, etc.).</w:t>
      </w:r>
    </w:p>
    <w:p>
      <w:pPr>
        <w:spacing w:after="160"/>
      </w:pPr>
      <w:r>
        <w:rPr>
          <w:b w:val="false"/>
          <w:bCs w:val="false"/>
          <w:i w:val="false"/>
          <w:iCs w:val="false"/>
        </w:rPr>
        <w:t xml:space="preserve">Two block types appear throughout this document in addition to standard numbered requirements:</w:t>
      </w:r>
    </w:p>
    <w:p>
      <w:pPr>
        <w:pStyle w:val="ListParagraph"/>
        <w:numPr>
          <w:ilvl w:val="0"/>
          <w:numId w:val="2"/>
        </w:numPr>
        <w:spacing w:after="80"/>
      </w:pPr>
      <w:r>
        <w:t xml:space="preserve">A shaded amber block marked “BUSINESS DECISION REQUIRED” indicates a parameter, threshold, or policy choice that is a business decision, not an engineering one. A recommended default is given for each, clearly marked as a recommendation rather than a final answer. An implementing AI agent should treat these as configurable values, not hardcoded constants, specifically so the eventual real value can be set without a code change.</w:t>
      </w:r>
    </w:p>
    <w:p>
      <w:pPr>
        <w:pStyle w:val="ListParagraph"/>
        <w:numPr>
          <w:ilvl w:val="0"/>
          <w:numId w:val="2"/>
        </w:numPr>
        <w:spacing w:after="80"/>
      </w:pPr>
      <w:r>
        <w:t xml:space="preserve">A shaded teal block marked “WORKED EXAMPLE” walks through the logic with concrete numbers, to remove ambiguity from the surrounding rule.</w:t>
      </w:r>
    </w:p>
    <w:p>
      <w:pPr>
        <w:pBdr>
          <w:bottom w:val="single" w:color="D9D6CC" w:sz="6" w:space="1"/>
        </w:pBdr>
        <w:spacing w:after="240" w:before="120"/>
      </w:pPr>
    </w:p>
    <w:p>
      <w:pPr>
        <w:pStyle w:val="Heading1"/>
      </w:pPr>
      <w:r>
        <w:t xml:space="preserve">1. Onboarding &amp; form completion logic</w:t>
      </w:r>
    </w:p>
    <w:p>
      <w:pPr>
        <w:spacing w:after="160"/>
      </w:pPr>
      <w:r>
        <w:rPr>
          <w:b w:val="false"/>
          <w:bCs w:val="false"/>
          <w:i w:val="false"/>
          <w:iCs w:val="false"/>
        </w:rPr>
        <w:t xml:space="preserve">This section defines exactly how the ordered list of onboarding steps is resolved for a given provider, how step completion is evaluated, and what happens when the underlying form configuration changes after a provider has already started or finished onboarding.</w:t>
      </w:r>
    </w:p>
    <w:p>
      <w:pPr>
        <w:pStyle w:val="Heading2"/>
      </w:pPr>
      <w:r>
        <w:t xml:space="preserve">1.1 Step sequencing resolution</w:t>
      </w:r>
    </w:p>
    <w:p>
      <w:pPr>
        <w:spacing w:after="160"/>
      </w:pPr>
      <w:r>
        <w:rPr>
          <w:b w:val="false"/>
          <w:bCs w:val="false"/>
          <w:i w:val="false"/>
          <w:iCs w:val="false"/>
        </w:rPr>
        <w:t xml:space="preserve">Per the PRD (DYN-006), a provider's onboarding steps are drawn from two sources: form_configs attached to the provider's provider_category, and form_configs attached to the provider's specific provider_type. These two sets must be merged into a single, deterministic, ordered sequence.</w:t>
      </w:r>
    </w:p>
    <w:p>
      <w:pPr>
        <w:spacing w:after="100"/>
      </w:pPr>
      <w:r>
        <w:rPr>
          <w:rFonts w:ascii="Consolas" w:cs="Consolas" w:eastAsia="Consolas" w:hAnsi="Consolas"/>
          <w:b/>
          <w:bCs/>
          <w:sz w:val="18"/>
          <w:szCs w:val="18"/>
        </w:rPr>
        <w:t xml:space="preserve">ONB-LOGIC-001  </w:t>
      </w:r>
      <w:r>
        <w:t xml:space="preserve">Category-level steps shall always be sequenced before type-level steps. Within each group, steps are ordered by their own step_number, ascending.</w:t>
      </w:r>
    </w:p>
    <w:p>
      <w:pPr>
        <w:spacing w:after="100"/>
      </w:pPr>
      <w:r>
        <w:rPr>
          <w:rFonts w:ascii="Consolas" w:cs="Consolas" w:eastAsia="Consolas" w:hAnsi="Consolas"/>
          <w:b/>
          <w:bCs/>
          <w:sz w:val="18"/>
          <w:szCs w:val="18"/>
        </w:rPr>
        <w:t xml:space="preserve">ONB-LOGIC-002  </w:t>
      </w:r>
      <w:r>
        <w:t xml:space="preserve">The system shall NOT interleave category-level and type-level steps by a shared step_number across both tables. step_number is scoped independently to each form_config's own group (category-level vs type-level) to avoid numbering collisions when category-level steps are authored independently of any specific type's steps.</w:t>
      </w:r>
    </w:p>
    <w:p>
      <w:pPr>
        <w:spacing w:after="100"/>
      </w:pPr>
      <w:r>
        <w:rPr>
          <w:rFonts w:ascii="Consolas" w:cs="Consolas" w:eastAsia="Consolas" w:hAnsi="Consolas"/>
          <w:b/>
          <w:bCs/>
          <w:sz w:val="18"/>
          <w:szCs w:val="18"/>
        </w:rPr>
        <w:t xml:space="preserve">ONB-LOGIC-003  </w:t>
      </w:r>
      <w:r>
        <w:t xml:space="preserve">The provider's effective step sequence shall be computed at the time onboarding begins (provider_type selection) and shall be treated as ordinal positions 1..N for the purpose of providers.onboarding_step, regardless of the underlying step_number values on individual form_configs.</w:t>
      </w:r>
    </w:p>
    <w:p>
      <w:pPr>
        <w:pBdr>
          <w:left w:val="single" w:color="0F6E56" w:sz="18"/>
        </w:pBdr>
        <w:shd w:fill="E1F5EE" w:val="clear"/>
        <w:spacing w:after="0" w:before="160"/>
        <w:ind w:left="100"/>
      </w:pPr>
      <w:r>
        <w:rPr>
          <w:b/>
          <w:bCs/>
          <w:color w:val="085041"/>
          <w:sz w:val="19"/>
          <w:szCs w:val="19"/>
        </w:rPr>
        <w:t xml:space="preserve">WORKED EXAMPLE — Step sequencing for a caterer in the events category</w:t>
      </w:r>
    </w:p>
    <w:p>
      <w:pPr>
        <w:shd w:fill="E1F5EE" w:val="clear"/>
        <w:spacing w:after="60"/>
        <w:ind w:left="100"/>
      </w:pPr>
      <w:r>
        <w:rPr>
          <w:rFonts w:ascii="Consolas" w:cs="Consolas" w:eastAsia="Consolas" w:hAnsi="Consolas"/>
          <w:color w:val="04342C"/>
          <w:sz w:val="19"/>
          <w:szCs w:val="19"/>
        </w:rPr>
        <w:t xml:space="preserve">Category-level steps (events): [1] Business basics, [2] Service area &amp; capacity</w:t>
      </w:r>
    </w:p>
    <w:p>
      <w:pPr>
        <w:shd w:fill="E1F5EE" w:val="clear"/>
        <w:spacing w:after="60"/>
        <w:ind w:left="100"/>
      </w:pPr>
      <w:r>
        <w:rPr>
          <w:rFonts w:ascii="Consolas" w:cs="Consolas" w:eastAsia="Consolas" w:hAnsi="Consolas"/>
          <w:color w:val="04342C"/>
          <w:sz w:val="19"/>
          <w:szCs w:val="19"/>
        </w:rPr>
        <w:t xml:space="preserve">Type-level steps (caterer):    [1] Cuisine &amp; dietary info, [2] Sample menu uploads</w:t>
      </w:r>
    </w:p>
    <w:p>
      <w:pPr>
        <w:shd w:fill="E1F5EE" w:val="clear"/>
        <w:spacing w:after="60"/>
        <w:ind w:left="100"/>
      </w:pPr>
      <w:r>
        <w:rPr>
          <w:rFonts w:ascii="Consolas" w:cs="Consolas" w:eastAsia="Consolas" w:hAnsi="Consolas"/>
          <w:color w:val="04342C"/>
          <w:sz w:val="19"/>
          <w:szCs w:val="19"/>
        </w:rPr>
        <w:t xml:space="preserve"/>
      </w:r>
    </w:p>
    <w:p>
      <w:pPr>
        <w:shd w:fill="E1F5EE" w:val="clear"/>
        <w:spacing w:after="60"/>
        <w:ind w:left="100"/>
      </w:pPr>
      <w:r>
        <w:rPr>
          <w:rFonts w:ascii="Consolas" w:cs="Consolas" w:eastAsia="Consolas" w:hAnsi="Consolas"/>
          <w:color w:val="04342C"/>
          <w:sz w:val="19"/>
          <w:szCs w:val="19"/>
        </w:rPr>
        <w:t xml:space="preserve">Resolved sequence for this provider:</w:t>
      </w:r>
    </w:p>
    <w:p>
      <w:pPr>
        <w:shd w:fill="E1F5EE" w:val="clear"/>
        <w:spacing w:after="60"/>
        <w:ind w:left="100"/>
      </w:pPr>
      <w:r>
        <w:rPr>
          <w:rFonts w:ascii="Consolas" w:cs="Consolas" w:eastAsia="Consolas" w:hAnsi="Consolas"/>
          <w:color w:val="04342C"/>
          <w:sz w:val="19"/>
          <w:szCs w:val="19"/>
        </w:rPr>
        <w:t xml:space="preserve">  Position 1: Business basics          (category step 1)</w:t>
      </w:r>
    </w:p>
    <w:p>
      <w:pPr>
        <w:shd w:fill="E1F5EE" w:val="clear"/>
        <w:spacing w:after="60"/>
        <w:ind w:left="100"/>
      </w:pPr>
      <w:r>
        <w:rPr>
          <w:rFonts w:ascii="Consolas" w:cs="Consolas" w:eastAsia="Consolas" w:hAnsi="Consolas"/>
          <w:color w:val="04342C"/>
          <w:sz w:val="19"/>
          <w:szCs w:val="19"/>
        </w:rPr>
        <w:t xml:space="preserve">  Position 2: Service area &amp; capacity   (category step 2)</w:t>
      </w:r>
    </w:p>
    <w:p>
      <w:pPr>
        <w:shd w:fill="E1F5EE" w:val="clear"/>
        <w:spacing w:after="60"/>
        <w:ind w:left="100"/>
      </w:pPr>
      <w:r>
        <w:rPr>
          <w:rFonts w:ascii="Consolas" w:cs="Consolas" w:eastAsia="Consolas" w:hAnsi="Consolas"/>
          <w:color w:val="04342C"/>
          <w:sz w:val="19"/>
          <w:szCs w:val="19"/>
        </w:rPr>
        <w:t xml:space="preserve">  Position 3: Cuisine &amp; dietary info     (type step 1)</w:t>
      </w:r>
    </w:p>
    <w:p>
      <w:pPr>
        <w:shd w:fill="E1F5EE" w:val="clear"/>
        <w:spacing w:after="60"/>
        <w:ind w:left="100"/>
      </w:pPr>
      <w:r>
        <w:rPr>
          <w:rFonts w:ascii="Consolas" w:cs="Consolas" w:eastAsia="Consolas" w:hAnsi="Consolas"/>
          <w:color w:val="04342C"/>
          <w:sz w:val="19"/>
          <w:szCs w:val="19"/>
        </w:rPr>
        <w:t xml:space="preserve">  Position 4: Sample menu uploads        (type step 2)</w:t>
      </w:r>
    </w:p>
    <w:p>
      <w:pPr>
        <w:shd w:fill="E1F5EE" w:val="clear"/>
        <w:spacing w:after="60"/>
        <w:ind w:left="100"/>
      </w:pPr>
      <w:r>
        <w:rPr>
          <w:rFonts w:ascii="Consolas" w:cs="Consolas" w:eastAsia="Consolas" w:hAnsi="Consolas"/>
          <w:color w:val="04342C"/>
          <w:sz w:val="19"/>
          <w:szCs w:val="19"/>
        </w:rPr>
        <w:t xml:space="preserve"/>
      </w:r>
    </w:p>
    <w:p>
      <w:pPr>
        <w:shd w:fill="E1F5EE" w:val="clear"/>
        <w:spacing w:after="60"/>
        <w:ind w:left="100"/>
      </w:pPr>
      <w:r>
        <w:rPr>
          <w:rFonts w:ascii="Consolas" w:cs="Consolas" w:eastAsia="Consolas" w:hAnsi="Consolas"/>
          <w:color w:val="04342C"/>
          <w:sz w:val="19"/>
          <w:szCs w:val="19"/>
        </w:rPr>
        <w:t xml:space="preserve">providers.onboarding_step advances 1 -&gt; 2 -&gt; 3 -&gt; 4 against this resolved order,</w:t>
      </w:r>
    </w:p>
    <w:p>
      <w:pPr>
        <w:shd w:fill="E1F5EE" w:val="clear"/>
        <w:spacing w:after="60"/>
        <w:ind w:left="100"/>
      </w:pPr>
      <w:r>
        <w:rPr>
          <w:rFonts w:ascii="Consolas" w:cs="Consolas" w:eastAsia="Consolas" w:hAnsi="Consolas"/>
          <w:color w:val="04342C"/>
          <w:sz w:val="19"/>
          <w:szCs w:val="19"/>
        </w:rPr>
        <w:t xml:space="preserve">not against the raw step_number values stored on individual form_configs.</w:t>
      </w:r>
    </w:p>
    <w:p>
      <w:pPr>
        <w:spacing w:after="200"/>
      </w:pPr>
    </w:p>
    <w:p>
      <w:pPr>
        <w:pStyle w:val="Heading2"/>
      </w:pPr>
      <w:r>
        <w:t xml:space="preserve">1.2 Step completion evaluation</w:t>
      </w:r>
    </w:p>
    <w:p>
      <w:pPr>
        <w:spacing w:after="100"/>
      </w:pPr>
      <w:r>
        <w:rPr>
          <w:rFonts w:ascii="Consolas" w:cs="Consolas" w:eastAsia="Consolas" w:hAnsi="Consolas"/>
          <w:b/>
          <w:bCs/>
          <w:sz w:val="18"/>
          <w:szCs w:val="18"/>
        </w:rPr>
        <w:t xml:space="preserve">ONB-LOGIC-004  </w:t>
      </w:r>
      <w:r>
        <w:t xml:space="preserve">A step is evaluated as complete when, for every form_config_fields row in that step where is_required = true, the corresponding provider_field_values entry exists, is non-empty, and passes any validator_config rules defined on the referenced field (per PRD DYN-005).</w:t>
      </w:r>
    </w:p>
    <w:p>
      <w:pPr>
        <w:spacing w:after="100"/>
      </w:pPr>
      <w:r>
        <w:rPr>
          <w:rFonts w:ascii="Consolas" w:cs="Consolas" w:eastAsia="Consolas" w:hAnsi="Consolas"/>
          <w:b/>
          <w:bCs/>
          <w:sz w:val="18"/>
          <w:szCs w:val="18"/>
        </w:rPr>
        <w:t xml:space="preserve">ONB-LOGIC-005  </w:t>
      </w:r>
      <w:r>
        <w:t xml:space="preserve">Fields in a step where is_required = false do not block step completion regardless of whether a value has been entered.</w:t>
      </w:r>
    </w:p>
    <w:p>
      <w:pPr>
        <w:spacing w:after="100"/>
      </w:pPr>
      <w:r>
        <w:rPr>
          <w:rFonts w:ascii="Consolas" w:cs="Consolas" w:eastAsia="Consolas" w:hAnsi="Consolas"/>
          <w:b/>
          <w:bCs/>
          <w:sz w:val="18"/>
          <w:szCs w:val="18"/>
        </w:rPr>
        <w:t xml:space="preserve">ONB-LOGIC-006  </w:t>
      </w:r>
      <w:r>
        <w:t xml:space="preserve">The system shall evaluate step completion server-side at the time the provider submits that step, not solely client-side. Client-side validation is a UX optimization, not the source of truth.</w:t>
      </w:r>
    </w:p>
    <w:p>
      <w:pPr>
        <w:spacing w:after="100"/>
      </w:pPr>
      <w:r>
        <w:rPr>
          <w:rFonts w:ascii="Consolas" w:cs="Consolas" w:eastAsia="Consolas" w:hAnsi="Consolas"/>
          <w:b/>
          <w:bCs/>
          <w:sz w:val="18"/>
          <w:szCs w:val="18"/>
        </w:rPr>
        <w:t xml:space="preserve">ONB-LOGIC-007  </w:t>
      </w:r>
      <w:r>
        <w:t xml:space="preserve">A provider may navigate backward to a previously completed step and edit it. If the edit causes a previously satisfied is_required field to become invalid or empty, that step shall revert to incomplete, and any steps after it in the sequence shall remain unaffected unless they depend on data from the now-incomplete step (no such cross-step dependency is defined in the current PRD scope).</w:t>
      </w:r>
    </w:p>
    <w:p>
      <w:pPr>
        <w:pStyle w:val="Heading2"/>
      </w:pPr>
      <w:r>
        <w:t xml:space="preserve">1.3 Publish trigger</w:t>
      </w:r>
    </w:p>
    <w:p>
      <w:pPr>
        <w:spacing w:after="100"/>
      </w:pPr>
      <w:r>
        <w:rPr>
          <w:rFonts w:ascii="Consolas" w:cs="Consolas" w:eastAsia="Consolas" w:hAnsi="Consolas"/>
          <w:b/>
          <w:bCs/>
          <w:sz w:val="18"/>
          <w:szCs w:val="18"/>
        </w:rPr>
        <w:t xml:space="preserve">ONB-LOGIC-008  </w:t>
      </w:r>
      <w:r>
        <w:t xml:space="preserve">providers.is_published shall be set to true automatically at the moment the final step in the resolved sequence (1.1) is evaluated as complete (per ONB-LOGIC-004), with no separate manual publish action required, unless an administrative review step is introduced in a later iteration (not specified in this document).</w:t>
      </w:r>
    </w:p>
    <w:p>
      <w:pPr>
        <w:spacing w:after="100"/>
      </w:pPr>
      <w:r>
        <w:rPr>
          <w:rFonts w:ascii="Consolas" w:cs="Consolas" w:eastAsia="Consolas" w:hAnsi="Consolas"/>
          <w:b/>
          <w:bCs/>
          <w:sz w:val="18"/>
          <w:szCs w:val="18"/>
        </w:rPr>
        <w:t xml:space="preserve">ONB-LOGIC-009  </w:t>
      </w:r>
      <w:r>
        <w:t xml:space="preserve">If a published provider's edit (PROV-004/PROV-005 in the PRD) causes any step to revert to incomplete (per ONB-LOGIC-007), providers.is_published shall be set to false immediately, and the provider shall be removed from search results and listing pages (per DISC-003) until the step is completed again.</w:t>
      </w:r>
    </w:p>
    <w:p>
      <w:pPr>
        <w:pStyle w:val="Heading2"/>
      </w:pPr>
      <w:r>
        <w:t xml:space="preserve">1.4 Field and type changes after onboarding has started</w:t>
      </w:r>
    </w:p>
    <w:p>
      <w:pPr>
        <w:spacing w:after="160"/>
      </w:pPr>
      <w:r>
        <w:rPr>
          <w:b w:val="false"/>
          <w:bCs w:val="false"/>
          <w:i w:val="false"/>
          <w:iCs w:val="false"/>
        </w:rPr>
        <w:t xml:space="preserve">These rules govern what happens when platform configuration (fields, form_configs, provider_types) changes while providers already exist in various onboarding states — the PRD raises this as NFR-004/NFR-005 but does not specify the runtime behavior; this section does.</w:t>
      </w:r>
    </w:p>
    <w:p>
      <w:pPr>
        <w:spacing w:after="100"/>
      </w:pPr>
      <w:r>
        <w:rPr>
          <w:rFonts w:ascii="Consolas" w:cs="Consolas" w:eastAsia="Consolas" w:hAnsi="Consolas"/>
          <w:b/>
          <w:bCs/>
          <w:sz w:val="18"/>
          <w:szCs w:val="18"/>
        </w:rPr>
        <w:t xml:space="preserve">ONB-LOGIC-010  </w:t>
      </w:r>
      <w:r>
        <w:t xml:space="preserve">If a field referenced by a form_config_fields row is deleted by an administrator while providers have existing provider_field_values for that field, those provider_field_values rows shall be retained (not cascade-deleted) but shall cease to render on the provider's profile or onboarding form, consistent with NFR-004's requirement to avoid silently orphaning data.</w:t>
      </w:r>
    </w:p>
    <w:p>
      <w:pPr>
        <w:spacing w:after="100"/>
      </w:pPr>
      <w:r>
        <w:rPr>
          <w:rFonts w:ascii="Consolas" w:cs="Consolas" w:eastAsia="Consolas" w:hAnsi="Consolas"/>
          <w:b/>
          <w:bCs/>
          <w:sz w:val="18"/>
          <w:szCs w:val="18"/>
        </w:rPr>
        <w:t xml:space="preserve">ONB-LOGIC-011  </w:t>
      </w:r>
      <w:r>
        <w:t xml:space="preserve">If a field is added to a form_config after providers of that type have already published, those existing published providers shall NOT be retroactively unpublished. The newly added field shall appear on their profile/dashboard as an incomplete optional prompt unless an administrator explicitly marks it required, in which case ONB-LOGIC-009 applies and the provider is unpublished until it is filled in.</w:t>
      </w:r>
    </w:p>
    <w:p>
      <w:pPr>
        <w:spacing w:after="100"/>
      </w:pPr>
      <w:r>
        <w:rPr>
          <w:rFonts w:ascii="Consolas" w:cs="Consolas" w:eastAsia="Consolas" w:hAnsi="Consolas"/>
          <w:b/>
          <w:bCs/>
          <w:sz w:val="18"/>
          <w:szCs w:val="18"/>
        </w:rPr>
        <w:t xml:space="preserve">ONB-LOGIC-012  </w:t>
      </w:r>
      <w:r>
        <w:t xml:space="preserve">If a provider's provider_type is changed after profile creation, the system shall recompute the effective step sequence (1.1) for the new type, preserve provider_field_values for any field still referenced by the new type's steps, retain (but stop displaying) values for fields not referenced by the new type per ONB-LOGIC-010's pattern, and re-evaluate publish status (ONB-LOGIC-008/009) against the new sequence. A provider changing type should be expected to re-enter onboarding for any newly required fields.</w:t>
      </w:r>
    </w:p>
    <w:p>
      <w:pPr>
        <w:pBdr>
          <w:bottom w:val="single" w:color="D9D6CC" w:sz="6" w:space="1"/>
        </w:pBdr>
        <w:spacing w:after="240" w:before="120"/>
      </w:pPr>
    </w:p>
    <w:p>
      <w:pPr>
        <w:pStyle w:val="Heading1"/>
      </w:pPr>
      <w:r>
        <w:t xml:space="preserve">2. Booking lifecycle</w:t>
      </w:r>
    </w:p>
    <w:p>
      <w:pPr>
        <w:spacing w:after="160"/>
      </w:pPr>
      <w:r>
        <w:rPr>
          <w:b w:val="false"/>
          <w:bCs w:val="false"/>
          <w:i w:val="false"/>
          <w:iCs w:val="false"/>
        </w:rPr>
        <w:t xml:space="preserve">The PRD (BOOK-003) defines five booking states: requested, accepted, declined, completed, cancelled. This section defines the full transition graph, who may trigger each transition, what triggers it, and side effects on payment and review eligibility.</w:t>
      </w:r>
    </w:p>
    <w:p>
      <w:pPr>
        <w:pStyle w:val="Heading2"/>
      </w:pPr>
      <w:r>
        <w:t xml:space="preserve">2.1 State transition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900"/>
        <w:gridCol w:w="4060"/>
      </w:tblGrid>
      <w:tr>
        <w:tc>
          <w:tcPr>
            <w:tcW w:type="dxa" w:w="17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from state</w:t>
            </w:r>
          </w:p>
        </w:tc>
        <w:tc>
          <w:tcPr>
            <w:tcW w:type="dxa" w:w="17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to state</w:t>
            </w:r>
          </w:p>
        </w:tc>
        <w:tc>
          <w:tcPr>
            <w:tcW w:type="dxa" w:w="19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triggered by</w:t>
            </w:r>
          </w:p>
        </w:tc>
        <w:tc>
          <w:tcPr>
            <w:tcW w:type="dxa" w:w="40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trigger / condition</w:t>
            </w:r>
          </w:p>
        </w:tc>
      </w:tr>
      <w:tr>
        <w:tc>
          <w:tcPr>
            <w:tcW w:type="dxa" w:w="1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(none)</w:t>
            </w:r>
          </w:p>
        </w:tc>
        <w:tc>
          <w:tcPr>
            <w:tcW w:type="dxa" w:w="1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requested</w:t>
            </w:r>
          </w:p>
        </w:tc>
        <w:tc>
          <w:tcPr>
            <w:tcW w:type="dxa" w:w="1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customer</w:t>
            </w:r>
          </w:p>
        </w:tc>
        <w:tc>
          <w:tcPr>
            <w:tcW w:type="dxa" w:w="40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Customer selects a service and submits a booking request (SVC-004)</w:t>
            </w:r>
          </w:p>
        </w:tc>
      </w:tr>
      <w:tr>
        <w:tc>
          <w:tcPr>
            <w:tcW w:type="dxa" w:w="1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requested</w:t>
            </w:r>
          </w:p>
        </w:tc>
        <w:tc>
          <w:tcPr>
            <w:tcW w:type="dxa" w:w="1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accepted</w:t>
            </w:r>
          </w:p>
        </w:tc>
        <w:tc>
          <w:tcPr>
            <w:tcW w:type="dxa" w:w="1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provider</w:t>
            </w:r>
          </w:p>
        </w:tc>
        <w:tc>
          <w:tcPr>
            <w:tcW w:type="dxa" w:w="40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Provider explicitly accepts the request from their dashboard</w:t>
            </w:r>
          </w:p>
        </w:tc>
      </w:tr>
      <w:tr>
        <w:tc>
          <w:tcPr>
            <w:tcW w:type="dxa" w:w="1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requested</w:t>
            </w:r>
          </w:p>
        </w:tc>
        <w:tc>
          <w:tcPr>
            <w:tcW w:type="dxa" w:w="1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declined</w:t>
            </w:r>
          </w:p>
        </w:tc>
        <w:tc>
          <w:tcPr>
            <w:tcW w:type="dxa" w:w="1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provider</w:t>
            </w:r>
          </w:p>
        </w:tc>
        <w:tc>
          <w:tcPr>
            <w:tcW w:type="dxa" w:w="40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Provider explicitly declines the request</w:t>
            </w:r>
          </w:p>
        </w:tc>
      </w:tr>
      <w:tr>
        <w:tc>
          <w:tcPr>
            <w:tcW w:type="dxa" w:w="1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requested</w:t>
            </w:r>
          </w:p>
        </w:tc>
        <w:tc>
          <w:tcPr>
            <w:tcW w:type="dxa" w:w="1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cancelled</w:t>
            </w:r>
          </w:p>
        </w:tc>
        <w:tc>
          <w:tcPr>
            <w:tcW w:type="dxa" w:w="1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customer</w:t>
            </w:r>
          </w:p>
        </w:tc>
        <w:tc>
          <w:tcPr>
            <w:tcW w:type="dxa" w:w="40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Customer withdraws the request before the provider responds</w:t>
            </w:r>
          </w:p>
        </w:tc>
      </w:tr>
      <w:tr>
        <w:tc>
          <w:tcPr>
            <w:tcW w:type="dxa" w:w="1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requested</w:t>
            </w:r>
          </w:p>
        </w:tc>
        <w:tc>
          <w:tcPr>
            <w:tcW w:type="dxa" w:w="1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declined</w:t>
            </w:r>
          </w:p>
        </w:tc>
        <w:tc>
          <w:tcPr>
            <w:tcW w:type="dxa" w:w="1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system</w:t>
            </w:r>
          </w:p>
        </w:tc>
        <w:tc>
          <w:tcPr>
            <w:tcW w:type="dxa" w:w="40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Auto-expiry if provider does not respond within the configured response window (see 2.3)</w:t>
            </w:r>
          </w:p>
        </w:tc>
      </w:tr>
      <w:tr>
        <w:tc>
          <w:tcPr>
            <w:tcW w:type="dxa" w:w="1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accepted</w:t>
            </w:r>
          </w:p>
        </w:tc>
        <w:tc>
          <w:tcPr>
            <w:tcW w:type="dxa" w:w="1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completed</w:t>
            </w:r>
          </w:p>
        </w:tc>
        <w:tc>
          <w:tcPr>
            <w:tcW w:type="dxa" w:w="1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provider</w:t>
            </w:r>
          </w:p>
        </w:tc>
        <w:tc>
          <w:tcPr>
            <w:tcW w:type="dxa" w:w="40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Provider marks the service as rendered/complete (PRD BOOK-004)</w:t>
            </w:r>
          </w:p>
        </w:tc>
      </w:tr>
      <w:tr>
        <w:tc>
          <w:tcPr>
            <w:tcW w:type="dxa" w:w="1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accepted</w:t>
            </w:r>
          </w:p>
        </w:tc>
        <w:tc>
          <w:tcPr>
            <w:tcW w:type="dxa" w:w="1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cancelled</w:t>
            </w:r>
          </w:p>
        </w:tc>
        <w:tc>
          <w:tcPr>
            <w:tcW w:type="dxa" w:w="1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customer or provider</w:t>
            </w:r>
          </w:p>
        </w:tc>
        <w:tc>
          <w:tcPr>
            <w:tcW w:type="dxa" w:w="40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Either party cancels after acceptance but before completion, subject to cancellation policy (see 2.4)</w:t>
            </w:r>
          </w:p>
        </w:tc>
      </w:tr>
    </w:tbl>
    <w:p>
      <w:pPr>
        <w:pStyle w:val="Heading2"/>
      </w:pPr>
      <w:r>
        <w:t xml:space="preserve">2.2 Requirements</w:t>
      </w:r>
    </w:p>
    <w:p>
      <w:pPr>
        <w:spacing w:after="100"/>
      </w:pPr>
      <w:r>
        <w:rPr>
          <w:rFonts w:ascii="Consolas" w:cs="Consolas" w:eastAsia="Consolas" w:hAnsi="Consolas"/>
          <w:b/>
          <w:bCs/>
          <w:sz w:val="18"/>
          <w:szCs w:val="18"/>
        </w:rPr>
        <w:t xml:space="preserve">BOOK-LOGIC-001  </w:t>
      </w:r>
      <w:r>
        <w:t xml:space="preserve">Only the provider associated with a booking may transition it from requested to accepted or declined, consistent with PRD BOOK-004.</w:t>
      </w:r>
    </w:p>
    <w:p>
      <w:pPr>
        <w:spacing w:after="100"/>
      </w:pPr>
      <w:r>
        <w:rPr>
          <w:rFonts w:ascii="Consolas" w:cs="Consolas" w:eastAsia="Consolas" w:hAnsi="Consolas"/>
          <w:b/>
          <w:bCs/>
          <w:sz w:val="18"/>
          <w:szCs w:val="18"/>
        </w:rPr>
        <w:t xml:space="preserve">BOOK-LOGIC-002  </w:t>
      </w:r>
      <w:r>
        <w:t xml:space="preserve">Only the customer associated with a booking may cancel it while it is in the requested state.</w:t>
      </w:r>
    </w:p>
    <w:p>
      <w:pPr>
        <w:spacing w:after="100"/>
      </w:pPr>
      <w:r>
        <w:rPr>
          <w:rFonts w:ascii="Consolas" w:cs="Consolas" w:eastAsia="Consolas" w:hAnsi="Consolas"/>
          <w:b/>
          <w:bCs/>
          <w:sz w:val="18"/>
          <w:szCs w:val="18"/>
        </w:rPr>
        <w:t xml:space="preserve">BOOK-LOGIC-003  </w:t>
      </w:r>
      <w:r>
        <w:t xml:space="preserve">completed, declined, and cancelled are terminal states. No further transitions are permitted out of these states through the standard booking flow.</w:t>
      </w:r>
    </w:p>
    <w:p>
      <w:pPr>
        <w:spacing w:after="100"/>
      </w:pPr>
      <w:r>
        <w:rPr>
          <w:rFonts w:ascii="Consolas" w:cs="Consolas" w:eastAsia="Consolas" w:hAnsi="Consolas"/>
          <w:b/>
          <w:bCs/>
          <w:sz w:val="18"/>
          <w:szCs w:val="18"/>
        </w:rPr>
        <w:t xml:space="preserve">BOOK-LOGIC-004  </w:t>
      </w:r>
      <w:r>
        <w:t xml:space="preserve">A booking shall record a status_history (timestamp + actor + from-state + to-state) for every transition, for audit and dispute-resolution purposes.</w:t>
      </w:r>
    </w:p>
    <w:p>
      <w:pPr>
        <w:pStyle w:val="Heading2"/>
      </w:pPr>
      <w:r>
        <w:t xml:space="preserve">2.3 Provider response window</w:t>
      </w:r>
    </w:p>
    <w:p>
      <w:pPr>
        <w:pBdr>
          <w:left w:val="single" w:color="BA7517" w:sz="18"/>
        </w:pBdr>
        <w:shd w:fill="FAEEDA" w:val="clear"/>
        <w:spacing w:after="0" w:before="160"/>
        <w:ind w:left="100"/>
      </w:pPr>
      <w:r>
        <w:rPr>
          <w:b/>
          <w:bCs/>
          <w:color w:val="633806"/>
          <w:sz w:val="19"/>
          <w:szCs w:val="19"/>
        </w:rPr>
        <w:t xml:space="preserve">BUSINESS DECISION REQUIRED — Auto-expiry window for unanswered booking requests</w:t>
      </w:r>
    </w:p>
    <w:p>
      <w:pPr>
        <w:shd w:fill="FAEEDA" w:val="clear"/>
        <w:spacing w:after="0"/>
        <w:ind w:left="100"/>
      </w:pPr>
      <w:r>
        <w:rPr>
          <w:color w:val="412402"/>
          <w:sz w:val="19"/>
          <w:szCs w:val="19"/>
        </w:rPr>
        <w:t xml:space="preserve">If a provider never responds to a requested booking, it should not remain open indefinitely — customers need a predictable answer. The exact window is a business/operations decision (it affects provider experience and how aggressively the platform penalizes slow responders).</w:t>
      </w:r>
    </w:p>
    <w:p>
      <w:pPr>
        <w:shd w:fill="FAEEDA" w:val="clear"/>
        <w:spacing w:after="200"/>
        <w:ind w:left="100"/>
      </w:pPr>
      <w:r>
        <w:rPr>
          <w:i/>
          <w:iCs/>
          <w:color w:val="412402"/>
          <w:sz w:val="19"/>
          <w:szCs w:val="19"/>
        </w:rPr>
        <w:t xml:space="preserve">Recommended default (not final): 48 hours from request creation, after which the booking auto-transitions to declined and the customer is notified. Providers with a pattern of expiries may be flagged for the ranking algorithm (see Section 4, RANK-LOGIC-006).</w:t>
      </w:r>
    </w:p>
    <w:p>
      <w:pPr>
        <w:spacing w:after="100"/>
      </w:pPr>
      <w:r>
        <w:rPr>
          <w:rFonts w:ascii="Consolas" w:cs="Consolas" w:eastAsia="Consolas" w:hAnsi="Consolas"/>
          <w:b/>
          <w:bCs/>
          <w:sz w:val="18"/>
          <w:szCs w:val="18"/>
        </w:rPr>
        <w:t xml:space="preserve">BOOK-LOGIC-005  </w:t>
      </w:r>
      <w:r>
        <w:t xml:space="preserve">The system shall implement the auto-expiry window as a configurable duration, not a hardcoded constant, so operations can adjust it without a code deployment.</w:t>
      </w:r>
    </w:p>
    <w:p>
      <w:pPr>
        <w:pStyle w:val="Heading2"/>
      </w:pPr>
      <w:r>
        <w:t xml:space="preserve">2.4 Cancellation policy</w:t>
      </w:r>
    </w:p>
    <w:p>
      <w:pPr>
        <w:pBdr>
          <w:left w:val="single" w:color="BA7517" w:sz="18"/>
        </w:pBdr>
        <w:shd w:fill="FAEEDA" w:val="clear"/>
        <w:spacing w:after="0" w:before="160"/>
        <w:ind w:left="100"/>
      </w:pPr>
      <w:r>
        <w:rPr>
          <w:b/>
          <w:bCs/>
          <w:color w:val="633806"/>
          <w:sz w:val="19"/>
          <w:szCs w:val="19"/>
        </w:rPr>
        <w:t xml:space="preserve">BUSINESS DECISION REQUIRED — Cancellation policy after provider acceptance</w:t>
      </w:r>
    </w:p>
    <w:p>
      <w:pPr>
        <w:shd w:fill="FAEEDA" w:val="clear"/>
        <w:spacing w:after="0"/>
        <w:ind w:left="100"/>
      </w:pPr>
      <w:r>
        <w:rPr>
          <w:color w:val="412402"/>
          <w:sz w:val="19"/>
          <w:szCs w:val="19"/>
        </w:rPr>
        <w:t xml:space="preserve">Once a provider has accepted a booking, a cancellation (by either party) has real consequences: the provider may have turned away other work, or the customer may have already been charged. Whether a cancellation fee applies, who absorbs it, and whether it differs for customer-initiated vs provider-initiated cancellation are business policy decisions, not engineering ones.</w:t>
      </w:r>
    </w:p>
    <w:p>
      <w:pPr>
        <w:shd w:fill="FAEEDA" w:val="clear"/>
        <w:spacing w:after="200"/>
        <w:ind w:left="100"/>
      </w:pPr>
      <w:r>
        <w:rPr>
          <w:i/>
          <w:iCs/>
          <w:color w:val="412402"/>
          <w:sz w:val="19"/>
          <w:szCs w:val="19"/>
        </w:rPr>
        <w:t xml:space="preserve">Recommended default (not final): No cancellation fee in v1 for either party; full refund processed via the PSP per PAY-LOGIC-005 (Section 3.4). Repeated provider-initiated cancellations after acceptance should be tracked and penalized in ranking (Section 4) rather than charged a fee, to keep v1 simple.</w:t>
      </w:r>
    </w:p>
    <w:p>
      <w:pPr>
        <w:spacing w:after="100"/>
      </w:pPr>
      <w:r>
        <w:rPr>
          <w:rFonts w:ascii="Consolas" w:cs="Consolas" w:eastAsia="Consolas" w:hAnsi="Consolas"/>
          <w:b/>
          <w:bCs/>
          <w:sz w:val="18"/>
          <w:szCs w:val="18"/>
        </w:rPr>
        <w:t xml:space="preserve">BOOK-LOGIC-006  </w:t>
      </w:r>
      <w:r>
        <w:t xml:space="preserve">A cancellation reason shall be captured (free text or a fixed reason code list) for every accepted-state cancellation, to support the ranking penalty referenced in 2.3/2.4 and Section 4.</w:t>
      </w:r>
    </w:p>
    <w:p>
      <w:pPr>
        <w:pStyle w:val="Heading2"/>
      </w:pPr>
      <w:r>
        <w:t xml:space="preserve">2.5 Availability and double-booking</w:t>
      </w:r>
    </w:p>
    <w:p>
      <w:pPr>
        <w:spacing w:after="160"/>
      </w:pPr>
      <w:r>
        <w:rPr>
          <w:b w:val="false"/>
          <w:bCs w:val="false"/>
          <w:i w:val="false"/>
          <w:iCs w:val="false"/>
        </w:rPr>
        <w:t xml:space="preserve">The current PRD scope does not define a provider availability/calendar system. The following is the v1 behavior in the absence of one.</w:t>
      </w:r>
    </w:p>
    <w:p>
      <w:pPr>
        <w:spacing w:after="100"/>
      </w:pPr>
      <w:r>
        <w:rPr>
          <w:rFonts w:ascii="Consolas" w:cs="Consolas" w:eastAsia="Consolas" w:hAnsi="Consolas"/>
          <w:b/>
          <w:bCs/>
          <w:sz w:val="18"/>
          <w:szCs w:val="18"/>
        </w:rPr>
        <w:t xml:space="preserve">BOOK-LOGIC-007  </w:t>
      </w:r>
      <w:r>
        <w:t xml:space="preserve">The system shall NOT perform automatic availability/calendar conflict checking in v1. A provider may receive multiple overlapping booking requests for the same time period and is responsible for declining requests they cannot fulfill. A calendar/availability system is explicitly out of scope for this document and should be tracked as a future enhancement.</w:t>
      </w:r>
    </w:p>
    <w:p>
      <w:pPr>
        <w:pStyle w:val="Heading2"/>
      </w:pPr>
      <w:r>
        <w:t xml:space="preserve">2.6 Completion side effects</w:t>
      </w:r>
    </w:p>
    <w:p>
      <w:pPr>
        <w:spacing w:after="100"/>
      </w:pPr>
      <w:r>
        <w:rPr>
          <w:rFonts w:ascii="Consolas" w:cs="Consolas" w:eastAsia="Consolas" w:hAnsi="Consolas"/>
          <w:b/>
          <w:bCs/>
          <w:sz w:val="18"/>
          <w:szCs w:val="18"/>
        </w:rPr>
        <w:t xml:space="preserve">BOOK-LOGIC-008  </w:t>
      </w:r>
      <w:r>
        <w:t xml:space="preserve">Transitioning a booking to completed shall trigger, in order: (a) eligibility for the customer to submit a review for this specific booking (PRD REV-001), and (b) initiation of the provider payout process for this booking (Section 3.3).</w:t>
      </w:r>
    </w:p>
    <w:p>
      <w:pPr>
        <w:spacing w:after="100"/>
      </w:pPr>
      <w:r>
        <w:rPr>
          <w:rFonts w:ascii="Consolas" w:cs="Consolas" w:eastAsia="Consolas" w:hAnsi="Consolas"/>
          <w:b/>
          <w:bCs/>
          <w:sz w:val="18"/>
          <w:szCs w:val="18"/>
        </w:rPr>
        <w:t xml:space="preserve">BOOK-LOGIC-009  </w:t>
      </w:r>
      <w:r>
        <w:t xml:space="preserve">A booking shall only be transitionable to completed if its current state is accepted. A booking cannot move directly from requested to completed.</w:t>
      </w:r>
    </w:p>
    <w:p>
      <w:pPr>
        <w:pBdr>
          <w:bottom w:val="single" w:color="D9D6CC" w:sz="6" w:space="1"/>
        </w:pBdr>
        <w:spacing w:after="240" w:before="120"/>
      </w:pPr>
    </w:p>
    <w:p>
      <w:pPr>
        <w:pStyle w:val="Heading1"/>
      </w:pPr>
      <w:r>
        <w:t xml:space="preserve">3. Payments &amp; commission calculation</w:t>
      </w:r>
    </w:p>
    <w:p>
      <w:pPr>
        <w:spacing w:after="160"/>
      </w:pPr>
      <w:r>
        <w:rPr>
          <w:b w:val="false"/>
          <w:bCs w:val="false"/>
          <w:i w:val="false"/>
          <w:iCs w:val="false"/>
        </w:rPr>
        <w:t xml:space="preserve">This section defines the exact calculation logic for commission, the order of operations relative to service discounts, and the financial side effects of cancellation/refund. It assumes the PSP-based split-payout architecture defined in PRD Section 14 (PAY-001 through PAY-004); it does not redefine that architecture.</w:t>
      </w:r>
    </w:p>
    <w:p>
      <w:pPr>
        <w:pStyle w:val="Heading2"/>
      </w:pPr>
      <w:r>
        <w:t xml:space="preserve">3.1 Commission rate</w:t>
      </w:r>
    </w:p>
    <w:p>
      <w:pPr>
        <w:pBdr>
          <w:left w:val="single" w:color="BA7517" w:sz="18"/>
        </w:pBdr>
        <w:shd w:fill="FAEEDA" w:val="clear"/>
        <w:spacing w:after="0" w:before="160"/>
        <w:ind w:left="100"/>
      </w:pPr>
      <w:r>
        <w:rPr>
          <w:b/>
          <w:bCs/>
          <w:color w:val="633806"/>
          <w:sz w:val="19"/>
          <w:szCs w:val="19"/>
        </w:rPr>
        <w:t xml:space="preserve">BUSINESS DECISION REQUIRED — Platform commission percentage on provider bookings</w:t>
      </w:r>
    </w:p>
    <w:p>
      <w:pPr>
        <w:shd w:fill="FAEEDA" w:val="clear"/>
        <w:spacing w:after="0"/>
        <w:ind w:left="100"/>
      </w:pPr>
      <w:r>
        <w:rPr>
          <w:color w:val="412402"/>
          <w:sz w:val="19"/>
          <w:szCs w:val="19"/>
        </w:rPr>
        <w:t xml:space="preserve">The exact commission rate is a core business/pricing decision affecting provider take-home pay and platform revenue. PRD PAY-002 already requires this to be configurable; this section adds the calculation logic that consumes that configured rate.</w:t>
      </w:r>
    </w:p>
    <w:p>
      <w:pPr>
        <w:shd w:fill="FAEEDA" w:val="clear"/>
        <w:spacing w:after="200"/>
        <w:ind w:left="100"/>
      </w:pPr>
      <w:r>
        <w:rPr>
          <w:i/>
          <w:iCs/>
          <w:color w:val="412402"/>
          <w:sz w:val="19"/>
          <w:szCs w:val="19"/>
        </w:rPr>
        <w:t xml:space="preserve">Recommended default (not final): Treat as a single global percentage in v1 (e.g. a placeholder of 10–15% is common for comparable service marketplaces), stored as a platform-level configuration value, with the schema allowing a future override at the provider_category or provider_type level without a migration, since different verticals may justify different rates later.</w:t>
      </w:r>
    </w:p>
    <w:p>
      <w:pPr>
        <w:spacing w:after="100"/>
      </w:pPr>
      <w:r>
        <w:rPr>
          <w:rFonts w:ascii="Consolas" w:cs="Consolas" w:eastAsia="Consolas" w:hAnsi="Consolas"/>
          <w:b/>
          <w:bCs/>
          <w:sz w:val="18"/>
          <w:szCs w:val="18"/>
        </w:rPr>
        <w:t xml:space="preserve">PAY-LOGIC-001  </w:t>
      </w:r>
      <w:r>
        <w:t xml:space="preserve">Commission rate shall be stored as a configuration value (e.g. commission_rate, a decimal/percentage), readable by the booking/payment calculation logic at the time a booking's payment is processed, not fixed at code level.</w:t>
      </w:r>
    </w:p>
    <w:p>
      <w:pPr>
        <w:pStyle w:val="Heading2"/>
      </w:pPr>
      <w:r>
        <w:t xml:space="preserve">3.2 Order of operations: discount vs commission</w:t>
      </w:r>
    </w:p>
    <w:p>
      <w:pPr>
        <w:pBdr>
          <w:left w:val="single" w:color="BA7517" w:sz="18"/>
        </w:pBdr>
        <w:shd w:fill="FAEEDA" w:val="clear"/>
        <w:spacing w:after="0" w:before="160"/>
        <w:ind w:left="100"/>
      </w:pPr>
      <w:r>
        <w:rPr>
          <w:b/>
          <w:bCs/>
          <w:color w:val="633806"/>
          <w:sz w:val="19"/>
          <w:szCs w:val="19"/>
        </w:rPr>
        <w:t xml:space="preserve">BUSINESS DECISION REQUIRED — Whether commission is calculated on the service's list price or its discounted price</w:t>
      </w:r>
    </w:p>
    <w:p>
      <w:pPr>
        <w:shd w:fill="FAEEDA" w:val="clear"/>
        <w:spacing w:after="0"/>
        <w:ind w:left="100"/>
      </w:pPr>
      <w:r>
        <w:rPr>
          <w:color w:val="412402"/>
          <w:sz w:val="19"/>
          <w:szCs w:val="19"/>
        </w:rPr>
        <w:t xml:space="preserve">A service may have a discount applied (PRD SVC-002/SVC-003). Whether the platform's commission is taken from the full list price or the discounted price the customer actually pays is a policy decision with direct revenue impact — charging commission on the pre-discount price effectively makes the platform absorb none of the cost of provider-offered discounts, which may be seen as unfair to providers who use discounts to win bookings.</w:t>
      </w:r>
    </w:p>
    <w:p>
      <w:pPr>
        <w:shd w:fill="FAEEDA" w:val="clear"/>
        <w:spacing w:after="200"/>
        <w:ind w:left="100"/>
      </w:pPr>
      <w:r>
        <w:rPr>
          <w:i/>
          <w:iCs/>
          <w:color w:val="412402"/>
          <w:sz w:val="19"/>
          <w:szCs w:val="19"/>
        </w:rPr>
        <w:t xml:space="preserve">Recommended default (not final): Calculate commission on the final, post-discount price — i.e. the amount the customer actually pays. This is both the simpler mental model for providers (“you keep X% of what the customer paid”) and avoids charging commission on money that never changed hands.</w:t>
      </w:r>
    </w:p>
    <w:p>
      <w:pPr>
        <w:spacing w:after="100"/>
      </w:pPr>
      <w:r>
        <w:rPr>
          <w:rFonts w:ascii="Consolas" w:cs="Consolas" w:eastAsia="Consolas" w:hAnsi="Consolas"/>
          <w:b/>
          <w:bCs/>
          <w:sz w:val="18"/>
          <w:szCs w:val="18"/>
        </w:rPr>
        <w:t xml:space="preserve">PAY-LOGIC-002  </w:t>
      </w:r>
      <w:r>
        <w:t xml:space="preserve">The booking payment calculation shall compute final_price = service.price adjusted by service.discount_type and service.discount_amount (per PRD SVC-003 validation rules) BEFORE applying the commission rate. Commission shall never be calculated against the pre-discount price.</w:t>
      </w:r>
    </w:p>
    <w:p>
      <w:pPr>
        <w:pBdr>
          <w:left w:val="single" w:color="0F6E56" w:sz="18"/>
        </w:pBdr>
        <w:shd w:fill="E1F5EE" w:val="clear"/>
        <w:spacing w:after="0" w:before="160"/>
        <w:ind w:left="100"/>
      </w:pPr>
      <w:r>
        <w:rPr>
          <w:b/>
          <w:bCs/>
          <w:color w:val="085041"/>
          <w:sz w:val="19"/>
          <w:szCs w:val="19"/>
        </w:rPr>
        <w:t xml:space="preserve">WORKED EXAMPLE — Commission calculation on a discounted service</w:t>
      </w:r>
    </w:p>
    <w:p>
      <w:pPr>
        <w:shd w:fill="E1F5EE" w:val="clear"/>
        <w:spacing w:after="60"/>
        <w:ind w:left="100"/>
      </w:pPr>
      <w:r>
        <w:rPr>
          <w:rFonts w:ascii="Consolas" w:cs="Consolas" w:eastAsia="Consolas" w:hAnsi="Consolas"/>
          <w:color w:val="04342C"/>
          <w:sz w:val="19"/>
          <w:szCs w:val="19"/>
        </w:rPr>
        <w:t xml:space="preserve">Service price:           R 1,200.00</w:t>
      </w:r>
    </w:p>
    <w:p>
      <w:pPr>
        <w:shd w:fill="E1F5EE" w:val="clear"/>
        <w:spacing w:after="60"/>
        <w:ind w:left="100"/>
      </w:pPr>
      <w:r>
        <w:rPr>
          <w:rFonts w:ascii="Consolas" w:cs="Consolas" w:eastAsia="Consolas" w:hAnsi="Consolas"/>
          <w:color w:val="04342C"/>
          <w:sz w:val="19"/>
          <w:szCs w:val="19"/>
        </w:rPr>
        <w:t xml:space="preserve">Discount type:           percent</w:t>
      </w:r>
    </w:p>
    <w:p>
      <w:pPr>
        <w:shd w:fill="E1F5EE" w:val="clear"/>
        <w:spacing w:after="60"/>
        <w:ind w:left="100"/>
      </w:pPr>
      <w:r>
        <w:rPr>
          <w:rFonts w:ascii="Consolas" w:cs="Consolas" w:eastAsia="Consolas" w:hAnsi="Consolas"/>
          <w:color w:val="04342C"/>
          <w:sz w:val="19"/>
          <w:szCs w:val="19"/>
        </w:rPr>
        <w:t xml:space="preserve">Discount amount:         15%</w:t>
      </w:r>
    </w:p>
    <w:p>
      <w:pPr>
        <w:shd w:fill="E1F5EE" w:val="clear"/>
        <w:spacing w:after="60"/>
        <w:ind w:left="100"/>
      </w:pPr>
      <w:r>
        <w:rPr>
          <w:rFonts w:ascii="Consolas" w:cs="Consolas" w:eastAsia="Consolas" w:hAnsi="Consolas"/>
          <w:color w:val="04342C"/>
          <w:sz w:val="19"/>
          <w:szCs w:val="19"/>
        </w:rPr>
        <w:t xml:space="preserve"/>
      </w:r>
    </w:p>
    <w:p>
      <w:pPr>
        <w:shd w:fill="E1F5EE" w:val="clear"/>
        <w:spacing w:after="60"/>
        <w:ind w:left="100"/>
      </w:pPr>
      <w:r>
        <w:rPr>
          <w:rFonts w:ascii="Consolas" w:cs="Consolas" w:eastAsia="Consolas" w:hAnsi="Consolas"/>
          <w:color w:val="04342C"/>
          <w:sz w:val="19"/>
          <w:szCs w:val="19"/>
        </w:rPr>
        <w:t xml:space="preserve">Step 1 - Apply discount:</w:t>
      </w:r>
    </w:p>
    <w:p>
      <w:pPr>
        <w:shd w:fill="E1F5EE" w:val="clear"/>
        <w:spacing w:after="60"/>
        <w:ind w:left="100"/>
      </w:pPr>
      <w:r>
        <w:rPr>
          <w:rFonts w:ascii="Consolas" w:cs="Consolas" w:eastAsia="Consolas" w:hAnsi="Consolas"/>
          <w:color w:val="04342C"/>
          <w:sz w:val="19"/>
          <w:szCs w:val="19"/>
        </w:rPr>
        <w:t xml:space="preserve">  final_price = 1200.00 * (1 - 0.15) = R 1,020.00</w:t>
      </w:r>
    </w:p>
    <w:p>
      <w:pPr>
        <w:shd w:fill="E1F5EE" w:val="clear"/>
        <w:spacing w:after="60"/>
        <w:ind w:left="100"/>
      </w:pPr>
      <w:r>
        <w:rPr>
          <w:rFonts w:ascii="Consolas" w:cs="Consolas" w:eastAsia="Consolas" w:hAnsi="Consolas"/>
          <w:color w:val="04342C"/>
          <w:sz w:val="19"/>
          <w:szCs w:val="19"/>
        </w:rPr>
        <w:t xml:space="preserve"/>
      </w:r>
    </w:p>
    <w:p>
      <w:pPr>
        <w:shd w:fill="E1F5EE" w:val="clear"/>
        <w:spacing w:after="60"/>
        <w:ind w:left="100"/>
      </w:pPr>
      <w:r>
        <w:rPr>
          <w:rFonts w:ascii="Consolas" w:cs="Consolas" w:eastAsia="Consolas" w:hAnsi="Consolas"/>
          <w:color w:val="04342C"/>
          <w:sz w:val="19"/>
          <w:szCs w:val="19"/>
        </w:rPr>
        <w:t xml:space="preserve">Step 2 - Apply commission (commission_rate = 12%, illustrative only):</w:t>
      </w:r>
    </w:p>
    <w:p>
      <w:pPr>
        <w:shd w:fill="E1F5EE" w:val="clear"/>
        <w:spacing w:after="60"/>
        <w:ind w:left="100"/>
      </w:pPr>
      <w:r>
        <w:rPr>
          <w:rFonts w:ascii="Consolas" w:cs="Consolas" w:eastAsia="Consolas" w:hAnsi="Consolas"/>
          <w:color w:val="04342C"/>
          <w:sz w:val="19"/>
          <w:szCs w:val="19"/>
        </w:rPr>
        <w:t xml:space="preserve">  platform_commission = 1020.00 * 0.12 = R 122.40</w:t>
      </w:r>
    </w:p>
    <w:p>
      <w:pPr>
        <w:shd w:fill="E1F5EE" w:val="clear"/>
        <w:spacing w:after="60"/>
        <w:ind w:left="100"/>
      </w:pPr>
      <w:r>
        <w:rPr>
          <w:rFonts w:ascii="Consolas" w:cs="Consolas" w:eastAsia="Consolas" w:hAnsi="Consolas"/>
          <w:color w:val="04342C"/>
          <w:sz w:val="19"/>
          <w:szCs w:val="19"/>
        </w:rPr>
        <w:t xml:space="preserve">  provider_payout      = 1020.00 - 122.40 = R 897.60</w:t>
      </w:r>
    </w:p>
    <w:p>
      <w:pPr>
        <w:shd w:fill="E1F5EE" w:val="clear"/>
        <w:spacing w:after="60"/>
        <w:ind w:left="100"/>
      </w:pPr>
      <w:r>
        <w:rPr>
          <w:rFonts w:ascii="Consolas" w:cs="Consolas" w:eastAsia="Consolas" w:hAnsi="Consolas"/>
          <w:color w:val="04342C"/>
          <w:sz w:val="19"/>
          <w:szCs w:val="19"/>
        </w:rPr>
        <w:t xml:space="preserve"/>
      </w:r>
    </w:p>
    <w:p>
      <w:pPr>
        <w:shd w:fill="E1F5EE" w:val="clear"/>
        <w:spacing w:after="60"/>
        <w:ind w:left="100"/>
      </w:pPr>
      <w:r>
        <w:rPr>
          <w:rFonts w:ascii="Consolas" w:cs="Consolas" w:eastAsia="Consolas" w:hAnsi="Consolas"/>
          <w:color w:val="04342C"/>
          <w:sz w:val="19"/>
          <w:szCs w:val="19"/>
        </w:rPr>
        <w:t xml:space="preserve">The customer is charged R 1,020.00 in total via the PSP.</w:t>
      </w:r>
    </w:p>
    <w:p>
      <w:pPr>
        <w:shd w:fill="E1F5EE" w:val="clear"/>
        <w:spacing w:after="60"/>
        <w:ind w:left="100"/>
      </w:pPr>
      <w:r>
        <w:rPr>
          <w:rFonts w:ascii="Consolas" w:cs="Consolas" w:eastAsia="Consolas" w:hAnsi="Consolas"/>
          <w:color w:val="04342C"/>
          <w:sz w:val="19"/>
          <w:szCs w:val="19"/>
        </w:rPr>
        <w:t xml:space="preserve">The PSP splits this into R 897.60 to the provider and R 122.40 to the platform,</w:t>
      </w:r>
    </w:p>
    <w:p>
      <w:pPr>
        <w:shd w:fill="E1F5EE" w:val="clear"/>
        <w:spacing w:after="60"/>
        <w:ind w:left="100"/>
      </w:pPr>
      <w:r>
        <w:rPr>
          <w:rFonts w:ascii="Consolas" w:cs="Consolas" w:eastAsia="Consolas" w:hAnsi="Consolas"/>
          <w:color w:val="04342C"/>
          <w:sz w:val="19"/>
          <w:szCs w:val="19"/>
        </w:rPr>
        <w:t xml:space="preserve">per PRD PAY-001 (the platform never custodies the R 1,020.00 itself).</w:t>
      </w:r>
    </w:p>
    <w:p>
      <w:pPr>
        <w:spacing w:after="200"/>
      </w:pPr>
    </w:p>
    <w:p>
      <w:pPr>
        <w:pStyle w:val="Heading2"/>
      </w:pPr>
      <w:r>
        <w:t xml:space="preserve">3.3 Payout trigger</w:t>
      </w:r>
    </w:p>
    <w:p>
      <w:pPr>
        <w:spacing w:after="100"/>
      </w:pPr>
      <w:r>
        <w:rPr>
          <w:rFonts w:ascii="Consolas" w:cs="Consolas" w:eastAsia="Consolas" w:hAnsi="Consolas"/>
          <w:b/>
          <w:bCs/>
          <w:sz w:val="18"/>
          <w:szCs w:val="18"/>
        </w:rPr>
        <w:t xml:space="preserve">PAY-LOGIC-003  </w:t>
      </w:r>
      <w:r>
        <w:t xml:space="preserve">Provider payout for a booking shall be initiated only after both conditions are met: (a) the booking has transitioned to completed (BOOK-LOGIC-008), and (b) the PSP has confirmed successful payment capture for that booking, per PRD PAY-003. Neither condition alone is sufficient.</w:t>
      </w:r>
    </w:p>
    <w:p>
      <w:pPr>
        <w:spacing w:after="100"/>
      </w:pPr>
      <w:r>
        <w:rPr>
          <w:rFonts w:ascii="Consolas" w:cs="Consolas" w:eastAsia="Consolas" w:hAnsi="Consolas"/>
          <w:b/>
          <w:bCs/>
          <w:sz w:val="18"/>
          <w:szCs w:val="18"/>
        </w:rPr>
        <w:t xml:space="preserve">PAY-LOGIC-004  </w:t>
      </w:r>
      <w:r>
        <w:t xml:space="preserve">If a booking is marked completed by the provider but the PSP has not confirmed payment capture (e.g. a failed or pending charge), the system shall hold the booking in a distinct internal payment-pending sub-state rather than releasing payout, and shall surface this discrepancy to the provider and to an administrator.</w:t>
      </w:r>
    </w:p>
    <w:p>
      <w:pPr>
        <w:pStyle w:val="Heading2"/>
      </w:pPr>
      <w:r>
        <w:t xml:space="preserve">3.4 Cancellation and refund financial logic</w:t>
      </w:r>
    </w:p>
    <w:p>
      <w:pPr>
        <w:spacing w:after="100"/>
      </w:pPr>
      <w:r>
        <w:rPr>
          <w:rFonts w:ascii="Consolas" w:cs="Consolas" w:eastAsia="Consolas" w:hAnsi="Consolas"/>
          <w:b/>
          <w:bCs/>
          <w:sz w:val="18"/>
          <w:szCs w:val="18"/>
        </w:rPr>
        <w:t xml:space="preserve">PAY-LOGIC-005  </w:t>
      </w:r>
      <w:r>
        <w:t xml:space="preserve">When a booking is cancelled (PRD BOOK-003, Section 2.4 above) after payment has already been captured by the PSP, the system shall initiate a full refund of the customer's payment through the PSP's native refund mechanism (PRD PAY-004), and the platform shall retain zero commission on a cancelled booking, consistent with the no-cancellation-fee default in 2.4.</w:t>
      </w:r>
    </w:p>
    <w:p>
      <w:pPr>
        <w:spacing w:after="100"/>
      </w:pPr>
      <w:r>
        <w:rPr>
          <w:rFonts w:ascii="Consolas" w:cs="Consolas" w:eastAsia="Consolas" w:hAnsi="Consolas"/>
          <w:b/>
          <w:bCs/>
          <w:sz w:val="18"/>
          <w:szCs w:val="18"/>
        </w:rPr>
        <w:t xml:space="preserve">PAY-LOGIC-006  </w:t>
      </w:r>
      <w:r>
        <w:t xml:space="preserve">If a provider has already been paid out for a booking that is subsequently disputed or refunded (e.g. a post-completion dispute), the recovery of that payout from the provider is explicitly out of scope for this document and should be addressed in a future dispute-resolution specification.</w:t>
      </w:r>
    </w:p>
    <w:p>
      <w:pPr>
        <w:pStyle w:val="Heading2"/>
      </w:pPr>
      <w:r>
        <w:t xml:space="preserve">3.5 Currency</w:t>
      </w:r>
    </w:p>
    <w:p>
      <w:pPr>
        <w:spacing w:after="100"/>
      </w:pPr>
      <w:r>
        <w:rPr>
          <w:rFonts w:ascii="Consolas" w:cs="Consolas" w:eastAsia="Consolas" w:hAnsi="Consolas"/>
          <w:b/>
          <w:bCs/>
          <w:sz w:val="18"/>
          <w:szCs w:val="18"/>
        </w:rPr>
        <w:t xml:space="preserve">PAY-LOGIC-007  </w:t>
      </w:r>
      <w:r>
        <w:t xml:space="preserve">All monetary values in v1 shall be denominated in South African Rand (ZAR). Multi-currency support is out of scope for this document.</w:t>
      </w:r>
    </w:p>
    <w:p>
      <w:pPr>
        <w:pBdr>
          <w:bottom w:val="single" w:color="D9D6CC" w:sz="6" w:space="1"/>
        </w:pBdr>
        <w:spacing w:after="240" w:before="120"/>
      </w:pPr>
    </w:p>
    <w:p>
      <w:pPr>
        <w:pStyle w:val="Heading1"/>
      </w:pPr>
      <w:r>
        <w:t xml:space="preserve">4. Search ranking &amp; paid placement</w:t>
      </w:r>
    </w:p>
    <w:p>
      <w:pPr>
        <w:spacing w:after="160"/>
      </w:pPr>
      <w:r>
        <w:rPr>
          <w:b w:val="false"/>
          <w:bCs w:val="false"/>
          <w:i w:val="false"/>
          <w:iCs w:val="false"/>
        </w:rPr>
        <w:t xml:space="preserve">This section defines how providers are ordered in search/listing results (PRD DISC-001/DISC-002), how paid placement composes with relevance ranking, and how the home marketplace's featured providers/specials (PRD DISC-004) relate to paid search placement. These are two distinct mechanisms and are specified separately.</w:t>
      </w:r>
    </w:p>
    <w:p>
      <w:pPr>
        <w:pStyle w:val="Heading2"/>
      </w:pPr>
      <w:r>
        <w:t xml:space="preserve">4.1 Base relevance score</w:t>
      </w:r>
    </w:p>
    <w:p>
      <w:pPr>
        <w:spacing w:after="160"/>
      </w:pPr>
      <w:r>
        <w:rPr>
          <w:b w:val="false"/>
          <w:bCs w:val="false"/>
          <w:i w:val="false"/>
          <w:iCs w:val="false"/>
        </w:rPr>
        <w:t xml:space="preserve">Every search/listing query produces a relevance score per matching provider before any paid boost is applied. The relevance score is composed of multiple weighted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760"/>
        <w:gridCol w:w="2700"/>
      </w:tblGrid>
      <w:tr>
        <w:tc>
          <w:tcPr>
            <w:tcW w:type="dxa" w:w="19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signal</w:t>
            </w:r>
          </w:p>
        </w:tc>
        <w:tc>
          <w:tcPr>
            <w:tcW w:type="dxa" w:w="47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description</w:t>
            </w:r>
          </w:p>
        </w:tc>
        <w:tc>
          <w:tcPr>
            <w:tcW w:type="dxa" w:w="27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direction</w:t>
            </w:r>
          </w:p>
        </w:tc>
      </w:tr>
      <w:tr>
        <w:tc>
          <w:tcPr>
            <w:tcW w:type="dxa" w:w="1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text match</w:t>
            </w:r>
          </w:p>
        </w:tc>
        <w:tc>
          <w:tcPr>
            <w:tcW w:type="dxa" w:w="47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Match strength between query terms and provider business_name, bio, tags, and dynamic field values flagged is_tag_searchable</w:t>
            </w:r>
          </w:p>
        </w:tc>
        <w:tc>
          <w:tcPr>
            <w:tcW w:type="dxa" w:w="2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higher match = higher score</w:t>
            </w:r>
          </w:p>
        </w:tc>
      </w:tr>
      <w:tr>
        <w:tc>
          <w:tcPr>
            <w:tcW w:type="dxa" w:w="1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location proximity</w:t>
            </w:r>
          </w:p>
        </w:tc>
        <w:tc>
          <w:tcPr>
            <w:tcW w:type="dxa" w:w="47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Distance between searcher's location/query location and provider's service area</w:t>
            </w:r>
          </w:p>
        </w:tc>
        <w:tc>
          <w:tcPr>
            <w:tcW w:type="dxa" w:w="2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closer = higher score</w:t>
            </w:r>
          </w:p>
        </w:tc>
      </w:tr>
      <w:tr>
        <w:tc>
          <w:tcPr>
            <w:tcW w:type="dxa" w:w="1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tag match</w:t>
            </w:r>
          </w:p>
        </w:tc>
        <w:tc>
          <w:tcPr>
            <w:tcW w:type="dxa" w:w="47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Overlap between query filter tags and provider's tags</w:t>
            </w:r>
          </w:p>
        </w:tc>
        <w:tc>
          <w:tcPr>
            <w:tcW w:type="dxa" w:w="2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more overlap = higher score</w:t>
            </w:r>
          </w:p>
        </w:tc>
      </w:tr>
      <w:tr>
        <w:tc>
          <w:tcPr>
            <w:tcW w:type="dxa" w:w="1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review quality</w:t>
            </w:r>
          </w:p>
        </w:tc>
        <w:tc>
          <w:tcPr>
            <w:tcW w:type="dxa" w:w="47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Average rating and review count (PRD REV-003/REV-005)</w:t>
            </w:r>
          </w:p>
        </w:tc>
        <w:tc>
          <w:tcPr>
            <w:tcW w:type="dxa" w:w="2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higher rating + more reviews = higher score</w:t>
            </w:r>
          </w:p>
        </w:tc>
      </w:tr>
      <w:tr>
        <w:tc>
          <w:tcPr>
            <w:tcW w:type="dxa" w:w="1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completed booking count</w:t>
            </w:r>
          </w:p>
        </w:tc>
        <w:tc>
          <w:tcPr>
            <w:tcW w:type="dxa" w:w="47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Total completed bookings (Section 2.6) as a trust/experience signal</w:t>
            </w:r>
          </w:p>
        </w:tc>
        <w:tc>
          <w:tcPr>
            <w:tcW w:type="dxa" w:w="2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more completions = higher score</w:t>
            </w:r>
          </w:p>
        </w:tc>
      </w:tr>
      <w:tr>
        <w:tc>
          <w:tcPr>
            <w:tcW w:type="dxa" w:w="1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profile completeness</w:t>
            </w:r>
          </w:p>
        </w:tc>
        <w:tc>
          <w:tcPr>
            <w:tcW w:type="dxa" w:w="47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Proportion of optional (non-required) fields filled in, in addition to mandatory published-state completeness</w:t>
            </w:r>
          </w:p>
        </w:tc>
        <w:tc>
          <w:tcPr>
            <w:tcW w:type="dxa" w:w="2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more complete = higher score</w:t>
            </w:r>
          </w:p>
        </w:tc>
      </w:tr>
      <w:tr>
        <w:tc>
          <w:tcPr>
            <w:tcW w:type="dxa" w:w="1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reliability penalty</w:t>
            </w:r>
          </w:p>
        </w:tc>
        <w:tc>
          <w:tcPr>
            <w:tcW w:type="dxa" w:w="47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Negative adjustment for booking auto-expiries (2.3) and provider-initiated cancellations after acceptance (2.4)</w:t>
            </w:r>
          </w:p>
        </w:tc>
        <w:tc>
          <w:tcPr>
            <w:tcW w:type="dxa" w:w="2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more incidents = lower score</w:t>
            </w:r>
          </w:p>
        </w:tc>
      </w:tr>
    </w:tbl>
    <w:p>
      <w:pPr>
        <w:pBdr>
          <w:left w:val="single" w:color="BA7517" w:sz="18"/>
        </w:pBdr>
        <w:shd w:fill="FAEEDA" w:val="clear"/>
        <w:spacing w:after="0" w:before="160"/>
        <w:ind w:left="100"/>
      </w:pPr>
      <w:r>
        <w:rPr>
          <w:b/>
          <w:bCs/>
          <w:color w:val="633806"/>
          <w:sz w:val="19"/>
          <w:szCs w:val="19"/>
        </w:rPr>
        <w:t xml:space="preserve">BUSINESS DECISION REQUIRED — Exact weighting of each relevance signal</w:t>
      </w:r>
    </w:p>
    <w:p>
      <w:pPr>
        <w:shd w:fill="FAEEDA" w:val="clear"/>
        <w:spacing w:after="0"/>
        <w:ind w:left="100"/>
      </w:pPr>
      <w:r>
        <w:rPr>
          <w:color w:val="412402"/>
          <w:sz w:val="19"/>
          <w:szCs w:val="19"/>
        </w:rPr>
        <w:t xml:space="preserve">The relative importance of text match vs. location vs. review quality vs. reliability is a product/business tuning decision that should be adjusted based on real search behavior once the platform has traffic, not fixed permanently at launch.</w:t>
      </w:r>
    </w:p>
    <w:p>
      <w:pPr>
        <w:shd w:fill="FAEEDA" w:val="clear"/>
        <w:spacing w:after="200"/>
        <w:ind w:left="100"/>
      </w:pPr>
      <w:r>
        <w:rPr>
          <w:i/>
          <w:iCs/>
          <w:color w:val="412402"/>
          <w:sz w:val="19"/>
          <w:szCs w:val="19"/>
        </w:rPr>
        <w:t xml:space="preserve">Recommended default (not final): Implement each signal as an independently configurable weight (e.g. a weights table or config object), combined as a weighted sum after each signal is normalized to a common 0–1 range, so weights can be tuned without a code deployment. Start with text match and location as the dominant signals, with review/reliability signals as secondary tie-breakers, since early in the platform's life most providers will have few or no reviews.</w:t>
      </w:r>
    </w:p>
    <w:p>
      <w:pPr>
        <w:spacing w:after="100"/>
      </w:pPr>
      <w:r>
        <w:rPr>
          <w:rFonts w:ascii="Consolas" w:cs="Consolas" w:eastAsia="Consolas" w:hAnsi="Consolas"/>
          <w:b/>
          <w:bCs/>
          <w:sz w:val="18"/>
          <w:szCs w:val="18"/>
        </w:rPr>
        <w:t xml:space="preserve">RANK-LOGIC-001  </w:t>
      </w:r>
      <w:r>
        <w:t xml:space="preserve">Only published providers (PRD PROV-006) shall be eligible to appear in relevance-ranked search results, consistent with DISC-003.</w:t>
      </w:r>
    </w:p>
    <w:p>
      <w:pPr>
        <w:spacing w:after="100"/>
      </w:pPr>
      <w:r>
        <w:rPr>
          <w:rFonts w:ascii="Consolas" w:cs="Consolas" w:eastAsia="Consolas" w:hAnsi="Consolas"/>
          <w:b/>
          <w:bCs/>
          <w:sz w:val="18"/>
          <w:szCs w:val="18"/>
        </w:rPr>
        <w:t xml:space="preserve">RANK-LOGIC-002  </w:t>
      </w:r>
      <w:r>
        <w:t xml:space="preserve">Relevance scoring inputs and weights shall be implemented as configuration, not hardcoded, to support tuning without a code deployment.</w:t>
      </w:r>
    </w:p>
    <w:p>
      <w:pPr>
        <w:pStyle w:val="Heading2"/>
      </w:pPr>
      <w:r>
        <w:t xml:space="preserve">4.2 Paid placement boost</w:t>
      </w:r>
    </w:p>
    <w:p>
      <w:pPr>
        <w:spacing w:after="160"/>
      </w:pPr>
      <w:r>
        <w:rPr>
          <w:b w:val="false"/>
          <w:bCs w:val="false"/>
          <w:i w:val="false"/>
          <w:iCs w:val="false"/>
        </w:rPr>
        <w:t xml:space="preserve">Providers may pay for placement boost in search results, separate from and in addition to the relevance score in 4.1. This must not allow an irrelevant paid provider to outrank a clearly relevant unpaid one — a bounded multiplicative boost achieves this; an absolute override (e.g. “paid providers always appear first regardless of query”) does not, and is explicitly disallowed.</w:t>
      </w:r>
    </w:p>
    <w:p>
      <w:pPr>
        <w:spacing w:after="100"/>
      </w:pPr>
      <w:r>
        <w:rPr>
          <w:rFonts w:ascii="Consolas" w:cs="Consolas" w:eastAsia="Consolas" w:hAnsi="Consolas"/>
          <w:b/>
          <w:bCs/>
          <w:sz w:val="18"/>
          <w:szCs w:val="18"/>
        </w:rPr>
        <w:t xml:space="preserve">RANK-LOGIC-003  </w:t>
      </w:r>
      <w:r>
        <w:t xml:space="preserve">The final ranking score for a provider shall be computed as: final_score = relevance_score × (1 + boost_factor), where boost_factor is derived from the provider's active paid placement tier (if any) and is capped at a configurable maximum.</w:t>
      </w:r>
    </w:p>
    <w:p>
      <w:pPr>
        <w:spacing w:after="100"/>
      </w:pPr>
      <w:r>
        <w:rPr>
          <w:rFonts w:ascii="Consolas" w:cs="Consolas" w:eastAsia="Consolas" w:hAnsi="Consolas"/>
          <w:b/>
          <w:bCs/>
          <w:sz w:val="18"/>
          <w:szCs w:val="18"/>
        </w:rPr>
        <w:t xml:space="preserve">RANK-LOGIC-004  </w:t>
      </w:r>
      <w:r>
        <w:t xml:space="preserve">A provider with a relevance_score of zero or near-zero for a given query (i.e. no meaningful match to the search terms/filters) shall NOT be elevated into visible results purely by boost_factor. The boost shall apply only as a multiplier on an already-nonzero relevance match, not as an independent ranking path.</w:t>
      </w:r>
    </w:p>
    <w:p>
      <w:pPr>
        <w:spacing w:after="100"/>
      </w:pPr>
      <w:r>
        <w:rPr>
          <w:rFonts w:ascii="Consolas" w:cs="Consolas" w:eastAsia="Consolas" w:hAnsi="Consolas"/>
          <w:b/>
          <w:bCs/>
          <w:sz w:val="18"/>
          <w:szCs w:val="18"/>
        </w:rPr>
        <w:t xml:space="preserve">RANK-LOGIC-005  </w:t>
      </w:r>
      <w:r>
        <w:t xml:space="preserve">boost_factor shall be capped (configurable maximum, e.g. illustrative cap such that a fully-boosted provider cannot exceed roughly 2× its own unboosted relevance score) so that paid placement can move a relevant provider up among other relevant providers, but cannot be used to indefinitely out-rank dramatically more relevant unpaid competitors through an uncapped multiplier.</w:t>
      </w:r>
    </w:p>
    <w:p>
      <w:pPr>
        <w:spacing w:after="100"/>
      </w:pPr>
      <w:r>
        <w:rPr>
          <w:rFonts w:ascii="Consolas" w:cs="Consolas" w:eastAsia="Consolas" w:hAnsi="Consolas"/>
          <w:b/>
          <w:bCs/>
          <w:sz w:val="18"/>
          <w:szCs w:val="18"/>
        </w:rPr>
        <w:t xml:space="preserve">RANK-LOGIC-006  </w:t>
      </w:r>
      <w:r>
        <w:t xml:space="preserve">Providers with a reliability penalty (4.1) above a configurable threshold shall be ineligible to purchase or activate paid placement boost until the penalty clears, to prevent the platform from selling visibility to providers with a poor fulfillment record.</w:t>
      </w:r>
    </w:p>
    <w:p>
      <w:pPr>
        <w:pBdr>
          <w:left w:val="single" w:color="0F6E56" w:sz="18"/>
        </w:pBdr>
        <w:shd w:fill="E1F5EE" w:val="clear"/>
        <w:spacing w:after="0" w:before="160"/>
        <w:ind w:left="100"/>
      </w:pPr>
      <w:r>
        <w:rPr>
          <w:b/>
          <w:bCs/>
          <w:color w:val="085041"/>
          <w:sz w:val="19"/>
          <w:szCs w:val="19"/>
        </w:rPr>
        <w:t xml:space="preserve">WORKED EXAMPLE — Paid placement composing with relevance, not overriding it</w:t>
      </w:r>
    </w:p>
    <w:p>
      <w:pPr>
        <w:shd w:fill="E1F5EE" w:val="clear"/>
        <w:spacing w:after="60"/>
        <w:ind w:left="100"/>
      </w:pPr>
      <w:r>
        <w:rPr>
          <w:rFonts w:ascii="Consolas" w:cs="Consolas" w:eastAsia="Consolas" w:hAnsi="Consolas"/>
          <w:color w:val="04342C"/>
          <w:sz w:val="19"/>
          <w:szCs w:val="19"/>
        </w:rPr>
        <w:t xml:space="preserve">Query: "wedding caterer Queenstown"</w:t>
      </w:r>
    </w:p>
    <w:p>
      <w:pPr>
        <w:shd w:fill="E1F5EE" w:val="clear"/>
        <w:spacing w:after="60"/>
        <w:ind w:left="100"/>
      </w:pPr>
      <w:r>
        <w:rPr>
          <w:rFonts w:ascii="Consolas" w:cs="Consolas" w:eastAsia="Consolas" w:hAnsi="Consolas"/>
          <w:color w:val="04342C"/>
          <w:sz w:val="19"/>
          <w:szCs w:val="19"/>
        </w:rPr>
        <w:t xml:space="preserve"/>
      </w:r>
    </w:p>
    <w:p>
      <w:pPr>
        <w:shd w:fill="E1F5EE" w:val="clear"/>
        <w:spacing w:after="60"/>
        <w:ind w:left="100"/>
      </w:pPr>
      <w:r>
        <w:rPr>
          <w:rFonts w:ascii="Consolas" w:cs="Consolas" w:eastAsia="Consolas" w:hAnsi="Consolas"/>
          <w:color w:val="04342C"/>
          <w:sz w:val="19"/>
          <w:szCs w:val="19"/>
        </w:rPr>
        <w:t xml:space="preserve">Provider A (highly relevant, unpaid):</w:t>
      </w:r>
    </w:p>
    <w:p>
      <w:pPr>
        <w:shd w:fill="E1F5EE" w:val="clear"/>
        <w:spacing w:after="60"/>
        <w:ind w:left="100"/>
      </w:pPr>
      <w:r>
        <w:rPr>
          <w:rFonts w:ascii="Consolas" w:cs="Consolas" w:eastAsia="Consolas" w:hAnsi="Consolas"/>
          <w:color w:val="04342C"/>
          <w:sz w:val="19"/>
          <w:szCs w:val="19"/>
        </w:rPr>
        <w:t xml:space="preserve">  relevance_score = 0.92   boost_factor = 0</w:t>
      </w:r>
    </w:p>
    <w:p>
      <w:pPr>
        <w:shd w:fill="E1F5EE" w:val="clear"/>
        <w:spacing w:after="60"/>
        <w:ind w:left="100"/>
      </w:pPr>
      <w:r>
        <w:rPr>
          <w:rFonts w:ascii="Consolas" w:cs="Consolas" w:eastAsia="Consolas" w:hAnsi="Consolas"/>
          <w:color w:val="04342C"/>
          <w:sz w:val="19"/>
          <w:szCs w:val="19"/>
        </w:rPr>
        <w:t xml:space="preserve">  final_score = 0.92 * (1 + 0) = 0.92</w:t>
      </w:r>
    </w:p>
    <w:p>
      <w:pPr>
        <w:shd w:fill="E1F5EE" w:val="clear"/>
        <w:spacing w:after="60"/>
        <w:ind w:left="100"/>
      </w:pPr>
      <w:r>
        <w:rPr>
          <w:rFonts w:ascii="Consolas" w:cs="Consolas" w:eastAsia="Consolas" w:hAnsi="Consolas"/>
          <w:color w:val="04342C"/>
          <w:sz w:val="19"/>
          <w:szCs w:val="19"/>
        </w:rPr>
        <w:t xml:space="preserve"/>
      </w:r>
    </w:p>
    <w:p>
      <w:pPr>
        <w:shd w:fill="E1F5EE" w:val="clear"/>
        <w:spacing w:after="60"/>
        <w:ind w:left="100"/>
      </w:pPr>
      <w:r>
        <w:rPr>
          <w:rFonts w:ascii="Consolas" w:cs="Consolas" w:eastAsia="Consolas" w:hAnsi="Consolas"/>
          <w:color w:val="04342C"/>
          <w:sz w:val="19"/>
          <w:szCs w:val="19"/>
        </w:rPr>
        <w:t xml:space="preserve">Provider B (relevant, paid placement active):</w:t>
      </w:r>
    </w:p>
    <w:p>
      <w:pPr>
        <w:shd w:fill="E1F5EE" w:val="clear"/>
        <w:spacing w:after="60"/>
        <w:ind w:left="100"/>
      </w:pPr>
      <w:r>
        <w:rPr>
          <w:rFonts w:ascii="Consolas" w:cs="Consolas" w:eastAsia="Consolas" w:hAnsi="Consolas"/>
          <w:color w:val="04342C"/>
          <w:sz w:val="19"/>
          <w:szCs w:val="19"/>
        </w:rPr>
        <w:t xml:space="preserve">  relevance_score = 0.71   boost_factor = 0.5 (capped)</w:t>
      </w:r>
    </w:p>
    <w:p>
      <w:pPr>
        <w:shd w:fill="E1F5EE" w:val="clear"/>
        <w:spacing w:after="60"/>
        <w:ind w:left="100"/>
      </w:pPr>
      <w:r>
        <w:rPr>
          <w:rFonts w:ascii="Consolas" w:cs="Consolas" w:eastAsia="Consolas" w:hAnsi="Consolas"/>
          <w:color w:val="04342C"/>
          <w:sz w:val="19"/>
          <w:szCs w:val="19"/>
        </w:rPr>
        <w:t xml:space="preserve">  final_score = 0.71 * (1 + 0.5) = 1.065</w:t>
      </w:r>
    </w:p>
    <w:p>
      <w:pPr>
        <w:shd w:fill="E1F5EE" w:val="clear"/>
        <w:spacing w:after="60"/>
        <w:ind w:left="100"/>
      </w:pPr>
      <w:r>
        <w:rPr>
          <w:rFonts w:ascii="Consolas" w:cs="Consolas" w:eastAsia="Consolas" w:hAnsi="Consolas"/>
          <w:color w:val="04342C"/>
          <w:sz w:val="19"/>
          <w:szCs w:val="19"/>
        </w:rPr>
        <w:t xml:space="preserve"/>
      </w:r>
    </w:p>
    <w:p>
      <w:pPr>
        <w:shd w:fill="E1F5EE" w:val="clear"/>
        <w:spacing w:after="60"/>
        <w:ind w:left="100"/>
      </w:pPr>
      <w:r>
        <w:rPr>
          <w:rFonts w:ascii="Consolas" w:cs="Consolas" w:eastAsia="Consolas" w:hAnsi="Consolas"/>
          <w:color w:val="04342C"/>
          <w:sz w:val="19"/>
          <w:szCs w:val="19"/>
        </w:rPr>
        <w:t xml:space="preserve">Provider C (irrelevant - e.g. a DJ, not a caterer - paid placement active):</w:t>
      </w:r>
    </w:p>
    <w:p>
      <w:pPr>
        <w:shd w:fill="E1F5EE" w:val="clear"/>
        <w:spacing w:after="60"/>
        <w:ind w:left="100"/>
      </w:pPr>
      <w:r>
        <w:rPr>
          <w:rFonts w:ascii="Consolas" w:cs="Consolas" w:eastAsia="Consolas" w:hAnsi="Consolas"/>
          <w:color w:val="04342C"/>
          <w:sz w:val="19"/>
          <w:szCs w:val="19"/>
        </w:rPr>
        <w:t xml:space="preserve">  relevance_score = 0.04   boost_factor = 0.5 (capped)</w:t>
      </w:r>
    </w:p>
    <w:p>
      <w:pPr>
        <w:shd w:fill="E1F5EE" w:val="clear"/>
        <w:spacing w:after="60"/>
        <w:ind w:left="100"/>
      </w:pPr>
      <w:r>
        <w:rPr>
          <w:rFonts w:ascii="Consolas" w:cs="Consolas" w:eastAsia="Consolas" w:hAnsi="Consolas"/>
          <w:color w:val="04342C"/>
          <w:sz w:val="19"/>
          <w:szCs w:val="19"/>
        </w:rPr>
        <w:t xml:space="preserve">  final_score = 0.04 * (1 + 0.5) = 0.06</w:t>
      </w:r>
    </w:p>
    <w:p>
      <w:pPr>
        <w:shd w:fill="E1F5EE" w:val="clear"/>
        <w:spacing w:after="60"/>
        <w:ind w:left="100"/>
      </w:pPr>
      <w:r>
        <w:rPr>
          <w:rFonts w:ascii="Consolas" w:cs="Consolas" w:eastAsia="Consolas" w:hAnsi="Consolas"/>
          <w:color w:val="04342C"/>
          <w:sz w:val="19"/>
          <w:szCs w:val="19"/>
        </w:rPr>
        <w:t xml:space="preserve"/>
      </w:r>
    </w:p>
    <w:p>
      <w:pPr>
        <w:shd w:fill="E1F5EE" w:val="clear"/>
        <w:spacing w:after="60"/>
        <w:ind w:left="100"/>
      </w:pPr>
      <w:r>
        <w:rPr>
          <w:rFonts w:ascii="Consolas" w:cs="Consolas" w:eastAsia="Consolas" w:hAnsi="Consolas"/>
          <w:color w:val="04342C"/>
          <w:sz w:val="19"/>
          <w:szCs w:val="19"/>
        </w:rPr>
        <w:t xml:space="preserve">Result order: B, A, then C far behind - paid placement let a relevant</w:t>
      </w:r>
    </w:p>
    <w:p>
      <w:pPr>
        <w:shd w:fill="E1F5EE" w:val="clear"/>
        <w:spacing w:after="60"/>
        <w:ind w:left="100"/>
      </w:pPr>
      <w:r>
        <w:rPr>
          <w:rFonts w:ascii="Consolas" w:cs="Consolas" w:eastAsia="Consolas" w:hAnsi="Consolas"/>
          <w:color w:val="04342C"/>
          <w:sz w:val="19"/>
          <w:szCs w:val="19"/>
        </w:rPr>
        <w:t xml:space="preserve">competitor (B) edge out another relevant result (A), but could not drag</w:t>
      </w:r>
    </w:p>
    <w:p>
      <w:pPr>
        <w:shd w:fill="E1F5EE" w:val="clear"/>
        <w:spacing w:after="60"/>
        <w:ind w:left="100"/>
      </w:pPr>
      <w:r>
        <w:rPr>
          <w:rFonts w:ascii="Consolas" w:cs="Consolas" w:eastAsia="Consolas" w:hAnsi="Consolas"/>
          <w:color w:val="04342C"/>
          <w:sz w:val="19"/>
          <w:szCs w:val="19"/>
        </w:rPr>
        <w:t xml:space="preserve">an irrelevant provider (C) into contention. This is the intended behavior</w:t>
      </w:r>
    </w:p>
    <w:p>
      <w:pPr>
        <w:shd w:fill="E1F5EE" w:val="clear"/>
        <w:spacing w:after="60"/>
        <w:ind w:left="100"/>
      </w:pPr>
      <w:r>
        <w:rPr>
          <w:rFonts w:ascii="Consolas" w:cs="Consolas" w:eastAsia="Consolas" w:hAnsi="Consolas"/>
          <w:color w:val="04342C"/>
          <w:sz w:val="19"/>
          <w:szCs w:val="19"/>
        </w:rPr>
        <w:t xml:space="preserve">of RANK-LOGIC-004.</w:t>
      </w:r>
    </w:p>
    <w:p>
      <w:pPr>
        <w:spacing w:after="200"/>
      </w:pPr>
    </w:p>
    <w:p>
      <w:pPr>
        <w:pStyle w:val="Heading2"/>
      </w:pPr>
      <w:r>
        <w:t xml:space="preserve">4.3 Featured providers and specials (home marketplace)</w:t>
      </w:r>
    </w:p>
    <w:p>
      <w:pPr>
        <w:spacing w:after="160"/>
      </w:pPr>
      <w:r>
        <w:rPr>
          <w:b w:val="false"/>
          <w:bCs w:val="false"/>
          <w:i w:val="false"/>
          <w:iCs w:val="false"/>
        </w:rPr>
        <w:t xml:space="preserve">PRD DISC-004 introduces featured providers and featured specials/deals on the home marketplace landing page. This is a distinct mechanism from search paid placement (4.2): paid placement affects ranking within search results for a specific query; featured status affects what is shown on the landing page independent of any search query.</w:t>
      </w:r>
    </w:p>
    <w:p>
      <w:pPr>
        <w:spacing w:after="100"/>
      </w:pPr>
      <w:r>
        <w:rPr>
          <w:rFonts w:ascii="Consolas" w:cs="Consolas" w:eastAsia="Consolas" w:hAnsi="Consolas"/>
          <w:b/>
          <w:bCs/>
          <w:sz w:val="18"/>
          <w:szCs w:val="18"/>
        </w:rPr>
        <w:t xml:space="preserve">RANK-LOGIC-007  </w:t>
      </w:r>
      <w:r>
        <w:t xml:space="preserve">Featured provider and featured specials/deals selection logic (manual curation vs. an automated/paid mechanism) is not finalized in this document. If implemented as a paid mechanism in a future iteration, it shall be modeled as a separate purchasable placement distinct from search paid placement (4.2), since landing-page visibility and in-search ranking serve different customer intents.</w:t>
      </w:r>
    </w:p>
    <w:p>
      <w:pPr>
        <w:pBdr>
          <w:bottom w:val="single" w:color="D9D6CC" w:sz="6" w:space="1"/>
        </w:pBdr>
        <w:spacing w:after="240" w:before="120"/>
      </w:pPr>
    </w:p>
    <w:p>
      <w:pPr>
        <w:pStyle w:val="Heading1"/>
      </w:pPr>
      <w:r>
        <w:t xml:space="preserve">5. Summary of business decisions required</w:t>
      </w:r>
    </w:p>
    <w:p>
      <w:pPr>
        <w:spacing w:after="160"/>
      </w:pPr>
      <w:r>
        <w:rPr>
          <w:b w:val="false"/>
          <w:bCs w:val="false"/>
          <w:i w:val="false"/>
          <w:iCs w:val="false"/>
        </w:rPr>
        <w:t xml:space="preserve">This section consolidates every “BUSINESS DECISION REQUIRED” block from this document into a single checklist, for ease of tracking. Each references the section where the full context and recommended default can be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1200"/>
        <w:gridCol w:w="3460"/>
      </w:tblGrid>
      <w:tr>
        <w:tc>
          <w:tcPr>
            <w:tcW w:type="dxa" w:w="5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w:t>
            </w:r>
          </w:p>
        </w:tc>
        <w:tc>
          <w:tcPr>
            <w:tcW w:type="dxa" w:w="42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decision</w:t>
            </w:r>
          </w:p>
        </w:tc>
        <w:tc>
          <w:tcPr>
            <w:tcW w:type="dxa" w:w="12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section</w:t>
            </w:r>
          </w:p>
        </w:tc>
        <w:tc>
          <w:tcPr>
            <w:tcW w:type="dxa" w:w="34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recommended default given</w:t>
            </w:r>
          </w:p>
        </w:tc>
      </w:tr>
      <w:tr>
        <w:tc>
          <w:tcPr>
            <w:tcW w:type="dxa" w:w="5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1</w:t>
            </w:r>
          </w:p>
        </w:tc>
        <w:tc>
          <w:tcPr>
            <w:tcW w:type="dxa" w:w="4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Auto-expiry window for unanswered booking requests</w:t>
            </w:r>
          </w:p>
        </w:tc>
        <w:tc>
          <w:tcPr>
            <w:tcW w:type="dxa" w:w="1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2.3</w:t>
            </w:r>
          </w:p>
        </w:tc>
        <w:tc>
          <w:tcPr>
            <w:tcW w:type="dxa" w:w="34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48 hours</w:t>
            </w:r>
          </w:p>
        </w:tc>
      </w:tr>
      <w:tr>
        <w:tc>
          <w:tcPr>
            <w:tcW w:type="dxa" w:w="5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2</w:t>
            </w:r>
          </w:p>
        </w:tc>
        <w:tc>
          <w:tcPr>
            <w:tcW w:type="dxa" w:w="4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Cancellation policy / fee after provider acceptance</w:t>
            </w:r>
          </w:p>
        </w:tc>
        <w:tc>
          <w:tcPr>
            <w:tcW w:type="dxa" w:w="1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2.4</w:t>
            </w:r>
          </w:p>
        </w:tc>
        <w:tc>
          <w:tcPr>
            <w:tcW w:type="dxa" w:w="34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No fee in v1; full refund; penalize repeat offenders in ranking instead</w:t>
            </w:r>
          </w:p>
        </w:tc>
      </w:tr>
      <w:tr>
        <w:tc>
          <w:tcPr>
            <w:tcW w:type="dxa" w:w="5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3</w:t>
            </w:r>
          </w:p>
        </w:tc>
        <w:tc>
          <w:tcPr>
            <w:tcW w:type="dxa" w:w="4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Platform commission percentage on bookings</w:t>
            </w:r>
          </w:p>
        </w:tc>
        <w:tc>
          <w:tcPr>
            <w:tcW w:type="dxa" w:w="1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3.1</w:t>
            </w:r>
          </w:p>
        </w:tc>
        <w:tc>
          <w:tcPr>
            <w:tcW w:type="dxa" w:w="34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Placeholder 10–15%, global rate, configurable per category/type later</w:t>
            </w:r>
          </w:p>
        </w:tc>
      </w:tr>
      <w:tr>
        <w:tc>
          <w:tcPr>
            <w:tcW w:type="dxa" w:w="5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4</w:t>
            </w:r>
          </w:p>
        </w:tc>
        <w:tc>
          <w:tcPr>
            <w:tcW w:type="dxa" w:w="4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Commission calculated on list price or discounted price</w:t>
            </w:r>
          </w:p>
        </w:tc>
        <w:tc>
          <w:tcPr>
            <w:tcW w:type="dxa" w:w="1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3.2</w:t>
            </w:r>
          </w:p>
        </w:tc>
        <w:tc>
          <w:tcPr>
            <w:tcW w:type="dxa" w:w="34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Discounted (final) price</w:t>
            </w:r>
          </w:p>
        </w:tc>
      </w:tr>
      <w:tr>
        <w:tc>
          <w:tcPr>
            <w:tcW w:type="dxa" w:w="5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5</w:t>
            </w:r>
          </w:p>
        </w:tc>
        <w:tc>
          <w:tcPr>
            <w:tcW w:type="dxa" w:w="4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Relative weighting of relevance ranking signals</w:t>
            </w:r>
          </w:p>
        </w:tc>
        <w:tc>
          <w:tcPr>
            <w:tcW w:type="dxa" w:w="1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4.1</w:t>
            </w:r>
          </w:p>
        </w:tc>
        <w:tc>
          <w:tcPr>
            <w:tcW w:type="dxa" w:w="34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Text match + location dominant; reviews/reliability as secondary tie-breakers</w:t>
            </w:r>
          </w:p>
        </w:tc>
      </w:tr>
      <w:tr>
        <w:tc>
          <w:tcPr>
            <w:tcW w:type="dxa" w:w="5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6</w:t>
            </w:r>
          </w:p>
        </w:tc>
        <w:tc>
          <w:tcPr>
            <w:tcW w:type="dxa" w:w="4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Maximum cap on paid placement boost_factor</w:t>
            </w:r>
          </w:p>
        </w:tc>
        <w:tc>
          <w:tcPr>
            <w:tcW w:type="dxa" w:w="1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4.2</w:t>
            </w:r>
          </w:p>
        </w:tc>
        <w:tc>
          <w:tcPr>
            <w:tcW w:type="dxa" w:w="34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Illustrative ~2× ceiling on final_score relative to unboosted relevance_score</w:t>
            </w:r>
          </w:p>
        </w:tc>
      </w:tr>
      <w:tr>
        <w:tc>
          <w:tcPr>
            <w:tcW w:type="dxa" w:w="5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7</w:t>
            </w:r>
          </w:p>
        </w:tc>
        <w:tc>
          <w:tcPr>
            <w:tcW w:type="dxa" w:w="4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Reliability penalty threshold disqualifying paid placement</w:t>
            </w:r>
          </w:p>
        </w:tc>
        <w:tc>
          <w:tcPr>
            <w:tcW w:type="dxa" w:w="1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4.2</w:t>
            </w:r>
          </w:p>
        </w:tc>
        <w:tc>
          <w:tcPr>
            <w:tcW w:type="dxa" w:w="34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Not numerically specified — requires definition</w:t>
            </w:r>
          </w:p>
        </w:tc>
      </w:tr>
      <w:tr>
        <w:tc>
          <w:tcPr>
            <w:tcW w:type="dxa" w:w="5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8</w:t>
            </w:r>
          </w:p>
        </w:tc>
        <w:tc>
          <w:tcPr>
            <w:tcW w:type="dxa" w:w="4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Featured provider / specials curation mechanism</w:t>
            </w:r>
          </w:p>
        </w:tc>
        <w:tc>
          <w:tcPr>
            <w:tcW w:type="dxa" w:w="1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4.3</w:t>
            </w:r>
          </w:p>
        </w:tc>
        <w:tc>
          <w:tcPr>
            <w:tcW w:type="dxa" w:w="34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Not specified — manual vs. paid mechanism undecided</w:t>
            </w:r>
          </w:p>
        </w:tc>
      </w:tr>
    </w:tbl>
    <w:p>
      <w:pPr>
        <w:spacing w:after="160"/>
      </w:pPr>
      <w:r>
        <w:rPr>
          <w:b w:val="false"/>
          <w:bCs w:val="false"/>
          <w:i w:val="false"/>
          <w:iCs w:val="false"/>
        </w:rPr>
        <w:t xml:space="preserve">None of the defaults above should be treated as final by an implementing AI agent. Each shall be implemented as a configurable value (not a hardcoded constant) specifically so the business can set the real value, and adjust it later, without a code deployment — consistent with the configuration-driven approach already established in the PRD for the dynamic schema system.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780"/>
        <w:sz w:val="16"/>
        <w:szCs w:val="16"/>
      </w:rPr>
      <w:t xml:space="preserve">Page </w:t>
    </w:r>
    <w:r>
      <w:rPr>
        <w:color w:val="8887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780"/>
        <w:sz w:val="16"/>
        <w:szCs w:val="16"/>
      </w:rPr>
      <w:t xml:space="preserve">Providers platform — business logic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8"/>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2C2C2A"/>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44444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2026-06-19T18:14:19.732Z</dcterms:created>
  <dcterms:modified xsi:type="dcterms:W3CDTF">2026-06-19T18:14:19.732Z</dcterms:modified>
</cp:coreProperties>
</file>

<file path=docProps/custom.xml><?xml version="1.0" encoding="utf-8"?>
<Properties xmlns="http://schemas.openxmlformats.org/officeDocument/2006/custom-properties" xmlns:vt="http://schemas.openxmlformats.org/officeDocument/2006/docPropsVTypes"/>
</file>