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b w:val="1"/>
          <w:rtl w:val="0"/>
        </w:rPr>
        <w:t xml:space="preserve">Acteurs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Recensement des contraintes :</w:t>
      </w:r>
    </w:p>
    <w:p w:rsidP="00000000" w:rsidRPr="00000000" w:rsidR="00000000" w:rsidDel="00000000" w:rsidRDefault="00000000">
      <w:pPr>
        <w:pStyle w:val="Heading2"/>
        <w:numPr>
          <w:ilvl w:val="0"/>
          <w:numId w:val="3"/>
        </w:numPr>
        <w:ind w:left="720" w:hanging="359"/>
        <w:contextualSpacing w:val="1"/>
        <w:rPr>
          <w:u w:val="none"/>
        </w:rPr>
      </w:pPr>
      <w:bookmarkStart w:id="0" w:colFirst="0" w:name="h.29m87bbn5p85" w:colLast="0"/>
      <w:bookmarkEnd w:id="0"/>
      <w:r w:rsidRPr="00000000" w:rsidR="00000000" w:rsidDel="00000000">
        <w:rPr>
          <w:rtl w:val="0"/>
        </w:rPr>
        <w:t xml:space="preserve">Contraintes exprimées :</w:t>
      </w:r>
      <w:r w:rsidRPr="00000000" w:rsidR="00000000" w:rsidDel="00000000">
        <w:rPr>
          <w:rtl w:val="0"/>
        </w:rPr>
      </w:r>
    </w:p>
    <w:p w:rsidP="00000000" w:rsidRPr="00000000" w:rsidR="00000000" w:rsidDel="00000000" w:rsidRDefault="00000000">
      <w:pPr>
        <w:numPr>
          <w:ilvl w:val="1"/>
          <w:numId w:val="3"/>
        </w:numPr>
        <w:ind w:left="1440" w:hanging="359"/>
        <w:contextualSpacing w:val="1"/>
        <w:rPr>
          <w:b w:val="1"/>
        </w:rPr>
      </w:pPr>
      <w:r w:rsidRPr="00000000" w:rsidR="00000000" w:rsidDel="00000000">
        <w:rPr>
          <w:b w:val="1"/>
          <w:rtl w:val="0"/>
        </w:rPr>
        <w:t xml:space="preserve">Besoins techniques</w:t>
      </w:r>
    </w:p>
    <w:p w:rsidP="00000000" w:rsidRPr="00000000" w:rsidR="00000000" w:rsidDel="00000000" w:rsidRDefault="00000000">
      <w:pPr>
        <w:contextualSpacing w:val="0"/>
      </w:pPr>
      <w:r w:rsidRPr="00000000" w:rsidR="00000000" w:rsidDel="00000000">
        <w:rPr>
          <w:b w:val="1"/>
          <w:rtl w:val="0"/>
        </w:rPr>
        <w:t xml:space="preserve">Acteurs :</w:t>
      </w:r>
    </w:p>
    <w:p w:rsidP="00000000" w:rsidRPr="00000000" w:rsidR="00000000" w:rsidDel="00000000" w:rsidRDefault="00000000">
      <w:pPr>
        <w:numPr>
          <w:ilvl w:val="0"/>
          <w:numId w:val="2"/>
        </w:numPr>
        <w:spacing w:lineRule="auto" w:line="360"/>
        <w:ind w:left="1440" w:hanging="359"/>
        <w:contextualSpacing w:val="1"/>
        <w:rPr>
          <w:i w:val="1"/>
          <w:u w:val="none"/>
        </w:rPr>
      </w:pPr>
      <w:r w:rsidRPr="00000000" w:rsidR="00000000" w:rsidDel="00000000">
        <w:rPr>
          <w:i w:val="1"/>
          <w:rtl w:val="0"/>
        </w:rPr>
        <w:t xml:space="preserve">Courtiers :</w:t>
      </w:r>
    </w:p>
    <w:p w:rsidP="00000000" w:rsidRPr="00000000" w:rsidR="00000000" w:rsidDel="00000000" w:rsidRDefault="00000000">
      <w:pPr>
        <w:numPr>
          <w:ilvl w:val="0"/>
          <w:numId w:val="2"/>
        </w:numPr>
        <w:spacing w:lineRule="auto" w:line="360"/>
        <w:ind w:left="1440" w:hanging="359"/>
        <w:contextualSpacing w:val="1"/>
        <w:rPr>
          <w:u w:val="none"/>
        </w:rPr>
      </w:pPr>
      <w:r w:rsidRPr="00000000" w:rsidR="00000000" w:rsidDel="00000000">
        <w:rPr>
          <w:i w:val="1"/>
          <w:rtl w:val="0"/>
        </w:rPr>
        <w:t xml:space="preserve">Clients individuels:</w:t>
      </w:r>
      <w:r w:rsidRPr="00000000" w:rsidR="00000000" w:rsidDel="00000000">
        <w:rPr>
          <w:b w:val="1"/>
          <w:rtl w:val="0"/>
        </w:rPr>
        <w:t xml:space="preserve"> </w:t>
      </w:r>
      <w:r w:rsidRPr="00000000" w:rsidR="00000000" w:rsidDel="00000000">
        <w:rPr>
          <w:rtl w:val="0"/>
        </w:rPr>
        <w:t xml:space="preserve">Connexion avec des PC.</w:t>
      </w:r>
    </w:p>
    <w:p w:rsidP="00000000" w:rsidRPr="00000000" w:rsidR="00000000" w:rsidDel="00000000" w:rsidRDefault="00000000">
      <w:pPr>
        <w:numPr>
          <w:ilvl w:val="0"/>
          <w:numId w:val="2"/>
        </w:numPr>
        <w:spacing w:lineRule="auto" w:line="360"/>
        <w:ind w:left="1440" w:hanging="359"/>
        <w:contextualSpacing w:val="1"/>
        <w:rPr>
          <w:u w:val="none"/>
        </w:rPr>
      </w:pPr>
      <w:r w:rsidRPr="00000000" w:rsidR="00000000" w:rsidDel="00000000">
        <w:rPr>
          <w:i w:val="1"/>
          <w:rtl w:val="0"/>
        </w:rPr>
        <w:t xml:space="preserve">Clients mobiles :</w:t>
      </w:r>
      <w:r w:rsidRPr="00000000" w:rsidR="00000000" w:rsidDel="00000000">
        <w:rPr>
          <w:rtl w:val="0"/>
        </w:rPr>
        <w:t xml:space="preserve"> Clients légers avec connexion très rapide : accès direct aux cours.</w:t>
      </w:r>
    </w:p>
    <w:p w:rsidP="00000000" w:rsidRPr="00000000" w:rsidR="00000000" w:rsidDel="00000000" w:rsidRDefault="00000000">
      <w:pPr>
        <w:numPr>
          <w:ilvl w:val="0"/>
          <w:numId w:val="2"/>
        </w:numPr>
        <w:spacing w:lineRule="auto" w:line="360"/>
        <w:ind w:left="1440" w:hanging="359"/>
        <w:contextualSpacing w:val="1"/>
        <w:rPr>
          <w:u w:val="none"/>
        </w:rPr>
      </w:pPr>
      <w:r w:rsidRPr="00000000" w:rsidR="00000000" w:rsidDel="00000000">
        <w:rPr>
          <w:i w:val="1"/>
          <w:rtl w:val="0"/>
        </w:rPr>
        <w:t xml:space="preserve">“Gros clients” :</w:t>
      </w:r>
      <w:r w:rsidRPr="00000000" w:rsidR="00000000" w:rsidDel="00000000">
        <w:rPr>
          <w:rtl w:val="0"/>
        </w:rPr>
        <w:t xml:space="preserve"> Contrainte critique ; délai d'exécution des transaction.</w:t>
      </w:r>
      <w:r w:rsidRPr="00000000" w:rsidR="00000000" w:rsidDel="00000000">
        <w:rPr>
          <w:rtl w:val="0"/>
        </w:rPr>
      </w:r>
    </w:p>
    <w:p w:rsidP="00000000" w:rsidRPr="00000000" w:rsidR="00000000" w:rsidDel="00000000" w:rsidRDefault="00000000">
      <w:pPr>
        <w:numPr>
          <w:ilvl w:val="0"/>
          <w:numId w:val="2"/>
        </w:numPr>
        <w:spacing w:lineRule="auto" w:line="360"/>
        <w:ind w:left="1440" w:hanging="359"/>
        <w:contextualSpacing w:val="1"/>
        <w:rPr>
          <w:u w:val="none"/>
        </w:rPr>
      </w:pPr>
      <w:r w:rsidRPr="00000000" w:rsidR="00000000" w:rsidDel="00000000">
        <w:rPr>
          <w:i w:val="1"/>
          <w:rtl w:val="0"/>
        </w:rPr>
        <w:t xml:space="preserve">Clients traditionnels :</w:t>
      </w:r>
      <w:r w:rsidRPr="00000000" w:rsidR="00000000" w:rsidDel="00000000">
        <w:rPr>
          <w:rtl w:val="0"/>
        </w:rPr>
        <w:t xml:space="preserve"> pas de contraintes techniques, leurs transactions sont assurées a travers les agences régionales.</w:t>
      </w:r>
    </w:p>
    <w:p w:rsidP="00000000" w:rsidRPr="00000000" w:rsidR="00000000" w:rsidDel="00000000" w:rsidRDefault="00000000">
      <w:pPr>
        <w:numPr>
          <w:ilvl w:val="0"/>
          <w:numId w:val="2"/>
        </w:numPr>
        <w:spacing w:lineRule="auto" w:line="360"/>
        <w:ind w:left="1440" w:hanging="359"/>
        <w:contextualSpacing w:val="1"/>
        <w:rPr>
          <w:u w:val="none"/>
        </w:rPr>
      </w:pPr>
      <w:r w:rsidRPr="00000000" w:rsidR="00000000" w:rsidDel="00000000">
        <w:rPr>
          <w:i w:val="1"/>
          <w:rtl w:val="0"/>
        </w:rPr>
        <w:t xml:space="preserve">Les courtiers de la banque</w:t>
      </w:r>
      <w:r w:rsidRPr="00000000" w:rsidR="00000000" w:rsidDel="00000000">
        <w:rPr>
          <w:rtl w:val="0"/>
        </w:rPr>
        <w:t xml:space="preserve"> vont assurer les  transactions des clients traditionnels.</w:t>
      </w:r>
    </w:p>
    <w:p w:rsidP="00000000" w:rsidRPr="00000000" w:rsidR="00000000" w:rsidDel="00000000" w:rsidRDefault="00000000">
      <w:pPr>
        <w:numPr>
          <w:ilvl w:val="0"/>
          <w:numId w:val="2"/>
        </w:numPr>
        <w:spacing w:lineRule="auto" w:line="360"/>
        <w:ind w:left="1440" w:hanging="359"/>
        <w:contextualSpacing w:val="1"/>
        <w:rPr>
          <w:u w:val="none"/>
        </w:rPr>
      </w:pPr>
      <w:r w:rsidRPr="00000000" w:rsidR="00000000" w:rsidDel="00000000">
        <w:rPr>
          <w:i w:val="1"/>
          <w:rtl w:val="0"/>
        </w:rPr>
        <w:t xml:space="preserve">Agents “à la corbeille” :</w:t>
      </w:r>
      <w:r w:rsidRPr="00000000" w:rsidR="00000000" w:rsidDel="00000000">
        <w:rPr>
          <w:rtl w:val="0"/>
        </w:rPr>
        <w:t xml:space="preserve"> accès direct a la centrale.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1"/>
          <w:numId w:val="3"/>
        </w:numPr>
        <w:ind w:left="1440" w:hanging="359"/>
        <w:contextualSpacing w:val="1"/>
        <w:rPr>
          <w:b w:val="1"/>
        </w:rPr>
      </w:pPr>
      <w:r w:rsidRPr="00000000" w:rsidR="00000000" w:rsidDel="00000000">
        <w:rPr>
          <w:b w:val="1"/>
          <w:rtl w:val="0"/>
        </w:rPr>
        <w:t xml:space="preserve">Besoins métier</w:t>
      </w:r>
    </w:p>
    <w:p w:rsidP="00000000" w:rsidRPr="00000000" w:rsidR="00000000" w:rsidDel="00000000" w:rsidRDefault="00000000">
      <w:pPr>
        <w:numPr>
          <w:ilvl w:val="0"/>
          <w:numId w:val="4"/>
        </w:numPr>
        <w:ind w:left="1440" w:hanging="359"/>
        <w:contextualSpacing w:val="1"/>
        <w:rPr>
          <w:u w:val="none"/>
        </w:rPr>
      </w:pPr>
      <w:r w:rsidRPr="00000000" w:rsidR="00000000" w:rsidDel="00000000">
        <w:rPr>
          <w:rtl w:val="0"/>
        </w:rPr>
        <w:t xml:space="preserve">Fournir des outils d’aide a la décision.</w:t>
      </w:r>
    </w:p>
    <w:p w:rsidP="00000000" w:rsidRPr="00000000" w:rsidR="00000000" w:rsidDel="00000000" w:rsidRDefault="00000000">
      <w:pPr>
        <w:numPr>
          <w:ilvl w:val="1"/>
          <w:numId w:val="3"/>
        </w:numPr>
        <w:ind w:left="1440" w:hanging="359"/>
        <w:contextualSpacing w:val="1"/>
        <w:rPr>
          <w:b w:val="1"/>
        </w:rPr>
      </w:pPr>
      <w:r w:rsidRPr="00000000" w:rsidR="00000000" w:rsidDel="00000000">
        <w:rPr>
          <w:b w:val="1"/>
          <w:rtl w:val="0"/>
        </w:rPr>
        <w:t xml:space="preserve">Contraintes structurantes</w:t>
      </w:r>
    </w:p>
    <w:p w:rsidP="00000000" w:rsidRPr="00000000" w:rsidR="00000000" w:rsidDel="00000000" w:rsidRDefault="00000000">
      <w:pPr>
        <w:numPr>
          <w:ilvl w:val="2"/>
          <w:numId w:val="3"/>
        </w:numPr>
        <w:ind w:left="2160" w:hanging="359"/>
        <w:contextualSpacing w:val="1"/>
        <w:rPr>
          <w:b w:val="1"/>
        </w:rPr>
      </w:pPr>
      <w:r w:rsidRPr="00000000" w:rsidR="00000000" w:rsidDel="00000000">
        <w:rPr>
          <w:b w:val="1"/>
          <w:rtl w:val="0"/>
        </w:rPr>
        <w:t xml:space="preserve">Architecture centralisée répartie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1440" w:firstLine="0"/>
        <w:contextualSpacing w:val="0"/>
        <w:rPr/>
      </w:pPr>
      <w:r w:rsidRPr="00000000" w:rsidR="00000000" w:rsidDel="00000000">
        <w:rPr>
          <w:rtl w:val="0"/>
        </w:rPr>
        <w:t xml:space="preserve">Architecture répartie dans les agences régionales et locales qui est centralisée pour l’aspect Business Intelligence dans l’agence centrale.</w:t>
      </w:r>
    </w:p>
    <w:p w:rsidP="00000000" w:rsidRPr="00000000" w:rsidR="00000000" w:rsidDel="00000000" w:rsidRDefault="00000000">
      <w:pPr>
        <w:numPr>
          <w:ilvl w:val="0"/>
          <w:numId w:val="5"/>
        </w:numPr>
        <w:ind w:left="1440" w:hanging="359"/>
        <w:contextualSpacing w:val="1"/>
        <w:rPr>
          <w:u w:val="none"/>
        </w:rPr>
      </w:pPr>
      <w:r w:rsidRPr="00000000" w:rsidR="00000000" w:rsidDel="00000000">
        <w:rPr>
          <w:rtl w:val="0"/>
        </w:rPr>
        <w:t xml:space="preserve">Agence centrale (Paris) :</w:t>
      </w:r>
    </w:p>
    <w:p w:rsidP="00000000" w:rsidRPr="00000000" w:rsidR="00000000" w:rsidDel="00000000" w:rsidRDefault="00000000">
      <w:pPr>
        <w:numPr>
          <w:ilvl w:val="1"/>
          <w:numId w:val="5"/>
        </w:numPr>
        <w:ind w:left="2160" w:hanging="359"/>
        <w:contextualSpacing w:val="1"/>
        <w:rPr/>
      </w:pPr>
      <w:r w:rsidRPr="00000000" w:rsidR="00000000" w:rsidDel="00000000">
        <w:rPr>
          <w:u w:val="single"/>
          <w:rtl w:val="0"/>
        </w:rPr>
        <w:t xml:space="preserve">Reliée directement à la place de marché</w:t>
      </w:r>
      <w:r w:rsidRPr="00000000" w:rsidR="00000000" w:rsidDel="00000000">
        <w:rPr>
          <w:rtl w:val="0"/>
        </w:rPr>
      </w:r>
    </w:p>
    <w:p w:rsidP="00000000" w:rsidRPr="00000000" w:rsidR="00000000" w:rsidDel="00000000" w:rsidRDefault="00000000">
      <w:pPr>
        <w:numPr>
          <w:ilvl w:val="1"/>
          <w:numId w:val="5"/>
        </w:numPr>
        <w:ind w:left="2160" w:hanging="359"/>
        <w:contextualSpacing w:val="1"/>
        <w:rPr/>
      </w:pPr>
      <w:r w:rsidRPr="00000000" w:rsidR="00000000" w:rsidDel="00000000">
        <w:rPr>
          <w:rtl w:val="0"/>
        </w:rPr>
        <w:t xml:space="preserve">Obtenir les actualités du marché (carnets d’ordre)</w:t>
      </w:r>
    </w:p>
    <w:p w:rsidP="00000000" w:rsidRPr="00000000" w:rsidR="00000000" w:rsidDel="00000000" w:rsidRDefault="00000000">
      <w:pPr>
        <w:numPr>
          <w:ilvl w:val="1"/>
          <w:numId w:val="5"/>
        </w:numPr>
        <w:ind w:left="2160" w:hanging="359"/>
        <w:contextualSpacing w:val="1"/>
        <w:rPr/>
      </w:pPr>
      <w:r w:rsidRPr="00000000" w:rsidR="00000000" w:rsidDel="00000000">
        <w:rPr>
          <w:rtl w:val="0"/>
        </w:rPr>
        <w:t xml:space="preserve">Doit recevoir tous les ordres des agences régionales</w:t>
      </w:r>
    </w:p>
    <w:p w:rsidP="00000000" w:rsidRPr="00000000" w:rsidR="00000000" w:rsidDel="00000000" w:rsidRDefault="00000000">
      <w:pPr>
        <w:numPr>
          <w:ilvl w:val="1"/>
          <w:numId w:val="5"/>
        </w:numPr>
        <w:ind w:left="2160" w:hanging="359"/>
        <w:contextualSpacing w:val="1"/>
        <w:rPr/>
      </w:pPr>
      <w:r w:rsidRPr="00000000" w:rsidR="00000000" w:rsidDel="00000000">
        <w:rPr>
          <w:rtl w:val="0"/>
        </w:rPr>
        <w:t xml:space="preserve">Passe les ordres sur le marché</w:t>
      </w:r>
    </w:p>
    <w:p w:rsidP="00000000" w:rsidRPr="00000000" w:rsidR="00000000" w:rsidDel="00000000" w:rsidRDefault="00000000">
      <w:pPr>
        <w:numPr>
          <w:ilvl w:val="1"/>
          <w:numId w:val="5"/>
        </w:numPr>
        <w:ind w:left="2160" w:hanging="359"/>
        <w:contextualSpacing w:val="1"/>
        <w:rPr/>
      </w:pPr>
      <w:r w:rsidRPr="00000000" w:rsidR="00000000" w:rsidDel="00000000">
        <w:rPr>
          <w:rtl w:val="0"/>
        </w:rPr>
        <w:t xml:space="preserve">Mettre a jour le carnet d’ordres</w:t>
      </w:r>
    </w:p>
    <w:p w:rsidP="00000000" w:rsidRPr="00000000" w:rsidR="00000000" w:rsidDel="00000000" w:rsidRDefault="00000000">
      <w:pPr>
        <w:numPr>
          <w:ilvl w:val="1"/>
          <w:numId w:val="5"/>
        </w:numPr>
        <w:ind w:left="2160" w:hanging="359"/>
        <w:contextualSpacing w:val="1"/>
        <w:rPr/>
      </w:pPr>
      <w:r w:rsidRPr="00000000" w:rsidR="00000000" w:rsidDel="00000000">
        <w:rPr>
          <w:rtl w:val="0"/>
        </w:rPr>
        <w:t xml:space="preserve">Stocker les historiques d’ordres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5"/>
        </w:numPr>
        <w:ind w:left="1440" w:hanging="359"/>
        <w:contextualSpacing w:val="1"/>
        <w:rPr>
          <w:u w:val="none"/>
        </w:rPr>
      </w:pPr>
      <w:r w:rsidRPr="00000000" w:rsidR="00000000" w:rsidDel="00000000">
        <w:rPr>
          <w:rtl w:val="0"/>
        </w:rPr>
        <w:t xml:space="preserve">Agence régionales :</w:t>
      </w:r>
    </w:p>
    <w:p w:rsidP="00000000" w:rsidRPr="00000000" w:rsidR="00000000" w:rsidDel="00000000" w:rsidRDefault="00000000">
      <w:pPr>
        <w:numPr>
          <w:ilvl w:val="1"/>
          <w:numId w:val="5"/>
        </w:numPr>
        <w:ind w:left="2160" w:hanging="359"/>
        <w:contextualSpacing w:val="1"/>
        <w:rPr>
          <w:u w:val="none"/>
        </w:rPr>
      </w:pPr>
      <w:r w:rsidRPr="00000000" w:rsidR="00000000" w:rsidDel="00000000">
        <w:rPr>
          <w:rtl w:val="0"/>
        </w:rPr>
        <w:t xml:space="preserve">Reliée à l’agence central</w:t>
      </w:r>
    </w:p>
    <w:p w:rsidP="00000000" w:rsidRPr="00000000" w:rsidR="00000000" w:rsidDel="00000000" w:rsidRDefault="00000000">
      <w:pPr>
        <w:numPr>
          <w:ilvl w:val="1"/>
          <w:numId w:val="5"/>
        </w:numPr>
        <w:ind w:left="2160" w:hanging="359"/>
        <w:contextualSpacing w:val="1"/>
        <w:rPr>
          <w:u w:val="none"/>
        </w:rPr>
      </w:pPr>
      <w:r w:rsidRPr="00000000" w:rsidR="00000000" w:rsidDel="00000000">
        <w:rPr>
          <w:rtl w:val="0"/>
        </w:rPr>
        <w:t xml:space="preserve">Transmets les ordres à cette dernière.</w:t>
      </w:r>
    </w:p>
    <w:p w:rsidP="00000000" w:rsidRPr="00000000" w:rsidR="00000000" w:rsidDel="00000000" w:rsidRDefault="00000000">
      <w:pPr>
        <w:numPr>
          <w:ilvl w:val="0"/>
          <w:numId w:val="5"/>
        </w:numPr>
        <w:ind w:left="1440" w:hanging="359"/>
        <w:contextualSpacing w:val="1"/>
        <w:rPr>
          <w:u w:val="none"/>
        </w:rPr>
      </w:pPr>
      <w:r w:rsidRPr="00000000" w:rsidR="00000000" w:rsidDel="00000000">
        <w:rPr>
          <w:rtl w:val="0"/>
        </w:rPr>
        <w:t xml:space="preserve">Agence Locales :</w:t>
      </w:r>
    </w:p>
    <w:p w:rsidP="00000000" w:rsidRPr="00000000" w:rsidR="00000000" w:rsidDel="00000000" w:rsidRDefault="00000000">
      <w:pPr>
        <w:numPr>
          <w:ilvl w:val="1"/>
          <w:numId w:val="5"/>
        </w:numPr>
        <w:ind w:left="2160" w:hanging="359"/>
        <w:contextualSpacing w:val="1"/>
        <w:rPr/>
      </w:pPr>
      <w:r w:rsidRPr="00000000" w:rsidR="00000000" w:rsidDel="00000000">
        <w:rPr>
          <w:rtl w:val="0"/>
        </w:rPr>
        <w:t xml:space="preserve">***</w:t>
        <w:tab/>
        <w:t xml:space="preserve">Reliée à l’agence régionales </w:t>
      </w:r>
      <w:r w:rsidRPr="00000000" w:rsidR="00000000" w:rsidDel="00000000">
        <w:rPr>
          <w:u w:val="single"/>
          <w:rtl w:val="0"/>
        </w:rPr>
        <w:t xml:space="preserve">la plus proche. </w:t>
      </w:r>
      <w:r w:rsidRPr="00000000" w:rsidR="00000000" w:rsidDel="00000000">
        <w:rPr>
          <w:rtl w:val="0"/>
        </w:rPr>
        <w:t xml:space="preserve">(Définir les régions)</w:t>
      </w:r>
      <w:r w:rsidRPr="00000000" w:rsidR="00000000" w:rsidDel="00000000">
        <w:rPr>
          <w:rtl w:val="0"/>
        </w:rPr>
      </w:r>
    </w:p>
    <w:p w:rsidP="00000000" w:rsidRPr="00000000" w:rsidR="00000000" w:rsidDel="00000000" w:rsidRDefault="00000000">
      <w:pPr>
        <w:numPr>
          <w:ilvl w:val="1"/>
          <w:numId w:val="5"/>
        </w:numPr>
        <w:ind w:left="2160" w:hanging="359"/>
        <w:contextualSpacing w:val="1"/>
        <w:rPr/>
      </w:pPr>
      <w:r w:rsidRPr="00000000" w:rsidR="00000000" w:rsidDel="00000000">
        <w:rPr>
          <w:rtl w:val="0"/>
        </w:rPr>
        <w:t xml:space="preserve">Transmets les ordres à cette dernière.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2"/>
          <w:numId w:val="3"/>
        </w:numPr>
        <w:ind w:left="2160" w:hanging="359"/>
        <w:contextualSpacing w:val="1"/>
        <w:rPr>
          <w:b w:val="1"/>
        </w:rPr>
      </w:pPr>
      <w:r w:rsidRPr="00000000" w:rsidR="00000000" w:rsidDel="00000000">
        <w:rPr>
          <w:b w:val="1"/>
          <w:rtl w:val="0"/>
        </w:rPr>
        <w:t xml:space="preserve">Qualité de service</w:t>
      </w:r>
    </w:p>
    <w:p w:rsidP="00000000" w:rsidRPr="00000000" w:rsidR="00000000" w:rsidDel="00000000" w:rsidRDefault="00000000">
      <w:pPr>
        <w:ind w:left="1440" w:firstLine="0"/>
        <w:contextualSpacing w:val="0"/>
      </w:pPr>
      <w:r w:rsidRPr="00000000" w:rsidR="00000000" w:rsidDel="00000000">
        <w:rPr>
          <w:rtl w:val="0"/>
        </w:rPr>
        <w:t xml:space="preserve">Le service de passage d’ordres doit être assuré à tout moment lors des heures d’ouverture de la place financière.</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numPr>
          <w:ilvl w:val="0"/>
          <w:numId w:val="3"/>
        </w:numPr>
        <w:ind w:left="720" w:hanging="359"/>
        <w:contextualSpacing w:val="1"/>
        <w:rPr>
          <w:b w:val="1"/>
        </w:rPr>
      </w:pPr>
      <w:r w:rsidRPr="00000000" w:rsidR="00000000" w:rsidDel="00000000">
        <w:rPr>
          <w:b w:val="1"/>
          <w:sz w:val="26"/>
          <w:rtl w:val="0"/>
        </w:rPr>
        <w:t xml:space="preserve">Contraintes existantes :</w:t>
      </w:r>
    </w:p>
    <w:p w:rsidP="00000000" w:rsidRPr="00000000" w:rsidR="00000000" w:rsidDel="00000000" w:rsidRDefault="00000000">
      <w:pPr>
        <w:numPr>
          <w:ilvl w:val="1"/>
          <w:numId w:val="3"/>
        </w:numPr>
        <w:ind w:left="1440" w:hanging="359"/>
        <w:contextualSpacing w:val="1"/>
        <w:rPr>
          <w:b w:val="1"/>
        </w:rPr>
      </w:pPr>
      <w:r w:rsidRPr="00000000" w:rsidR="00000000" w:rsidDel="00000000">
        <w:rPr>
          <w:b w:val="1"/>
          <w:rtl w:val="0"/>
        </w:rPr>
        <w:t xml:space="preserve">Contraintes organisationnelles</w:t>
      </w:r>
    </w:p>
    <w:p w:rsidP="00000000" w:rsidRPr="00000000" w:rsidR="00000000" w:rsidDel="00000000" w:rsidRDefault="00000000">
      <w:pPr>
        <w:numPr>
          <w:ilvl w:val="1"/>
          <w:numId w:val="3"/>
        </w:numPr>
        <w:ind w:left="1440" w:hanging="359"/>
        <w:contextualSpacing w:val="1"/>
        <w:rPr>
          <w:b w:val="1"/>
        </w:rPr>
      </w:pPr>
      <w:r w:rsidRPr="00000000" w:rsidR="00000000" w:rsidDel="00000000">
        <w:rPr>
          <w:b w:val="1"/>
          <w:rtl w:val="0"/>
        </w:rPr>
        <w:t xml:space="preserve">Contraintes liées à l’environnement technique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ff0000"/>
          <w:sz w:val="24"/>
          <w:rtl w:val="0"/>
        </w:rPr>
        <w:t xml:space="preserve">Architecture applicative</w:t>
      </w:r>
    </w:p>
    <w:p w:rsidP="00000000" w:rsidRPr="00000000" w:rsidR="00000000" w:rsidDel="00000000" w:rsidRDefault="00000000">
      <w:pPr>
        <w:contextualSpacing w:val="0"/>
      </w:pPr>
      <w:r w:rsidRPr="00000000" w:rsidR="00000000" w:rsidDel="00000000">
        <w:rPr>
          <w:b w:val="1"/>
          <w:color w:val="1155cc"/>
          <w:u w:val="single"/>
          <w:rtl w:val="0"/>
        </w:rPr>
        <w:t xml:space="preserve">www.ksvali.com/wp-content/uploads/2009/08/fixed_income_trading_system_architecture.pdf</w:t>
      </w:r>
    </w:p>
    <w:p w:rsidP="00000000" w:rsidRPr="00000000" w:rsidR="00000000" w:rsidDel="00000000" w:rsidRDefault="00000000">
      <w:pPr>
        <w:contextualSpacing w:val="0"/>
      </w:pPr>
      <w:hyperlink r:id="rId5">
        <w:r w:rsidRPr="00000000" w:rsidR="00000000" w:rsidDel="00000000">
          <w:rPr>
            <w:b w:val="1"/>
            <w:color w:val="1155cc"/>
            <w:u w:val="single"/>
            <w:rtl w:val="0"/>
          </w:rPr>
          <w:t xml:space="preserve">http://www.cisco.com/web/strategy/docs/finance/TradingFlrArch110707.pdf</w:t>
        </w:r>
      </w:hyperlink>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1. Description fonctionnelle</w:t>
      </w:r>
    </w:p>
    <w:p w:rsidP="00000000" w:rsidRPr="00000000" w:rsidR="00000000" w:rsidDel="00000000" w:rsidRDefault="00000000">
      <w:pPr>
        <w:contextualSpacing w:val="0"/>
        <w:jc w:val="center"/>
      </w:pPr>
      <w:r w:rsidRPr="00000000" w:rsidR="00000000" w:rsidDel="00000000">
        <w:drawing>
          <wp:inline distR="114300" distT="114300" distB="114300" distL="114300">
            <wp:extent cy="3759200" cx="5943600"/>
            <wp:effectExtent t="0" b="0" r="0" l="0"/>
            <wp:docPr id="2" name="image00.png"/>
            <a:graphic>
              <a:graphicData uri="http://schemas.openxmlformats.org/drawingml/2006/picture">
                <pic:pic>
                  <pic:nvPicPr>
                    <pic:cNvPr id="0" name="image00.png"/>
                    <pic:cNvPicPr preferRelativeResize="0"/>
                  </pic:nvPicPr>
                  <pic:blipFill>
                    <a:blip r:embed="rId6"/>
                    <a:srcRect/>
                    <a:stretch>
                      <a:fillRect/>
                    </a:stretch>
                  </pic:blipFill>
                  <pic:spPr>
                    <a:xfrm>
                      <a:ext cy="37592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3 blocs applicatifs :</w:t>
      </w:r>
    </w:p>
    <w:p w:rsidP="00000000" w:rsidRPr="00000000" w:rsidR="00000000" w:rsidDel="00000000" w:rsidRDefault="00000000">
      <w:pPr>
        <w:contextualSpacing w:val="0"/>
      </w:pPr>
      <w:r w:rsidRPr="00000000" w:rsidR="00000000" w:rsidDel="00000000">
        <w:rPr>
          <w:rtl w:val="0"/>
        </w:rPr>
        <w:t xml:space="preserve">Architecture répartie dans les agences régionales et locales qui est centralisée pour l’aspect Business Intelligence dans l’agence centrale.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Description détaillée des blocs applicatifs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5"/>
        </w:numPr>
        <w:ind w:left="720" w:hanging="359"/>
        <w:contextualSpacing w:val="1"/>
        <w:rPr/>
      </w:pPr>
      <w:r w:rsidRPr="00000000" w:rsidR="00000000" w:rsidDel="00000000">
        <w:rPr>
          <w:rtl w:val="0"/>
        </w:rPr>
        <w:t xml:space="preserve">Agence centrale (Paris)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Exigences fonctionnelles:</w:t>
      </w:r>
    </w:p>
    <w:p w:rsidP="00000000" w:rsidRPr="00000000" w:rsidR="00000000" w:rsidDel="00000000" w:rsidRDefault="00000000">
      <w:pPr>
        <w:numPr>
          <w:ilvl w:val="1"/>
          <w:numId w:val="5"/>
        </w:numPr>
        <w:ind w:left="1440" w:hanging="359"/>
        <w:contextualSpacing w:val="1"/>
        <w:rPr/>
      </w:pPr>
      <w:r w:rsidRPr="00000000" w:rsidR="00000000" w:rsidDel="00000000">
        <w:rPr>
          <w:u w:val="single"/>
          <w:rtl w:val="0"/>
        </w:rPr>
        <w:t xml:space="preserve">Reliée directement à la place de marché</w:t>
      </w:r>
      <w:r w:rsidRPr="00000000" w:rsidR="00000000" w:rsidDel="00000000">
        <w:rPr>
          <w:rtl w:val="0"/>
        </w:rPr>
      </w:r>
    </w:p>
    <w:p w:rsidP="00000000" w:rsidRPr="00000000" w:rsidR="00000000" w:rsidDel="00000000" w:rsidRDefault="00000000">
      <w:pPr>
        <w:numPr>
          <w:ilvl w:val="1"/>
          <w:numId w:val="5"/>
        </w:numPr>
        <w:ind w:left="1440" w:hanging="359"/>
        <w:contextualSpacing w:val="1"/>
        <w:rPr/>
      </w:pPr>
      <w:r w:rsidRPr="00000000" w:rsidR="00000000" w:rsidDel="00000000">
        <w:rPr>
          <w:rtl w:val="0"/>
        </w:rPr>
        <w:t xml:space="preserve">Obtenir les actualités du marché (carnets d’ordre)</w:t>
      </w:r>
    </w:p>
    <w:p w:rsidP="00000000" w:rsidRPr="00000000" w:rsidR="00000000" w:rsidDel="00000000" w:rsidRDefault="00000000">
      <w:pPr>
        <w:numPr>
          <w:ilvl w:val="1"/>
          <w:numId w:val="5"/>
        </w:numPr>
        <w:ind w:left="1440" w:hanging="359"/>
        <w:contextualSpacing w:val="1"/>
        <w:rPr/>
      </w:pPr>
      <w:r w:rsidRPr="00000000" w:rsidR="00000000" w:rsidDel="00000000">
        <w:rPr>
          <w:rtl w:val="0"/>
        </w:rPr>
        <w:t xml:space="preserve">Doit recevoir tous les ordres des agences régionales</w:t>
      </w:r>
    </w:p>
    <w:p w:rsidP="00000000" w:rsidRPr="00000000" w:rsidR="00000000" w:rsidDel="00000000" w:rsidRDefault="00000000">
      <w:pPr>
        <w:numPr>
          <w:ilvl w:val="1"/>
          <w:numId w:val="5"/>
        </w:numPr>
        <w:ind w:left="1440" w:hanging="359"/>
        <w:contextualSpacing w:val="1"/>
        <w:rPr/>
      </w:pPr>
      <w:r w:rsidRPr="00000000" w:rsidR="00000000" w:rsidDel="00000000">
        <w:rPr>
          <w:rtl w:val="0"/>
        </w:rPr>
        <w:t xml:space="preserve">Passe les ordres sur le marché</w:t>
      </w:r>
    </w:p>
    <w:p w:rsidP="00000000" w:rsidRPr="00000000" w:rsidR="00000000" w:rsidDel="00000000" w:rsidRDefault="00000000">
      <w:pPr>
        <w:numPr>
          <w:ilvl w:val="1"/>
          <w:numId w:val="5"/>
        </w:numPr>
        <w:ind w:left="1440" w:hanging="359"/>
        <w:contextualSpacing w:val="1"/>
        <w:rPr/>
      </w:pPr>
      <w:r w:rsidRPr="00000000" w:rsidR="00000000" w:rsidDel="00000000">
        <w:rPr>
          <w:rtl w:val="0"/>
        </w:rPr>
        <w:t xml:space="preserve">Mettre a jour le carnet d’ordres</w:t>
      </w:r>
    </w:p>
    <w:p w:rsidP="00000000" w:rsidRPr="00000000" w:rsidR="00000000" w:rsidDel="00000000" w:rsidRDefault="00000000">
      <w:pPr>
        <w:numPr>
          <w:ilvl w:val="1"/>
          <w:numId w:val="5"/>
        </w:numPr>
        <w:ind w:left="1440" w:hanging="359"/>
        <w:contextualSpacing w:val="1"/>
        <w:rPr/>
      </w:pPr>
      <w:r w:rsidRPr="00000000" w:rsidR="00000000" w:rsidDel="00000000">
        <w:rPr>
          <w:rtl w:val="0"/>
        </w:rPr>
        <w:t xml:space="preserve">Stocker les historiques d’ordres</w:t>
      </w:r>
    </w:p>
    <w:p w:rsidP="00000000" w:rsidRPr="00000000" w:rsidR="00000000" w:rsidDel="00000000" w:rsidRDefault="00000000">
      <w:pPr>
        <w:numPr>
          <w:ilvl w:val="1"/>
          <w:numId w:val="5"/>
        </w:numPr>
        <w:spacing w:lineRule="auto" w:after="160" w:line="280"/>
        <w:ind w:left="1440" w:hanging="359"/>
        <w:contextualSpacing w:val="1"/>
        <w:rPr>
          <w:sz w:val="18"/>
          <w:highlight w:val="white"/>
        </w:rPr>
      </w:pPr>
      <w:r w:rsidRPr="00000000" w:rsidR="00000000" w:rsidDel="00000000">
        <w:rPr>
          <w:b w:val="1"/>
          <w:color w:val="980165"/>
          <w:sz w:val="18"/>
          <w:highlight w:val="white"/>
          <w:rtl w:val="0"/>
        </w:rPr>
        <w:t xml:space="preserve">Le Carnet d'ordres</w:t>
      </w:r>
    </w:p>
    <w:p w:rsidP="00000000" w:rsidRPr="00000000" w:rsidR="00000000" w:rsidDel="00000000" w:rsidRDefault="00000000">
      <w:pPr>
        <w:numPr>
          <w:ilvl w:val="1"/>
          <w:numId w:val="5"/>
        </w:numPr>
        <w:spacing w:lineRule="auto" w:after="400" w:line="340"/>
        <w:ind w:left="2160" w:hanging="359"/>
        <w:contextualSpacing w:val="1"/>
        <w:rPr>
          <w:sz w:val="18"/>
          <w:highlight w:val="white"/>
        </w:rPr>
      </w:pPr>
      <w:r w:rsidRPr="00000000" w:rsidR="00000000" w:rsidDel="00000000">
        <w:rPr>
          <w:sz w:val="18"/>
          <w:highlight w:val="white"/>
          <w:rtl w:val="0"/>
        </w:rPr>
        <w:t xml:space="preserve">Le Carnet d'ordres propose les 5 meilleures limites à l'achat et à la vente sur un titre ainsi que le nombre d'actions et d'ordres positionnés à chaque niveau. Dans un respect réglementaire, Boursorama diffuse sur son site visiteur/membre le carnet d'ordre décalé de 15 minutes.</w:t>
      </w:r>
    </w:p>
    <w:p w:rsidP="00000000" w:rsidRPr="00000000" w:rsidR="00000000" w:rsidDel="00000000" w:rsidRDefault="00000000">
      <w:pPr>
        <w:numPr>
          <w:ilvl w:val="1"/>
          <w:numId w:val="5"/>
        </w:numPr>
        <w:spacing w:lineRule="auto" w:after="400" w:line="340"/>
        <w:ind w:left="2160" w:hanging="359"/>
        <w:contextualSpacing w:val="1"/>
        <w:rPr>
          <w:sz w:val="18"/>
          <w:highlight w:val="white"/>
        </w:rPr>
      </w:pPr>
      <w:r w:rsidRPr="00000000" w:rsidR="00000000" w:rsidDel="00000000">
        <w:rPr>
          <w:sz w:val="18"/>
          <w:highlight w:val="white"/>
          <w:rtl w:val="0"/>
        </w:rPr>
        <w:t xml:space="preserve">Boursorama vous propose également un indicateur permettant d'identifier de façon plus facile la tendance du carnet d'ordre (achat ou vente) en affichant où se situe l'équilibre entre l'ensemble des titres à la vente et à l'achat. Ainsi, si la ligne verte de l'indicateur est plus longue que la ligne rouge, cela signifie que la quantité de titres à l'achat est supérieure à celle à la vente.</w:t>
      </w:r>
    </w:p>
    <w:p w:rsidP="00000000" w:rsidRPr="00000000" w:rsidR="00000000" w:rsidDel="00000000" w:rsidRDefault="00000000">
      <w:pPr>
        <w:numPr>
          <w:ilvl w:val="1"/>
          <w:numId w:val="5"/>
        </w:numPr>
        <w:spacing w:lineRule="auto" w:after="160" w:line="280"/>
        <w:ind w:left="1440" w:hanging="359"/>
        <w:contextualSpacing w:val="1"/>
        <w:rPr>
          <w:sz w:val="18"/>
          <w:highlight w:val="white"/>
        </w:rPr>
      </w:pPr>
      <w:r w:rsidRPr="00000000" w:rsidR="00000000" w:rsidDel="00000000">
        <w:rPr>
          <w:b w:val="1"/>
          <w:color w:val="980165"/>
          <w:sz w:val="18"/>
          <w:highlight w:val="white"/>
          <w:rtl w:val="0"/>
        </w:rPr>
        <w:t xml:space="preserve">Bid &amp; Ask</w:t>
      </w:r>
    </w:p>
    <w:p w:rsidP="00000000" w:rsidRPr="00000000" w:rsidR="00000000" w:rsidDel="00000000" w:rsidRDefault="00000000">
      <w:pPr>
        <w:numPr>
          <w:ilvl w:val="1"/>
          <w:numId w:val="5"/>
        </w:numPr>
        <w:spacing w:lineRule="auto" w:after="400" w:line="340"/>
        <w:ind w:left="2160" w:hanging="359"/>
        <w:contextualSpacing w:val="1"/>
        <w:rPr>
          <w:sz w:val="18"/>
          <w:highlight w:val="white"/>
        </w:rPr>
      </w:pPr>
      <w:r w:rsidRPr="00000000" w:rsidR="00000000" w:rsidDel="00000000">
        <w:rPr>
          <w:sz w:val="18"/>
          <w:highlight w:val="white"/>
          <w:rtl w:val="0"/>
        </w:rPr>
        <w:t xml:space="preserve">Le Bid and Ask (ou fourchette de cotation) représente la fourchette de prix achat-vente fournie en continu par les émetteurs. Les émetteurs partenaires fournissent un prix à l'achat et à la vente de façon continue et pendant les mêmes horaires d'ouverture que sur le marché réglementé de NYSE Euronext.</w:t>
      </w:r>
    </w:p>
    <w:p w:rsidP="00000000" w:rsidRPr="00000000" w:rsidR="00000000" w:rsidDel="00000000" w:rsidRDefault="00000000">
      <w:pPr>
        <w:spacing w:lineRule="auto" w:after="400" w:line="340"/>
        <w:contextualSpacing w:val="0"/>
      </w:pPr>
      <w:r w:rsidRPr="00000000" w:rsidR="00000000" w:rsidDel="00000000">
        <w:rPr>
          <w:b w:val="1"/>
          <w:i w:val="1"/>
          <w:highlight w:val="white"/>
          <w:rtl w:val="0"/>
        </w:rPr>
        <w:t xml:space="preserve">Exigences techniques:</w:t>
      </w:r>
    </w:p>
    <w:p w:rsidP="00000000" w:rsidRPr="00000000" w:rsidR="00000000" w:rsidDel="00000000" w:rsidRDefault="00000000">
      <w:pPr>
        <w:spacing w:lineRule="auto" w:after="400" w:line="340"/>
        <w:contextualSpacing w:val="0"/>
      </w:pPr>
      <w:r w:rsidRPr="00000000" w:rsidR="00000000" w:rsidDel="00000000">
        <w:rPr>
          <w:b w:val="1"/>
          <w:i w:val="1"/>
          <w:highlight w:val="white"/>
          <w:rtl w:val="0"/>
        </w:rPr>
        <w:tab/>
      </w:r>
      <w:r w:rsidRPr="00000000" w:rsidR="00000000" w:rsidDel="00000000">
        <w:rPr>
          <w:highlight w:val="white"/>
          <w:rtl w:val="0"/>
        </w:rPr>
        <w:t xml:space="preserve">Haute disponibilité, supervision</w:t>
      </w:r>
    </w:p>
    <w:p w:rsidP="00000000" w:rsidRPr="00000000" w:rsidR="00000000" w:rsidDel="00000000" w:rsidRDefault="00000000">
      <w:pPr>
        <w:spacing w:lineRule="auto" w:after="400" w:line="340"/>
        <w:contextualSpacing w:val="0"/>
      </w:pPr>
      <w:r w:rsidRPr="00000000" w:rsidR="00000000" w:rsidDel="00000000">
        <w:rPr>
          <w:highlight w:val="white"/>
          <w:rtl w:val="0"/>
        </w:rPr>
        <w:t xml:space="preserve">Développement spécifique.</w:t>
      </w:r>
    </w:p>
    <w:p w:rsidP="00000000" w:rsidRPr="00000000" w:rsidR="00000000" w:rsidDel="00000000" w:rsidRDefault="00000000">
      <w:pPr>
        <w:pStyle w:val="Heading1"/>
        <w:spacing w:lineRule="auto" w:line="240"/>
        <w:contextualSpacing w:val="0"/>
        <w:rPr/>
      </w:pPr>
      <w:bookmarkStart w:id="1" w:colFirst="0" w:name="h.1eerv2chm9eu" w:colLast="0"/>
      <w:bookmarkEnd w:id="1"/>
      <w:r w:rsidRPr="00000000" w:rsidR="00000000" w:rsidDel="00000000">
        <w:rPr>
          <w:sz w:val="22"/>
          <w:highlight w:val="white"/>
          <w:rtl w:val="0"/>
        </w:rPr>
        <w:t xml:space="preserve">Matériel </w:t>
      </w:r>
      <w:r w:rsidRPr="00000000" w:rsidR="00000000" w:rsidDel="00000000">
        <w:rPr>
          <w:highlight w:val="white"/>
          <w:rtl w:val="0"/>
        </w:rPr>
        <w:t xml:space="preserve">: </w:t>
      </w:r>
      <w:r w:rsidRPr="00000000" w:rsidR="00000000" w:rsidDel="00000000">
        <w:rPr>
          <w:sz w:val="22"/>
          <w:highlight w:val="white"/>
          <w:rtl w:val="0"/>
        </w:rPr>
        <w:t xml:space="preserve">IBM </w:t>
      </w:r>
      <w:r w:rsidRPr="00000000" w:rsidR="00000000" w:rsidDel="00000000">
        <w:rPr>
          <w:rFonts w:cs="Arial" w:hAnsi="Arial" w:eastAsia="Arial" w:ascii="Arial"/>
          <w:sz w:val="20"/>
          <w:highlight w:val="white"/>
          <w:rtl w:val="0"/>
        </w:rPr>
        <w:t xml:space="preserve">CICS Transaction Server</w:t>
      </w:r>
    </w:p>
    <w:p w:rsidP="00000000" w:rsidRPr="00000000" w:rsidR="00000000" w:rsidDel="00000000" w:rsidRDefault="00000000">
      <w:pPr>
        <w:spacing w:lineRule="auto" w:after="400" w:line="340"/>
        <w:contextualSpacing w:val="0"/>
      </w:pPr>
      <w:r w:rsidRPr="00000000" w:rsidR="00000000" w:rsidDel="00000000">
        <w:rPr>
          <w:rtl w:val="0"/>
        </w:rPr>
      </w:r>
    </w:p>
    <w:p w:rsidP="00000000" w:rsidRPr="00000000" w:rsidR="00000000" w:rsidDel="00000000" w:rsidRDefault="00000000">
      <w:pPr>
        <w:spacing w:lineRule="auto" w:after="400" w:line="340"/>
        <w:contextualSpacing w:val="0"/>
      </w:pPr>
      <w:r w:rsidRPr="00000000" w:rsidR="00000000" w:rsidDel="00000000">
        <w:rPr>
          <w:highlight w:val="white"/>
          <w:rtl w:val="0"/>
        </w:rPr>
        <w:t xml:space="preserve">Système : Linux / Z</w:t>
      </w:r>
    </w:p>
    <w:p w:rsidP="00000000" w:rsidRPr="00000000" w:rsidR="00000000" w:rsidDel="00000000" w:rsidRDefault="00000000">
      <w:pPr>
        <w:numPr>
          <w:ilvl w:val="0"/>
          <w:numId w:val="5"/>
        </w:numPr>
        <w:ind w:left="720" w:hanging="359"/>
        <w:contextualSpacing w:val="1"/>
        <w:rPr/>
      </w:pPr>
      <w:r w:rsidRPr="00000000" w:rsidR="00000000" w:rsidDel="00000000">
        <w:rPr>
          <w:rtl w:val="0"/>
        </w:rPr>
        <w:t xml:space="preserve">Agence régionales :</w:t>
      </w:r>
    </w:p>
    <w:p w:rsidP="00000000" w:rsidRPr="00000000" w:rsidR="00000000" w:rsidDel="00000000" w:rsidRDefault="00000000">
      <w:pPr>
        <w:numPr>
          <w:ilvl w:val="1"/>
          <w:numId w:val="5"/>
        </w:numPr>
        <w:ind w:left="1440" w:hanging="359"/>
        <w:contextualSpacing w:val="1"/>
        <w:rPr/>
      </w:pPr>
      <w:r w:rsidRPr="00000000" w:rsidR="00000000" w:rsidDel="00000000">
        <w:rPr>
          <w:rtl w:val="0"/>
        </w:rPr>
        <w:t xml:space="preserve">Reliée à l’agence central</w:t>
      </w:r>
    </w:p>
    <w:p w:rsidP="00000000" w:rsidRPr="00000000" w:rsidR="00000000" w:rsidDel="00000000" w:rsidRDefault="00000000">
      <w:pPr>
        <w:numPr>
          <w:ilvl w:val="1"/>
          <w:numId w:val="5"/>
        </w:numPr>
        <w:ind w:left="1440" w:hanging="359"/>
        <w:contextualSpacing w:val="1"/>
        <w:rPr/>
      </w:pPr>
      <w:r w:rsidRPr="00000000" w:rsidR="00000000" w:rsidDel="00000000">
        <w:rPr>
          <w:rtl w:val="0"/>
        </w:rPr>
        <w:t xml:space="preserve">Transmets les ordres à cette dernière.</w:t>
      </w:r>
    </w:p>
    <w:p w:rsidP="00000000" w:rsidRPr="00000000" w:rsidR="00000000" w:rsidDel="00000000" w:rsidRDefault="00000000">
      <w:pPr>
        <w:numPr>
          <w:ilvl w:val="0"/>
          <w:numId w:val="5"/>
        </w:numPr>
        <w:ind w:left="720" w:hanging="359"/>
        <w:contextualSpacing w:val="1"/>
        <w:rPr/>
      </w:pPr>
      <w:r w:rsidRPr="00000000" w:rsidR="00000000" w:rsidDel="00000000">
        <w:rPr>
          <w:rtl w:val="0"/>
        </w:rPr>
        <w:t xml:space="preserve">Agence Locales :</w:t>
      </w:r>
    </w:p>
    <w:p w:rsidP="00000000" w:rsidRPr="00000000" w:rsidR="00000000" w:rsidDel="00000000" w:rsidRDefault="00000000">
      <w:pPr>
        <w:numPr>
          <w:ilvl w:val="1"/>
          <w:numId w:val="5"/>
        </w:numPr>
        <w:ind w:left="1440" w:hanging="359"/>
        <w:contextualSpacing w:val="1"/>
        <w:rPr/>
      </w:pPr>
      <w:r w:rsidRPr="00000000" w:rsidR="00000000" w:rsidDel="00000000">
        <w:rPr>
          <w:rtl w:val="0"/>
        </w:rPr>
        <w:t xml:space="preserve">***</w:t>
        <w:tab/>
        <w:t xml:space="preserve">Reliée à l’agence régionales </w:t>
      </w:r>
      <w:r w:rsidRPr="00000000" w:rsidR="00000000" w:rsidDel="00000000">
        <w:rPr>
          <w:u w:val="single"/>
          <w:rtl w:val="0"/>
        </w:rPr>
        <w:t xml:space="preserve">la plus proche. </w:t>
      </w:r>
      <w:r w:rsidRPr="00000000" w:rsidR="00000000" w:rsidDel="00000000">
        <w:rPr>
          <w:rtl w:val="0"/>
        </w:rPr>
        <w:t xml:space="preserve">(Définir les régions)</w:t>
      </w:r>
    </w:p>
    <w:p w:rsidP="00000000" w:rsidRPr="00000000" w:rsidR="00000000" w:rsidDel="00000000" w:rsidRDefault="00000000">
      <w:pPr>
        <w:numPr>
          <w:ilvl w:val="1"/>
          <w:numId w:val="5"/>
        </w:numPr>
        <w:ind w:left="1440" w:hanging="359"/>
        <w:contextualSpacing w:val="1"/>
        <w:rPr/>
      </w:pPr>
      <w:r w:rsidRPr="00000000" w:rsidR="00000000" w:rsidDel="00000000">
        <w:rPr>
          <w:rtl w:val="0"/>
        </w:rPr>
        <w:t xml:space="preserve">Transmets les ordres à cette dernière.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2. Cartographie applicative des flux</w:t>
      </w:r>
    </w:p>
    <w:p w:rsidP="00000000" w:rsidRPr="00000000" w:rsidR="00000000" w:rsidDel="00000000" w:rsidRDefault="00000000">
      <w:pPr>
        <w:contextualSpacing w:val="0"/>
      </w:pPr>
      <w:r w:rsidRPr="00000000" w:rsidR="00000000" w:rsidDel="00000000">
        <w:drawing>
          <wp:inline distR="114300" distT="114300" distB="114300" distL="114300">
            <wp:extent cy="3638550" cx="6610350"/>
            <wp:effectExtent t="0" b="0" r="0" l="0"/>
            <wp:docPr id="1" name="image01.png"/>
            <a:graphic>
              <a:graphicData uri="http://schemas.openxmlformats.org/drawingml/2006/picture">
                <pic:pic>
                  <pic:nvPicPr>
                    <pic:cNvPr id="0" name="image01.png"/>
                    <pic:cNvPicPr preferRelativeResize="0"/>
                  </pic:nvPicPr>
                  <pic:blipFill>
                    <a:blip r:embed="rId7"/>
                    <a:srcRect/>
                    <a:stretch>
                      <a:fillRect/>
                    </a:stretch>
                  </pic:blipFill>
                  <pic:spPr>
                    <a:xfrm>
                      <a:ext cy="3638550" cx="66103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3. Matrice des flux</w:t>
      </w:r>
    </w:p>
    <w:p w:rsidP="00000000" w:rsidRPr="00000000" w:rsidR="00000000" w:rsidDel="00000000" w:rsidRDefault="00000000">
      <w:pPr>
        <w:numPr>
          <w:ilvl w:val="0"/>
          <w:numId w:val="1"/>
        </w:numPr>
        <w:spacing w:lineRule="auto" w:after="160" w:line="280" w:before="0"/>
        <w:ind w:left="720" w:right="0" w:hanging="359"/>
        <w:contextualSpacing w:val="1"/>
        <w:jc w:val="left"/>
        <w:rPr>
          <w:u w:val="none"/>
        </w:rPr>
      </w:pPr>
      <w:r w:rsidRPr="00000000" w:rsidR="00000000" w:rsidDel="00000000">
        <w:rPr>
          <w:b w:val="1"/>
          <w:sz w:val="24"/>
          <w:rtl w:val="0"/>
        </w:rPr>
        <w:t xml:space="preserve">“</w:t>
      </w:r>
      <w:hyperlink r:id="rId8">
        <w:r w:rsidRPr="00000000" w:rsidR="00000000" w:rsidDel="00000000">
          <w:rPr>
            <w:rtl w:val="0"/>
          </w:rPr>
          <w:t xml:space="preserve">Trading applications trade-offs : Databases and low-latency</w:t>
        </w:r>
      </w:hyperlink>
      <w:r w:rsidRPr="00000000" w:rsidR="00000000" w:rsidDel="00000000">
        <w:rPr>
          <w:rtl w:val="0"/>
        </w:rPr>
      </w:r>
    </w:p>
    <w:p w:rsidP="00000000" w:rsidRPr="00000000" w:rsidR="00000000" w:rsidDel="00000000" w:rsidRDefault="00000000">
      <w:pPr>
        <w:numPr>
          <w:ilvl w:val="1"/>
          <w:numId w:val="5"/>
        </w:numPr>
        <w:spacing w:lineRule="auto" w:after="160" w:line="280" w:before="0"/>
        <w:ind w:left="1440" w:right="0" w:hanging="359"/>
        <w:contextualSpacing w:val="1"/>
        <w:jc w:val="left"/>
        <w:rPr>
          <w:sz w:val="18"/>
          <w:highlight w:val="white"/>
        </w:rPr>
      </w:pPr>
      <w:r w:rsidRPr="00000000" w:rsidR="00000000" w:rsidDel="00000000">
        <w:rPr>
          <w:rtl w:val="0"/>
        </w:rPr>
        <w:t xml:space="preserve">Caching: Cache the rules in your application, so you don't need to hit the database for every trade</w:t>
      </w:r>
    </w:p>
    <w:p w:rsidP="00000000" w:rsidRPr="00000000" w:rsidR="00000000" w:rsidDel="00000000" w:rsidRDefault="00000000">
      <w:pPr>
        <w:numPr>
          <w:ilvl w:val="1"/>
          <w:numId w:val="5"/>
        </w:numPr>
        <w:spacing w:lineRule="auto" w:after="160" w:line="280" w:before="0"/>
        <w:ind w:left="1440" w:right="0" w:hanging="359"/>
        <w:contextualSpacing w:val="1"/>
        <w:jc w:val="left"/>
        <w:rPr>
          <w:sz w:val="18"/>
          <w:highlight w:val="white"/>
        </w:rPr>
      </w:pPr>
      <w:r w:rsidRPr="00000000" w:rsidR="00000000" w:rsidDel="00000000">
        <w:rPr>
          <w:rtl w:val="0"/>
        </w:rPr>
        <w:t xml:space="preserve">Threading: Put the code that stores the transaction data in the database into another thread. Like this, you can route the trade to the exchange immediately and safe the data in the database parallel to that.”</w:t>
      </w: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4. Cinématique représnetative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ff0000"/>
          <w:sz w:val="24"/>
          <w:rtl w:val="0"/>
        </w:rPr>
        <w:t xml:space="preserve">Architecture logicielle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1. Modèle d’architecture </w:t>
      </w:r>
    </w:p>
    <w:p w:rsidP="00000000" w:rsidRPr="00000000" w:rsidR="00000000" w:rsidDel="00000000" w:rsidRDefault="00000000">
      <w:pPr>
        <w:contextualSpacing w:val="0"/>
      </w:pPr>
      <w:r w:rsidRPr="00000000" w:rsidR="00000000" w:rsidDel="00000000">
        <w:rPr>
          <w:b w:val="1"/>
          <w:sz w:val="24"/>
          <w:rtl w:val="0"/>
        </w:rPr>
        <w:tab/>
      </w:r>
      <w:r w:rsidRPr="00000000" w:rsidR="00000000" w:rsidDel="00000000">
        <w:rPr>
          <w:rtl w:val="0"/>
        </w:rPr>
        <w:t xml:space="preserve">Définir pour chaque blocs applicatifs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2. Motifs de conception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3. Outils utilisés : Librairies, composants, frameworks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ff0000"/>
          <w:sz w:val="24"/>
          <w:rtl w:val="0"/>
        </w:rPr>
        <w:t xml:space="preserve">Architecture technique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Ce que Philippe a raconté à la fin du cours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Courtier : La banque fournit aux courtiers un système clef-en-mains à ses clients (d’autres banques) qu’ils pourront offrir à leur propre clientèle. 2 solutions extrêmes soit on mutualise notre architecture soit on propose à chaque courtier un architecture séparée. Bah il faut justement trouver un compromis non? c’est ce qu’il disait non? oui. Ah d’accord.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Agent à la corbeille : Salariés de notre banque qui place de l’argent qu’on lui confie selon une stratégie contractée par un client friqué. Il doit être averti de tout changement du carnet d’ordre et doit pouvoir réagir le plus rapidement possible.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Clients traditionnels (mamie) : Envoie un recommandé avec accusé de réception pour qu’on opère pour eux selon leurs demandes</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6"/><Relationship Target="http://www.cisco.com/web/strategy/docs/finance/TradingFlrArch110707.pdf" Type="http://schemas.openxmlformats.org/officeDocument/2006/relationships/hyperlink" TargetMode="External" Id="rId5"/><Relationship Target="http://stackoverflow.com/questions/7281391/trading-applications-trade-offs-databases-and-low-latency" Type="http://schemas.openxmlformats.org/officeDocument/2006/relationships/hyperlink" TargetMode="External" Id="rId8"/><Relationship Target="media/image01.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 - Plateforme d'ordre boursiers.docx</dc:title>
</cp:coreProperties>
</file>