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C7E3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Executive Summary — Consumer Credit Risk &amp; Customer Stress Analytics</w:t>
      </w:r>
    </w:p>
    <w:p w14:paraId="426C4853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Objective</w:t>
      </w:r>
    </w:p>
    <w:p w14:paraId="0450CFDB" w14:textId="374EF8C9" w:rsidR="0028354D" w:rsidRPr="0028354D" w:rsidRDefault="0028354D" w:rsidP="0028354D">
      <w:p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Develop an analytics solution that helps risk teams identify portfolio concentration, detect emerging borrower stress, and use customer complaints as an early-warning signal using SQL for data modeling and Tableau for executive dashboards.</w:t>
      </w:r>
    </w:p>
    <w:p w14:paraId="2B42AE12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Key Findings</w:t>
      </w:r>
    </w:p>
    <w:p w14:paraId="381CB424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Portfolio Risk &amp; Behavior</w:t>
      </w:r>
    </w:p>
    <w:p w14:paraId="4037AD7B" w14:textId="77777777" w:rsidR="0028354D" w:rsidRPr="0028354D" w:rsidRDefault="0028354D" w:rsidP="002835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Total Q1 exposure analyzed: $163M, with 19.3% classified high-risk at origination.</w:t>
      </w:r>
    </w:p>
    <w:p w14:paraId="330730CF" w14:textId="77777777" w:rsidR="0028354D" w:rsidRPr="0028354D" w:rsidRDefault="0028354D" w:rsidP="002835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Behavioral indicators (late payments &amp; utilization) remain elevated relative to pricing, suggesting risk is more behavior-driven than rate-driven.</w:t>
      </w:r>
    </w:p>
    <w:p w14:paraId="35E848F8" w14:textId="77777777" w:rsidR="0028354D" w:rsidRPr="0028354D" w:rsidRDefault="0028354D" w:rsidP="002835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High-risk exposure is stable but gradually increasing, indicating quietly building pressure rather than sudden shocks.</w:t>
      </w:r>
    </w:p>
    <w:p w14:paraId="2B442EC8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Product &amp; Segment Concentration</w:t>
      </w:r>
    </w:p>
    <w:p w14:paraId="71C37C94" w14:textId="77777777" w:rsidR="0028354D" w:rsidRPr="0028354D" w:rsidRDefault="0028354D" w:rsidP="002835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Debt consolidation loans dominate exposure and show the highest high-risk rate (~52%).</w:t>
      </w:r>
    </w:p>
    <w:p w14:paraId="738F365E" w14:textId="77777777" w:rsidR="0028354D" w:rsidRPr="0028354D" w:rsidRDefault="0028354D" w:rsidP="002835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Credit cards represent a large volume but exhibit more predictable performance compared to consolidation loans.</w:t>
      </w:r>
    </w:p>
    <w:p w14:paraId="5825B70C" w14:textId="77777777" w:rsidR="0028354D" w:rsidRPr="0028354D" w:rsidRDefault="0028354D" w:rsidP="002835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Risk is disproportionately concentrated in lower-income borrowers and Grades E–G, though higher-income borrowers are not risk-free.</w:t>
      </w:r>
    </w:p>
    <w:p w14:paraId="39EC2DC9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Customer Complaints as Stress Signals</w:t>
      </w:r>
    </w:p>
    <w:p w14:paraId="34A55D79" w14:textId="77777777" w:rsidR="0028354D" w:rsidRPr="0028354D" w:rsidRDefault="0028354D" w:rsidP="002835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Complaint levels remain structurally higher compared to earlier periods.</w:t>
      </w:r>
    </w:p>
    <w:p w14:paraId="46FFC28C" w14:textId="77777777" w:rsidR="0028354D" w:rsidRPr="0028354D" w:rsidRDefault="0028354D" w:rsidP="002835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The most recent period shows -85.2% MoM, likely caused by operational backlog clearing rather than permanent improvement.</w:t>
      </w:r>
    </w:p>
    <w:p w14:paraId="5CD75BA9" w14:textId="77777777" w:rsidR="0028354D" w:rsidRPr="0028354D" w:rsidRDefault="0028354D" w:rsidP="002835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Credit cards account for ~29% of complaints, indicating significant service friction.</w:t>
      </w:r>
    </w:p>
    <w:p w14:paraId="6C1E0D80" w14:textId="1C707C92" w:rsidR="0028354D" w:rsidRPr="0028354D" w:rsidRDefault="0028354D" w:rsidP="002835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Complaint intensity patterns closely mirror segments with higher credit risk reinforcing complaints as a leading indicator.</w:t>
      </w:r>
    </w:p>
    <w:p w14:paraId="57F8D02C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Interpretation &amp; Business Implications</w:t>
      </w:r>
    </w:p>
    <w:p w14:paraId="7F571EBE" w14:textId="77777777" w:rsidR="0028354D" w:rsidRPr="0028354D" w:rsidRDefault="0028354D" w:rsidP="002835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 xml:space="preserve">Risk exposure appears to originate </w:t>
      </w:r>
      <w:proofErr w:type="gramStart"/>
      <w:r w:rsidRPr="0028354D">
        <w:rPr>
          <w:rFonts w:ascii="Times New Roman" w:hAnsi="Times New Roman" w:cs="Times New Roman"/>
        </w:rPr>
        <w:t>at</w:t>
      </w:r>
      <w:proofErr w:type="gramEnd"/>
      <w:r w:rsidRPr="0028354D">
        <w:rPr>
          <w:rFonts w:ascii="Times New Roman" w:hAnsi="Times New Roman" w:cs="Times New Roman"/>
        </w:rPr>
        <w:t xml:space="preserve"> underwriting, rather than being primarily macro-driven.</w:t>
      </w:r>
    </w:p>
    <w:p w14:paraId="4C435B67" w14:textId="77777777" w:rsidR="0028354D" w:rsidRPr="0028354D" w:rsidRDefault="0028354D" w:rsidP="002835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Portfolio exposure is concentrated in a few consumer-heavy categories, creating sensitivity to downturns.</w:t>
      </w:r>
    </w:p>
    <w:p w14:paraId="4F166C56" w14:textId="77777777" w:rsidR="0028354D" w:rsidRPr="0028354D" w:rsidRDefault="0028354D" w:rsidP="002835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lastRenderedPageBreak/>
        <w:t xml:space="preserve">Pricing </w:t>
      </w:r>
      <w:proofErr w:type="gramStart"/>
      <w:r w:rsidRPr="0028354D">
        <w:rPr>
          <w:rFonts w:ascii="Times New Roman" w:hAnsi="Times New Roman" w:cs="Times New Roman"/>
        </w:rPr>
        <w:t>in</w:t>
      </w:r>
      <w:proofErr w:type="gramEnd"/>
      <w:r w:rsidRPr="0028354D">
        <w:rPr>
          <w:rFonts w:ascii="Times New Roman" w:hAnsi="Times New Roman" w:cs="Times New Roman"/>
        </w:rPr>
        <w:t xml:space="preserve"> certain products does not fully compensate for the level of borrower risk.</w:t>
      </w:r>
    </w:p>
    <w:p w14:paraId="2A470AFE" w14:textId="7F2C1B1A" w:rsidR="0028354D" w:rsidRPr="0028354D" w:rsidRDefault="0028354D" w:rsidP="002835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Persistent complaint levels signal operational strain which often precedes delinquency increases.</w:t>
      </w:r>
    </w:p>
    <w:p w14:paraId="027D6D65" w14:textId="77777777" w:rsidR="0028354D" w:rsidRPr="0028354D" w:rsidRDefault="0028354D" w:rsidP="0028354D">
      <w:p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Together, the dashboards show that:</w:t>
      </w:r>
    </w:p>
    <w:p w14:paraId="78B66178" w14:textId="135BF198" w:rsidR="0028354D" w:rsidRPr="0028354D" w:rsidRDefault="0028354D" w:rsidP="0028354D">
      <w:p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 xml:space="preserve">Risk concentrates </w:t>
      </w:r>
      <w:proofErr w:type="gramStart"/>
      <w:r w:rsidRPr="0028354D">
        <w:rPr>
          <w:rFonts w:ascii="Times New Roman" w:hAnsi="Times New Roman" w:cs="Times New Roman"/>
        </w:rPr>
        <w:t>in</w:t>
      </w:r>
      <w:proofErr w:type="gramEnd"/>
      <w:r w:rsidRPr="0028354D">
        <w:rPr>
          <w:rFonts w:ascii="Times New Roman" w:hAnsi="Times New Roman" w:cs="Times New Roman"/>
        </w:rPr>
        <w:t xml:space="preserve"> specific borrower and product segments, and service complaints reveal early stress before defaults appear.</w:t>
      </w:r>
    </w:p>
    <w:p w14:paraId="07C6440A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Recommendations</w:t>
      </w:r>
    </w:p>
    <w:p w14:paraId="5C2CE875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proofErr w:type="gramStart"/>
      <w:r w:rsidRPr="0028354D">
        <w:rPr>
          <w:rFonts w:ascii="Times New Roman" w:hAnsi="Times New Roman" w:cs="Times New Roman"/>
          <w:b/>
          <w:bCs/>
        </w:rPr>
        <w:t>Strengthen</w:t>
      </w:r>
      <w:proofErr w:type="gramEnd"/>
      <w:r w:rsidRPr="0028354D">
        <w:rPr>
          <w:rFonts w:ascii="Times New Roman" w:hAnsi="Times New Roman" w:cs="Times New Roman"/>
          <w:b/>
          <w:bCs/>
        </w:rPr>
        <w:t xml:space="preserve"> Credit Controls</w:t>
      </w:r>
    </w:p>
    <w:p w14:paraId="41DEAC84" w14:textId="77777777" w:rsidR="0028354D" w:rsidRPr="0028354D" w:rsidRDefault="0028354D" w:rsidP="002835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Tighten criteria for Grades E–G and low-income borrowers.</w:t>
      </w:r>
    </w:p>
    <w:p w14:paraId="168D1FE5" w14:textId="77777777" w:rsidR="0028354D" w:rsidRPr="0028354D" w:rsidRDefault="0028354D" w:rsidP="002835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Introduce enhanced behavioral scoring and monitoring at origination.</w:t>
      </w:r>
    </w:p>
    <w:p w14:paraId="3F0D42CC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Rebalance Portfolio Exposure</w:t>
      </w:r>
    </w:p>
    <w:p w14:paraId="7AC86532" w14:textId="77777777" w:rsidR="0028354D" w:rsidRPr="0028354D" w:rsidRDefault="0028354D" w:rsidP="002835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Set exposure caps for heavily concentrated product lines.</w:t>
      </w:r>
    </w:p>
    <w:p w14:paraId="74DF2E3D" w14:textId="77777777" w:rsidR="0028354D" w:rsidRPr="0028354D" w:rsidRDefault="0028354D" w:rsidP="002835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Diversify toward lower-volatility segments.</w:t>
      </w:r>
    </w:p>
    <w:p w14:paraId="30FDDCC3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Align Pricing &amp; Risk</w:t>
      </w:r>
    </w:p>
    <w:p w14:paraId="160AEF65" w14:textId="77777777" w:rsidR="0028354D" w:rsidRPr="0028354D" w:rsidRDefault="0028354D" w:rsidP="0028354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Reassess rate strategy where loss risk consistently exceeds portfolio averages.</w:t>
      </w:r>
    </w:p>
    <w:p w14:paraId="3C8EC544" w14:textId="77777777" w:rsidR="0028354D" w:rsidRPr="0028354D" w:rsidRDefault="0028354D" w:rsidP="0028354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Introduce tighter risk-based pricing adjustments.</w:t>
      </w:r>
    </w:p>
    <w:p w14:paraId="4C3297CC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Improve Servicing &amp; Complaint Management</w:t>
      </w:r>
    </w:p>
    <w:p w14:paraId="4BF63BA2" w14:textId="77777777" w:rsidR="0028354D" w:rsidRPr="0028354D" w:rsidRDefault="0028354D" w:rsidP="0028354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Perform root-cause analysis on credit-card complaint workflows (billing disputes, limits, processing delays).</w:t>
      </w:r>
    </w:p>
    <w:p w14:paraId="405A9D7A" w14:textId="77777777" w:rsidR="0028354D" w:rsidRPr="0028354D" w:rsidRDefault="0028354D" w:rsidP="0028354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Integrate complaints into monthly risk committee monitoring.</w:t>
      </w:r>
    </w:p>
    <w:p w14:paraId="6F58332D" w14:textId="7EC06E1A" w:rsidR="0028354D" w:rsidRPr="0028354D" w:rsidRDefault="0028354D" w:rsidP="0028354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Treat sharp MoM drops cautiously validate before declaring improvement.</w:t>
      </w:r>
    </w:p>
    <w:p w14:paraId="25B027BB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Ongoing Monitoring</w:t>
      </w:r>
    </w:p>
    <w:p w14:paraId="71F0F770" w14:textId="77777777" w:rsidR="0028354D" w:rsidRPr="0028354D" w:rsidRDefault="0028354D" w:rsidP="0028354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Automate dashboard refresh as a monthly “Early Warning Pack”.</w:t>
      </w:r>
    </w:p>
    <w:p w14:paraId="05CD788C" w14:textId="01592342" w:rsidR="0028354D" w:rsidRPr="0028354D" w:rsidRDefault="0028354D" w:rsidP="0028354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Track risk + complaints + macro indicators together to anticipate deterioration earlier.</w:t>
      </w:r>
    </w:p>
    <w:p w14:paraId="36964D28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t>Tools &amp; Methods Used</w:t>
      </w:r>
    </w:p>
    <w:p w14:paraId="3F1AB725" w14:textId="77777777" w:rsidR="0028354D" w:rsidRPr="0028354D" w:rsidRDefault="0028354D" w:rsidP="0028354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  <w:b/>
          <w:bCs/>
        </w:rPr>
        <w:t>SQL:</w:t>
      </w:r>
      <w:r w:rsidRPr="0028354D">
        <w:rPr>
          <w:rFonts w:ascii="Times New Roman" w:hAnsi="Times New Roman" w:cs="Times New Roman"/>
        </w:rPr>
        <w:t xml:space="preserve"> schema design, aggregation views, complaint normalization</w:t>
      </w:r>
    </w:p>
    <w:p w14:paraId="7EF0E872" w14:textId="77777777" w:rsidR="0028354D" w:rsidRPr="0028354D" w:rsidRDefault="0028354D" w:rsidP="0028354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  <w:b/>
          <w:bCs/>
        </w:rPr>
        <w:t>Tableau:</w:t>
      </w:r>
      <w:r w:rsidRPr="0028354D">
        <w:rPr>
          <w:rFonts w:ascii="Times New Roman" w:hAnsi="Times New Roman" w:cs="Times New Roman"/>
        </w:rPr>
        <w:t xml:space="preserve"> KPI dashboards, segmentation visuals, LOD + table calcs</w:t>
      </w:r>
    </w:p>
    <w:p w14:paraId="083CE391" w14:textId="7FA1581F" w:rsidR="0028354D" w:rsidRPr="0028354D" w:rsidRDefault="0028354D" w:rsidP="0028354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  <w:b/>
          <w:bCs/>
        </w:rPr>
        <w:t>Business Analytics:</w:t>
      </w:r>
      <w:r w:rsidRPr="0028354D">
        <w:rPr>
          <w:rFonts w:ascii="Times New Roman" w:hAnsi="Times New Roman" w:cs="Times New Roman"/>
        </w:rPr>
        <w:t xml:space="preserve"> risk framing, KPI definitions, executive reporting</w:t>
      </w:r>
    </w:p>
    <w:p w14:paraId="22F2E30E" w14:textId="77777777" w:rsidR="0028354D" w:rsidRPr="0028354D" w:rsidRDefault="0028354D" w:rsidP="0028354D">
      <w:pPr>
        <w:rPr>
          <w:rFonts w:ascii="Times New Roman" w:hAnsi="Times New Roman" w:cs="Times New Roman"/>
          <w:b/>
          <w:bCs/>
        </w:rPr>
      </w:pPr>
      <w:r w:rsidRPr="0028354D">
        <w:rPr>
          <w:rFonts w:ascii="Times New Roman" w:hAnsi="Times New Roman" w:cs="Times New Roman"/>
          <w:b/>
          <w:bCs/>
        </w:rPr>
        <w:lastRenderedPageBreak/>
        <w:t>Conclusion</w:t>
      </w:r>
    </w:p>
    <w:p w14:paraId="5AFD5E76" w14:textId="1B709705" w:rsidR="0028354D" w:rsidRPr="0028354D" w:rsidRDefault="0028354D" w:rsidP="0028354D">
      <w:pPr>
        <w:rPr>
          <w:rFonts w:ascii="Times New Roman" w:hAnsi="Times New Roman" w:cs="Times New Roman"/>
        </w:rPr>
      </w:pPr>
      <w:r w:rsidRPr="0028354D">
        <w:rPr>
          <w:rFonts w:ascii="Times New Roman" w:hAnsi="Times New Roman" w:cs="Times New Roman"/>
        </w:rPr>
        <w:t>This project demonstrates how combining portfolio metrics, segmentation analysis, and customer complaint patterns provides a practical framework for detecting risk before delinquencies increase supporting smarter underwriting, pricing, and servicing decisions.</w:t>
      </w:r>
    </w:p>
    <w:p w14:paraId="451DAE8E" w14:textId="77777777" w:rsidR="0028354D" w:rsidRPr="0028354D" w:rsidRDefault="0028354D" w:rsidP="0028354D">
      <w:pPr>
        <w:rPr>
          <w:rFonts w:ascii="Times New Roman" w:hAnsi="Times New Roman" w:cs="Times New Roman"/>
        </w:rPr>
      </w:pPr>
    </w:p>
    <w:p w14:paraId="7DAC790D" w14:textId="77777777" w:rsidR="00402478" w:rsidRPr="0028354D" w:rsidRDefault="00402478">
      <w:pPr>
        <w:rPr>
          <w:rFonts w:ascii="Times New Roman" w:hAnsi="Times New Roman" w:cs="Times New Roman"/>
        </w:rPr>
      </w:pPr>
    </w:p>
    <w:sectPr w:rsidR="00402478" w:rsidRPr="00283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709F"/>
    <w:multiLevelType w:val="multilevel"/>
    <w:tmpl w:val="C51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51DD2"/>
    <w:multiLevelType w:val="multilevel"/>
    <w:tmpl w:val="96E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666DA"/>
    <w:multiLevelType w:val="multilevel"/>
    <w:tmpl w:val="2D8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E727D"/>
    <w:multiLevelType w:val="multilevel"/>
    <w:tmpl w:val="C91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573DD"/>
    <w:multiLevelType w:val="multilevel"/>
    <w:tmpl w:val="607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C5D30"/>
    <w:multiLevelType w:val="multilevel"/>
    <w:tmpl w:val="963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D0082"/>
    <w:multiLevelType w:val="multilevel"/>
    <w:tmpl w:val="543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4067A"/>
    <w:multiLevelType w:val="multilevel"/>
    <w:tmpl w:val="5FE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E5997"/>
    <w:multiLevelType w:val="multilevel"/>
    <w:tmpl w:val="769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84984"/>
    <w:multiLevelType w:val="multilevel"/>
    <w:tmpl w:val="21E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72702">
    <w:abstractNumId w:val="0"/>
  </w:num>
  <w:num w:numId="2" w16cid:durableId="1485005962">
    <w:abstractNumId w:val="5"/>
  </w:num>
  <w:num w:numId="3" w16cid:durableId="2019960343">
    <w:abstractNumId w:val="4"/>
  </w:num>
  <w:num w:numId="4" w16cid:durableId="1418939472">
    <w:abstractNumId w:val="9"/>
  </w:num>
  <w:num w:numId="5" w16cid:durableId="793057292">
    <w:abstractNumId w:val="6"/>
  </w:num>
  <w:num w:numId="6" w16cid:durableId="1056664153">
    <w:abstractNumId w:val="3"/>
  </w:num>
  <w:num w:numId="7" w16cid:durableId="688336253">
    <w:abstractNumId w:val="1"/>
  </w:num>
  <w:num w:numId="8" w16cid:durableId="805464567">
    <w:abstractNumId w:val="2"/>
  </w:num>
  <w:num w:numId="9" w16cid:durableId="1954239782">
    <w:abstractNumId w:val="8"/>
  </w:num>
  <w:num w:numId="10" w16cid:durableId="12941396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4D"/>
    <w:rsid w:val="00281453"/>
    <w:rsid w:val="0028354D"/>
    <w:rsid w:val="00402478"/>
    <w:rsid w:val="00A159E3"/>
    <w:rsid w:val="00A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9FD1"/>
  <w15:chartTrackingRefBased/>
  <w15:docId w15:val="{79D442BC-AD70-4355-AEE9-8A4DE866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2025-12-25T01:35:00Z</dcterms:created>
  <dcterms:modified xsi:type="dcterms:W3CDTF">2025-12-25T01:49:00Z</dcterms:modified>
</cp:coreProperties>
</file>