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1F2A" w14:textId="77777777" w:rsidR="00A53D8A" w:rsidRPr="00A53D8A" w:rsidRDefault="00A53D8A" w:rsidP="00A53D8A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A53D8A">
        <w:rPr>
          <w:rFonts w:ascii="Times New Roman" w:hAnsi="Times New Roman" w:cs="Times New Roman"/>
          <w:b/>
          <w:bCs/>
        </w:rPr>
        <w:t>Provisional KPIs Mapped to Business Hypotheses</w:t>
      </w:r>
    </w:p>
    <w:p w14:paraId="210B7942" w14:textId="77777777" w:rsidR="00A53D8A" w:rsidRPr="00A53D8A" w:rsidRDefault="00A53D8A" w:rsidP="00A53D8A">
      <w:pPr>
        <w:spacing w:line="240" w:lineRule="auto"/>
        <w:jc w:val="center"/>
        <w:rPr>
          <w:rFonts w:ascii="Times New Roman" w:hAnsi="Times New Roman" w:cs="Times New Roman"/>
          <w:i/>
          <w:iCs/>
        </w:rPr>
      </w:pPr>
      <w:r w:rsidRPr="00A53D8A">
        <w:rPr>
          <w:rFonts w:ascii="Times New Roman" w:hAnsi="Times New Roman" w:cs="Times New Roman"/>
          <w:b/>
          <w:bCs/>
        </w:rPr>
        <w:t>Status:</w:t>
      </w:r>
      <w:r w:rsidRPr="00A53D8A">
        <w:rPr>
          <w:rFonts w:ascii="Times New Roman" w:hAnsi="Times New Roman" w:cs="Times New Roman"/>
        </w:rPr>
        <w:t xml:space="preserve"> </w:t>
      </w:r>
      <w:r w:rsidRPr="00A53D8A">
        <w:rPr>
          <w:rFonts w:ascii="Times New Roman" w:hAnsi="Times New Roman" w:cs="Times New Roman"/>
          <w:i/>
          <w:iCs/>
        </w:rPr>
        <w:t>Draft (to be validated against data reality)</w:t>
      </w:r>
    </w:p>
    <w:p w14:paraId="622890A4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  <w:b/>
          <w:bCs/>
        </w:rPr>
      </w:pPr>
      <w:r w:rsidRPr="00A53D8A">
        <w:rPr>
          <w:rFonts w:ascii="Times New Roman" w:hAnsi="Times New Roman" w:cs="Times New Roman"/>
          <w:b/>
          <w:bCs/>
        </w:rPr>
        <w:t>H1 — Macroeconomic Stress Hypothesis</w:t>
      </w:r>
    </w:p>
    <w:p w14:paraId="4941DE89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Rising unemployment and inflation are associated with increased credit-risk exposure.</w:t>
      </w:r>
    </w:p>
    <w:p w14:paraId="7F030A61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  <w:b/>
          <w:bCs/>
        </w:rPr>
      </w:pPr>
      <w:r w:rsidRPr="00A53D8A">
        <w:rPr>
          <w:rFonts w:ascii="Times New Roman" w:hAnsi="Times New Roman" w:cs="Times New Roman"/>
          <w:b/>
          <w:bCs/>
        </w:rPr>
        <w:t>Provisional KPIs</w:t>
      </w:r>
    </w:p>
    <w:p w14:paraId="32B2188F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Portfolio-Level</w:t>
      </w:r>
    </w:p>
    <w:p w14:paraId="75650062" w14:textId="77777777" w:rsidR="00A53D8A" w:rsidRPr="00A53D8A" w:rsidRDefault="00A53D8A" w:rsidP="00A53D8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Total Active Loan Exposure</w:t>
      </w:r>
    </w:p>
    <w:p w14:paraId="3ECCB905" w14:textId="77777777" w:rsidR="00A53D8A" w:rsidRPr="00A53D8A" w:rsidRDefault="00A53D8A" w:rsidP="00A53D8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High-Risk Loan Exposure (%)</w:t>
      </w:r>
    </w:p>
    <w:p w14:paraId="4EE2D3C0" w14:textId="77777777" w:rsidR="00A53D8A" w:rsidRPr="00A53D8A" w:rsidRDefault="00A53D8A" w:rsidP="00A53D8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Average Borrower Interest Rate</w:t>
      </w:r>
    </w:p>
    <w:p w14:paraId="6EE24BE8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Macroeconomic Indicators</w:t>
      </w:r>
    </w:p>
    <w:p w14:paraId="7A86F758" w14:textId="77777777" w:rsidR="00A53D8A" w:rsidRPr="00A53D8A" w:rsidRDefault="00A53D8A" w:rsidP="00A53D8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Unemployment Rate (monthly)</w:t>
      </w:r>
    </w:p>
    <w:p w14:paraId="26CBD2BF" w14:textId="77777777" w:rsidR="00A53D8A" w:rsidRPr="00A53D8A" w:rsidRDefault="00A53D8A" w:rsidP="00A53D8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Inflation Rate (CPI, monthly)</w:t>
      </w:r>
    </w:p>
    <w:p w14:paraId="7460B2E3" w14:textId="77777777" w:rsidR="00A53D8A" w:rsidRPr="00A53D8A" w:rsidRDefault="00A53D8A" w:rsidP="00A53D8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Federal Funds Rate</w:t>
      </w:r>
    </w:p>
    <w:p w14:paraId="3CBBB5F0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Derived Analytics Metrics</w:t>
      </w:r>
    </w:p>
    <w:p w14:paraId="083F7B41" w14:textId="77777777" w:rsidR="00A53D8A" w:rsidRPr="00A53D8A" w:rsidRDefault="00A53D8A" w:rsidP="00A53D8A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Risk Exposure during High-Unemployment Periods</w:t>
      </w:r>
    </w:p>
    <w:p w14:paraId="06680F89" w14:textId="77777777" w:rsidR="00A53D8A" w:rsidRPr="00A53D8A" w:rsidRDefault="00A53D8A" w:rsidP="00A53D8A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Risk Exposure during High-Inflation Periods</w:t>
      </w:r>
    </w:p>
    <w:p w14:paraId="6128A09B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Decision Supported</w:t>
      </w:r>
    </w:p>
    <w:p w14:paraId="6EA65018" w14:textId="77777777" w:rsidR="00A53D8A" w:rsidRPr="00A53D8A" w:rsidRDefault="00A53D8A" w:rsidP="00A53D8A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Increase monitoring during macro stress periods</w:t>
      </w:r>
    </w:p>
    <w:p w14:paraId="3DC5D601" w14:textId="4218840F" w:rsidR="00A53D8A" w:rsidRPr="00A53D8A" w:rsidRDefault="00A53D8A" w:rsidP="00A53D8A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Adjust risk appetite thresholds</w:t>
      </w:r>
    </w:p>
    <w:p w14:paraId="69AFABEB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  <w:b/>
          <w:bCs/>
        </w:rPr>
      </w:pPr>
      <w:r w:rsidRPr="00A53D8A">
        <w:rPr>
          <w:rFonts w:ascii="Times New Roman" w:hAnsi="Times New Roman" w:cs="Times New Roman"/>
          <w:b/>
          <w:bCs/>
        </w:rPr>
        <w:t>H2 — Interest Rate Sensitivity Hypothesis</w:t>
      </w:r>
    </w:p>
    <w:p w14:paraId="1363421F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Loans originated during higher-rate periods exhibit higher risk concentration.</w:t>
      </w:r>
    </w:p>
    <w:p w14:paraId="61EC5A61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  <w:b/>
          <w:bCs/>
        </w:rPr>
      </w:pPr>
      <w:r w:rsidRPr="00A53D8A">
        <w:rPr>
          <w:rFonts w:ascii="Times New Roman" w:hAnsi="Times New Roman" w:cs="Times New Roman"/>
          <w:b/>
          <w:bCs/>
        </w:rPr>
        <w:t>Provisional KPIs</w:t>
      </w:r>
    </w:p>
    <w:p w14:paraId="43542124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Origination Metrics</w:t>
      </w:r>
    </w:p>
    <w:p w14:paraId="0D883D1F" w14:textId="77777777" w:rsidR="00A53D8A" w:rsidRPr="00A53D8A" w:rsidRDefault="00A53D8A" w:rsidP="00A53D8A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Average Interest Rate at Origination</w:t>
      </w:r>
    </w:p>
    <w:p w14:paraId="3E9D75F9" w14:textId="77777777" w:rsidR="00A53D8A" w:rsidRPr="00A53D8A" w:rsidRDefault="00A53D8A" w:rsidP="00A53D8A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Loan Count by Rate Band</w:t>
      </w:r>
    </w:p>
    <w:p w14:paraId="39C3B5A3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Risk Indicators</w:t>
      </w:r>
    </w:p>
    <w:p w14:paraId="241C0270" w14:textId="77777777" w:rsidR="00A53D8A" w:rsidRPr="00A53D8A" w:rsidRDefault="00A53D8A" w:rsidP="00A53D8A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High-Risk Loan % by Rate Band</w:t>
      </w:r>
    </w:p>
    <w:p w14:paraId="61963C75" w14:textId="77777777" w:rsidR="00A53D8A" w:rsidRPr="00A53D8A" w:rsidRDefault="00A53D8A" w:rsidP="00A53D8A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Risk-Weighted Exposure by Origination Period</w:t>
      </w:r>
    </w:p>
    <w:p w14:paraId="5B9A3011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Derived Metrics</w:t>
      </w:r>
    </w:p>
    <w:p w14:paraId="4532D4AB" w14:textId="77777777" w:rsidR="00A53D8A" w:rsidRPr="00A53D8A" w:rsidRDefault="00A53D8A" w:rsidP="00A53D8A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Exposure Share of High-Rate-Originated Loans</w:t>
      </w:r>
    </w:p>
    <w:p w14:paraId="4A156B74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lastRenderedPageBreak/>
        <w:t>Decision Supported</w:t>
      </w:r>
    </w:p>
    <w:p w14:paraId="32C817FC" w14:textId="77777777" w:rsidR="00A53D8A" w:rsidRPr="00A53D8A" w:rsidRDefault="00A53D8A" w:rsidP="00A53D8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Tighten underwriting during high-rate cycles</w:t>
      </w:r>
    </w:p>
    <w:p w14:paraId="3E217F52" w14:textId="51BD79F4" w:rsidR="00A53D8A" w:rsidRPr="00A53D8A" w:rsidRDefault="00A53D8A" w:rsidP="00A53D8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Adjust pricing strategy</w:t>
      </w:r>
    </w:p>
    <w:p w14:paraId="261E5265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  <w:b/>
          <w:bCs/>
        </w:rPr>
      </w:pPr>
      <w:r w:rsidRPr="00A53D8A">
        <w:rPr>
          <w:rFonts w:ascii="Times New Roman" w:hAnsi="Times New Roman" w:cs="Times New Roman"/>
          <w:b/>
          <w:bCs/>
        </w:rPr>
        <w:t>H3 — Borrower Segment Vulnerability Hypothesis</w:t>
      </w:r>
    </w:p>
    <w:p w14:paraId="744BABDA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Certain borrower segments exhibit disproportionate risk.</w:t>
      </w:r>
    </w:p>
    <w:p w14:paraId="160CCF1F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  <w:b/>
          <w:bCs/>
        </w:rPr>
      </w:pPr>
      <w:r w:rsidRPr="00A53D8A">
        <w:rPr>
          <w:rFonts w:ascii="Times New Roman" w:hAnsi="Times New Roman" w:cs="Times New Roman"/>
          <w:b/>
          <w:bCs/>
        </w:rPr>
        <w:t>Provisional KPIs</w:t>
      </w:r>
    </w:p>
    <w:p w14:paraId="047294BC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Borrower Segmentation</w:t>
      </w:r>
    </w:p>
    <w:p w14:paraId="3AC093D0" w14:textId="77777777" w:rsidR="00A53D8A" w:rsidRPr="00A53D8A" w:rsidRDefault="00A53D8A" w:rsidP="00A53D8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Loan Count by Income Band</w:t>
      </w:r>
    </w:p>
    <w:p w14:paraId="08F37027" w14:textId="77777777" w:rsidR="00A53D8A" w:rsidRPr="00A53D8A" w:rsidRDefault="00A53D8A" w:rsidP="00A53D8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Loan Count by Credit Grade</w:t>
      </w:r>
    </w:p>
    <w:p w14:paraId="7E22369F" w14:textId="77777777" w:rsidR="00A53D8A" w:rsidRPr="00A53D8A" w:rsidRDefault="00A53D8A" w:rsidP="00A53D8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Loan Count by Employment Length</w:t>
      </w:r>
    </w:p>
    <w:p w14:paraId="01966348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Risk Indicators</w:t>
      </w:r>
    </w:p>
    <w:p w14:paraId="016B7BD4" w14:textId="77777777" w:rsidR="00A53D8A" w:rsidRPr="00A53D8A" w:rsidRDefault="00A53D8A" w:rsidP="00A53D8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High-Risk Loan % by Segment</w:t>
      </w:r>
    </w:p>
    <w:p w14:paraId="137A301D" w14:textId="77777777" w:rsidR="00A53D8A" w:rsidRPr="00A53D8A" w:rsidRDefault="00A53D8A" w:rsidP="00A53D8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Avg Interest Rate by Segment</w:t>
      </w:r>
    </w:p>
    <w:p w14:paraId="51947B12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Derived Metrics</w:t>
      </w:r>
    </w:p>
    <w:p w14:paraId="48424B60" w14:textId="77777777" w:rsidR="00A53D8A" w:rsidRPr="00A53D8A" w:rsidRDefault="00A53D8A" w:rsidP="00A53D8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Risk Concentration Index (share of total exposure)</w:t>
      </w:r>
    </w:p>
    <w:p w14:paraId="32527E56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Decision Supported</w:t>
      </w:r>
    </w:p>
    <w:p w14:paraId="21C588A1" w14:textId="77777777" w:rsidR="00A53D8A" w:rsidRPr="00A53D8A" w:rsidRDefault="00A53D8A" w:rsidP="00A53D8A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Targeted early intervention</w:t>
      </w:r>
    </w:p>
    <w:p w14:paraId="41B49545" w14:textId="6EAC9138" w:rsidR="00A53D8A" w:rsidRPr="00A53D8A" w:rsidRDefault="00A53D8A" w:rsidP="00A53D8A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Segment-based policy adjustments</w:t>
      </w:r>
    </w:p>
    <w:p w14:paraId="47CF6204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  <w:b/>
          <w:bCs/>
        </w:rPr>
      </w:pPr>
      <w:r w:rsidRPr="00A53D8A">
        <w:rPr>
          <w:rFonts w:ascii="Times New Roman" w:hAnsi="Times New Roman" w:cs="Times New Roman"/>
          <w:b/>
          <w:bCs/>
        </w:rPr>
        <w:t>H4 — Product-Level Risk Concentration Hypothesis</w:t>
      </w:r>
    </w:p>
    <w:p w14:paraId="79F00725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Certain loan products and terms carry higher risk.</w:t>
      </w:r>
    </w:p>
    <w:p w14:paraId="084F1287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  <w:b/>
          <w:bCs/>
        </w:rPr>
      </w:pPr>
      <w:r w:rsidRPr="00A53D8A">
        <w:rPr>
          <w:rFonts w:ascii="Times New Roman" w:hAnsi="Times New Roman" w:cs="Times New Roman"/>
          <w:b/>
          <w:bCs/>
        </w:rPr>
        <w:t>Provisional KPIs</w:t>
      </w:r>
    </w:p>
    <w:p w14:paraId="5C8670BA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Product Metrics</w:t>
      </w:r>
    </w:p>
    <w:p w14:paraId="2C9F6571" w14:textId="77777777" w:rsidR="00A53D8A" w:rsidRPr="00A53D8A" w:rsidRDefault="00A53D8A" w:rsidP="00A53D8A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Loan Volume by Product Type</w:t>
      </w:r>
    </w:p>
    <w:p w14:paraId="7A0359AB" w14:textId="77777777" w:rsidR="00A53D8A" w:rsidRPr="00A53D8A" w:rsidRDefault="00A53D8A" w:rsidP="00A53D8A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Loan Volume by Term Length</w:t>
      </w:r>
    </w:p>
    <w:p w14:paraId="6D93E91C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Risk Metrics</w:t>
      </w:r>
    </w:p>
    <w:p w14:paraId="5E62B7E7" w14:textId="77777777" w:rsidR="00A53D8A" w:rsidRPr="00A53D8A" w:rsidRDefault="00A53D8A" w:rsidP="00A53D8A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High-Risk Loan % by Product</w:t>
      </w:r>
    </w:p>
    <w:p w14:paraId="0C3605F1" w14:textId="77777777" w:rsidR="00A53D8A" w:rsidRPr="00A53D8A" w:rsidRDefault="00A53D8A" w:rsidP="00A53D8A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Avg Interest Rate by Product</w:t>
      </w:r>
    </w:p>
    <w:p w14:paraId="0F8EAD0B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Derived Metrics</w:t>
      </w:r>
    </w:p>
    <w:p w14:paraId="6F914534" w14:textId="77777777" w:rsidR="00A53D8A" w:rsidRPr="00A53D8A" w:rsidRDefault="00A53D8A" w:rsidP="00A53D8A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Product Risk Density (risk per $ exposure)</w:t>
      </w:r>
    </w:p>
    <w:p w14:paraId="3318BD4C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Decision Supported</w:t>
      </w:r>
    </w:p>
    <w:p w14:paraId="5722EB8B" w14:textId="77777777" w:rsidR="00A53D8A" w:rsidRPr="00A53D8A" w:rsidRDefault="00A53D8A" w:rsidP="00A53D8A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lastRenderedPageBreak/>
        <w:t>Product redesign</w:t>
      </w:r>
    </w:p>
    <w:p w14:paraId="7DDF84BA" w14:textId="0A5F41F8" w:rsidR="00A53D8A" w:rsidRPr="00A53D8A" w:rsidRDefault="00A53D8A" w:rsidP="00A53D8A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Portfolio diversification</w:t>
      </w:r>
    </w:p>
    <w:p w14:paraId="02F3E1B7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  <w:b/>
          <w:bCs/>
        </w:rPr>
      </w:pPr>
      <w:r w:rsidRPr="00A53D8A">
        <w:rPr>
          <w:rFonts w:ascii="Times New Roman" w:hAnsi="Times New Roman" w:cs="Times New Roman"/>
          <w:b/>
          <w:bCs/>
        </w:rPr>
        <w:t>H5 — Complaint-Driven Early Warning Hypothesis</w:t>
      </w:r>
    </w:p>
    <w:p w14:paraId="6126CC9F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Complaint spikes precede measurable risk deterioration.</w:t>
      </w:r>
    </w:p>
    <w:p w14:paraId="2884D0DF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  <w:b/>
          <w:bCs/>
        </w:rPr>
      </w:pPr>
      <w:r w:rsidRPr="00A53D8A">
        <w:rPr>
          <w:rFonts w:ascii="Times New Roman" w:hAnsi="Times New Roman" w:cs="Times New Roman"/>
          <w:b/>
          <w:bCs/>
        </w:rPr>
        <w:t>Provisional KPIs</w:t>
      </w:r>
    </w:p>
    <w:p w14:paraId="0A4DD514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Complaint Volume</w:t>
      </w:r>
    </w:p>
    <w:p w14:paraId="66F4207A" w14:textId="77777777" w:rsidR="00A53D8A" w:rsidRPr="00A53D8A" w:rsidRDefault="00A53D8A" w:rsidP="00A53D8A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Complaints per Month</w:t>
      </w:r>
    </w:p>
    <w:p w14:paraId="3E8EDBB6" w14:textId="77777777" w:rsidR="00A53D8A" w:rsidRPr="00A53D8A" w:rsidRDefault="00A53D8A" w:rsidP="00A53D8A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Complaints per 1,000 Active Loans</w:t>
      </w:r>
    </w:p>
    <w:p w14:paraId="098FA478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Complaint Trend Metrics</w:t>
      </w:r>
    </w:p>
    <w:p w14:paraId="66A550C8" w14:textId="77777777" w:rsidR="00A53D8A" w:rsidRPr="00A53D8A" w:rsidRDefault="00A53D8A" w:rsidP="00A53D8A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Month-over-Month Complaint Growth</w:t>
      </w:r>
    </w:p>
    <w:p w14:paraId="6F18E38B" w14:textId="77777777" w:rsidR="00A53D8A" w:rsidRPr="00A53D8A" w:rsidRDefault="00A53D8A" w:rsidP="00A53D8A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Complaint Spike Indicator (binary)</w:t>
      </w:r>
    </w:p>
    <w:p w14:paraId="28DE3200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Derived Metrics</w:t>
      </w:r>
    </w:p>
    <w:p w14:paraId="6F30F00E" w14:textId="77777777" w:rsidR="00A53D8A" w:rsidRPr="00A53D8A" w:rsidRDefault="00A53D8A" w:rsidP="00A53D8A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Time Lag Between Complaint Spike and Risk Increase</w:t>
      </w:r>
    </w:p>
    <w:p w14:paraId="437642EB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Decision Supported</w:t>
      </w:r>
    </w:p>
    <w:p w14:paraId="2AF218B3" w14:textId="77777777" w:rsidR="00A53D8A" w:rsidRPr="00A53D8A" w:rsidRDefault="00A53D8A" w:rsidP="00A53D8A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Early operational intervention</w:t>
      </w:r>
    </w:p>
    <w:p w14:paraId="34F2AC98" w14:textId="2E152E3E" w:rsidR="00A53D8A" w:rsidRPr="00A53D8A" w:rsidRDefault="00A53D8A" w:rsidP="00A53D8A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Compliance risk mitigation</w:t>
      </w:r>
    </w:p>
    <w:p w14:paraId="5CD40827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  <w:b/>
          <w:bCs/>
        </w:rPr>
      </w:pPr>
      <w:r w:rsidRPr="00A53D8A">
        <w:rPr>
          <w:rFonts w:ascii="Times New Roman" w:hAnsi="Times New Roman" w:cs="Times New Roman"/>
          <w:b/>
          <w:bCs/>
        </w:rPr>
        <w:t>H6 — Complaint Concentration Hypothesis</w:t>
      </w:r>
    </w:p>
    <w:p w14:paraId="4D499E34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Complaints are concentrated in few products/issues.</w:t>
      </w:r>
    </w:p>
    <w:p w14:paraId="1C470929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  <w:b/>
          <w:bCs/>
        </w:rPr>
      </w:pPr>
      <w:r w:rsidRPr="00A53D8A">
        <w:rPr>
          <w:rFonts w:ascii="Times New Roman" w:hAnsi="Times New Roman" w:cs="Times New Roman"/>
          <w:b/>
          <w:bCs/>
        </w:rPr>
        <w:t>Provisional KPIs</w:t>
      </w:r>
    </w:p>
    <w:p w14:paraId="6C371C52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Complaint Distribution</w:t>
      </w:r>
    </w:p>
    <w:p w14:paraId="194658FF" w14:textId="77777777" w:rsidR="00A53D8A" w:rsidRPr="00A53D8A" w:rsidRDefault="00A53D8A" w:rsidP="00A53D8A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Complaints by Product</w:t>
      </w:r>
    </w:p>
    <w:p w14:paraId="3AD0F4FF" w14:textId="77777777" w:rsidR="00A53D8A" w:rsidRPr="00A53D8A" w:rsidRDefault="00A53D8A" w:rsidP="00A53D8A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Complaints by Issue Category</w:t>
      </w:r>
    </w:p>
    <w:p w14:paraId="7D53A39D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Concentration Metrics</w:t>
      </w:r>
    </w:p>
    <w:p w14:paraId="0CB8BB18" w14:textId="77777777" w:rsidR="00A53D8A" w:rsidRPr="00A53D8A" w:rsidRDefault="00A53D8A" w:rsidP="00A53D8A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Top 3 Products Complaint Share (%)</w:t>
      </w:r>
    </w:p>
    <w:p w14:paraId="25EE4157" w14:textId="77777777" w:rsidR="00A53D8A" w:rsidRPr="00A53D8A" w:rsidRDefault="00A53D8A" w:rsidP="00A53D8A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Top 3 Issues Complaint Share (%)</w:t>
      </w:r>
    </w:p>
    <w:p w14:paraId="404D743B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Derived Metrics</w:t>
      </w:r>
    </w:p>
    <w:p w14:paraId="7670DC2A" w14:textId="77777777" w:rsidR="00A53D8A" w:rsidRPr="00A53D8A" w:rsidRDefault="00A53D8A" w:rsidP="00A53D8A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Pareto Concentration Index</w:t>
      </w:r>
    </w:p>
    <w:p w14:paraId="62BB2434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  <w:b/>
          <w:bCs/>
        </w:rPr>
        <w:t>Decision Supported</w:t>
      </w:r>
    </w:p>
    <w:p w14:paraId="4068BCED" w14:textId="77777777" w:rsidR="00A53D8A" w:rsidRPr="00A53D8A" w:rsidRDefault="00A53D8A" w:rsidP="00A53D8A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Prioritize operational fixes</w:t>
      </w:r>
    </w:p>
    <w:p w14:paraId="0D24A85E" w14:textId="77777777" w:rsidR="00A53D8A" w:rsidRPr="00A53D8A" w:rsidRDefault="00A53D8A" w:rsidP="00A53D8A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Reduce regulatory exposure</w:t>
      </w:r>
    </w:p>
    <w:p w14:paraId="6B43F795" w14:textId="5A55A6A0" w:rsidR="00A53D8A" w:rsidRPr="00A53D8A" w:rsidRDefault="00A53D8A" w:rsidP="00A53D8A">
      <w:pPr>
        <w:spacing w:line="240" w:lineRule="auto"/>
        <w:rPr>
          <w:rFonts w:ascii="Times New Roman" w:hAnsi="Times New Roman" w:cs="Times New Roman"/>
          <w:b/>
          <w:bCs/>
        </w:rPr>
      </w:pPr>
      <w:r w:rsidRPr="00A53D8A">
        <w:rPr>
          <w:rFonts w:ascii="Times New Roman" w:hAnsi="Times New Roman" w:cs="Times New Roman"/>
          <w:b/>
          <w:bCs/>
        </w:rPr>
        <w:lastRenderedPageBreak/>
        <w:t>KPI Classification</w:t>
      </w:r>
    </w:p>
    <w:p w14:paraId="297DF615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  <w:b/>
          <w:bCs/>
        </w:rPr>
      </w:pPr>
      <w:r w:rsidRPr="00A53D8A">
        <w:rPr>
          <w:rFonts w:ascii="Times New Roman" w:hAnsi="Times New Roman" w:cs="Times New Roman"/>
          <w:b/>
          <w:bCs/>
        </w:rPr>
        <w:t>Executive KPIs (Dashboard 1)</w:t>
      </w:r>
    </w:p>
    <w:p w14:paraId="60564D48" w14:textId="77777777" w:rsidR="00A53D8A" w:rsidRPr="00A53D8A" w:rsidRDefault="00A53D8A" w:rsidP="00A53D8A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Total Loan Exposure</w:t>
      </w:r>
    </w:p>
    <w:p w14:paraId="69DFB233" w14:textId="77777777" w:rsidR="00A53D8A" w:rsidRPr="00A53D8A" w:rsidRDefault="00A53D8A" w:rsidP="00A53D8A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High-Risk Exposure %</w:t>
      </w:r>
    </w:p>
    <w:p w14:paraId="45C42FB6" w14:textId="77777777" w:rsidR="00A53D8A" w:rsidRPr="00A53D8A" w:rsidRDefault="00A53D8A" w:rsidP="00A53D8A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Complaint Rate per 1k Loans</w:t>
      </w:r>
    </w:p>
    <w:p w14:paraId="12672326" w14:textId="77777777" w:rsidR="00A53D8A" w:rsidRPr="00A53D8A" w:rsidRDefault="00A53D8A" w:rsidP="00A53D8A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Risk Exposure During Economic Stress</w:t>
      </w:r>
    </w:p>
    <w:p w14:paraId="19BC2DF7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  <w:b/>
          <w:bCs/>
        </w:rPr>
      </w:pPr>
      <w:r w:rsidRPr="00A53D8A">
        <w:rPr>
          <w:rFonts w:ascii="Times New Roman" w:hAnsi="Times New Roman" w:cs="Times New Roman"/>
          <w:b/>
          <w:bCs/>
        </w:rPr>
        <w:t>Risk Team KPIs (Dashboard 2)</w:t>
      </w:r>
    </w:p>
    <w:p w14:paraId="633C294E" w14:textId="77777777" w:rsidR="00A53D8A" w:rsidRPr="00A53D8A" w:rsidRDefault="00A53D8A" w:rsidP="00A53D8A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Risk by Borrower Segment</w:t>
      </w:r>
    </w:p>
    <w:p w14:paraId="1609879B" w14:textId="77777777" w:rsidR="00A53D8A" w:rsidRPr="00A53D8A" w:rsidRDefault="00A53D8A" w:rsidP="00A53D8A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Risk by Product</w:t>
      </w:r>
    </w:p>
    <w:p w14:paraId="06A3F8DD" w14:textId="77777777" w:rsidR="00A53D8A" w:rsidRPr="00A53D8A" w:rsidRDefault="00A53D8A" w:rsidP="00A53D8A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Risk by Origination Period</w:t>
      </w:r>
    </w:p>
    <w:p w14:paraId="5B8EE890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  <w:b/>
          <w:bCs/>
        </w:rPr>
      </w:pPr>
      <w:r w:rsidRPr="00A53D8A">
        <w:rPr>
          <w:rFonts w:ascii="Times New Roman" w:hAnsi="Times New Roman" w:cs="Times New Roman"/>
          <w:b/>
          <w:bCs/>
        </w:rPr>
        <w:t>Compliance / Ops KPIs (Dashboard 3)</w:t>
      </w:r>
    </w:p>
    <w:p w14:paraId="147CB195" w14:textId="77777777" w:rsidR="00A53D8A" w:rsidRPr="00A53D8A" w:rsidRDefault="00A53D8A" w:rsidP="00A53D8A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Complaint Trends</w:t>
      </w:r>
    </w:p>
    <w:p w14:paraId="0EB56FBB" w14:textId="77777777" w:rsidR="00A53D8A" w:rsidRPr="00A53D8A" w:rsidRDefault="00A53D8A" w:rsidP="00A53D8A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Complaint Concentration</w:t>
      </w:r>
    </w:p>
    <w:p w14:paraId="618C212A" w14:textId="77777777" w:rsidR="00A53D8A" w:rsidRDefault="00A53D8A" w:rsidP="00A53D8A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A53D8A">
        <w:rPr>
          <w:rFonts w:ascii="Times New Roman" w:hAnsi="Times New Roman" w:cs="Times New Roman"/>
        </w:rPr>
        <w:t>Early Warning Indicators</w:t>
      </w:r>
    </w:p>
    <w:p w14:paraId="4A964AC4" w14:textId="2F393053" w:rsidR="0047140F" w:rsidRPr="0047140F" w:rsidRDefault="0047140F" w:rsidP="0047140F">
      <w:pPr>
        <w:spacing w:line="240" w:lineRule="auto"/>
        <w:rPr>
          <w:rFonts w:ascii="Times New Roman" w:hAnsi="Times New Roman" w:cs="Times New Roman"/>
          <w:b/>
          <w:bCs/>
        </w:rPr>
      </w:pPr>
      <w:r w:rsidRPr="0047140F">
        <w:rPr>
          <w:rFonts w:ascii="Times New Roman" w:hAnsi="Times New Roman" w:cs="Times New Roman"/>
          <w:b/>
          <w:bCs/>
        </w:rPr>
        <w:t>Locked in KPIs:</w:t>
      </w:r>
    </w:p>
    <w:p w14:paraId="725B6AC5" w14:textId="15463AFB" w:rsidR="00A53D8A" w:rsidRPr="00A53D8A" w:rsidRDefault="0047140F" w:rsidP="00A53D8A">
      <w:pPr>
        <w:spacing w:line="240" w:lineRule="auto"/>
        <w:rPr>
          <w:rFonts w:ascii="Times New Roman" w:hAnsi="Times New Roman" w:cs="Times New Roman"/>
        </w:rPr>
      </w:pPr>
      <w:r w:rsidRPr="0047140F">
        <w:rPr>
          <w:rFonts w:ascii="Times New Roman" w:hAnsi="Times New Roman" w:cs="Times New Roman"/>
        </w:rPr>
        <w:t>Due to the low incidence of charged-off loans, credit risk was evaluated using grade-based and behavioral risk proxies consistent with early-stage portfolio monitoring practices. Joint-income variables were excluded due to excessive missingness. All datasets were aligned to a monthly time grain using loan origination month and macroeconomic reporting periods.</w:t>
      </w:r>
    </w:p>
    <w:p w14:paraId="5F3A51C6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</w:p>
    <w:p w14:paraId="49998489" w14:textId="77777777" w:rsidR="00A53D8A" w:rsidRPr="00A53D8A" w:rsidRDefault="00A53D8A" w:rsidP="00A53D8A">
      <w:pPr>
        <w:spacing w:line="240" w:lineRule="auto"/>
        <w:rPr>
          <w:rFonts w:ascii="Times New Roman" w:hAnsi="Times New Roman" w:cs="Times New Roman"/>
        </w:rPr>
      </w:pPr>
    </w:p>
    <w:p w14:paraId="63E5471C" w14:textId="77777777" w:rsidR="00402478" w:rsidRPr="00A53D8A" w:rsidRDefault="00402478" w:rsidP="00A53D8A">
      <w:pPr>
        <w:spacing w:line="240" w:lineRule="auto"/>
        <w:jc w:val="center"/>
        <w:rPr>
          <w:rFonts w:ascii="Times New Roman" w:hAnsi="Times New Roman" w:cs="Times New Roman"/>
        </w:rPr>
      </w:pPr>
    </w:p>
    <w:sectPr w:rsidR="00402478" w:rsidRPr="00A53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FEC"/>
    <w:multiLevelType w:val="multilevel"/>
    <w:tmpl w:val="14FA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6336C"/>
    <w:multiLevelType w:val="multilevel"/>
    <w:tmpl w:val="CC04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2692B"/>
    <w:multiLevelType w:val="multilevel"/>
    <w:tmpl w:val="BF50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034AC"/>
    <w:multiLevelType w:val="multilevel"/>
    <w:tmpl w:val="E280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847B1"/>
    <w:multiLevelType w:val="multilevel"/>
    <w:tmpl w:val="4078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005B6"/>
    <w:multiLevelType w:val="multilevel"/>
    <w:tmpl w:val="A89C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F051D"/>
    <w:multiLevelType w:val="multilevel"/>
    <w:tmpl w:val="ACE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D0675"/>
    <w:multiLevelType w:val="multilevel"/>
    <w:tmpl w:val="C422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B4D40"/>
    <w:multiLevelType w:val="multilevel"/>
    <w:tmpl w:val="BB30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8436B"/>
    <w:multiLevelType w:val="multilevel"/>
    <w:tmpl w:val="4408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404C6"/>
    <w:multiLevelType w:val="multilevel"/>
    <w:tmpl w:val="B574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8191F"/>
    <w:multiLevelType w:val="multilevel"/>
    <w:tmpl w:val="D91E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B791E"/>
    <w:multiLevelType w:val="multilevel"/>
    <w:tmpl w:val="7BA6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73830"/>
    <w:multiLevelType w:val="multilevel"/>
    <w:tmpl w:val="8132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B1B83"/>
    <w:multiLevelType w:val="multilevel"/>
    <w:tmpl w:val="475A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A311C"/>
    <w:multiLevelType w:val="multilevel"/>
    <w:tmpl w:val="852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C76AB"/>
    <w:multiLevelType w:val="multilevel"/>
    <w:tmpl w:val="B4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94578"/>
    <w:multiLevelType w:val="multilevel"/>
    <w:tmpl w:val="859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3D6347"/>
    <w:multiLevelType w:val="multilevel"/>
    <w:tmpl w:val="C3E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97889"/>
    <w:multiLevelType w:val="multilevel"/>
    <w:tmpl w:val="D3AE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77F2E"/>
    <w:multiLevelType w:val="multilevel"/>
    <w:tmpl w:val="C056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A6F03"/>
    <w:multiLevelType w:val="multilevel"/>
    <w:tmpl w:val="2892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460181"/>
    <w:multiLevelType w:val="multilevel"/>
    <w:tmpl w:val="C866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631EA"/>
    <w:multiLevelType w:val="multilevel"/>
    <w:tmpl w:val="4B84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12B63"/>
    <w:multiLevelType w:val="multilevel"/>
    <w:tmpl w:val="6F76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6501EA"/>
    <w:multiLevelType w:val="multilevel"/>
    <w:tmpl w:val="23E2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D53495"/>
    <w:multiLevelType w:val="multilevel"/>
    <w:tmpl w:val="D78E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247379">
    <w:abstractNumId w:val="21"/>
  </w:num>
  <w:num w:numId="2" w16cid:durableId="1471436488">
    <w:abstractNumId w:val="9"/>
  </w:num>
  <w:num w:numId="3" w16cid:durableId="1588995154">
    <w:abstractNumId w:val="25"/>
  </w:num>
  <w:num w:numId="4" w16cid:durableId="870537354">
    <w:abstractNumId w:val="5"/>
  </w:num>
  <w:num w:numId="5" w16cid:durableId="1217206097">
    <w:abstractNumId w:val="24"/>
  </w:num>
  <w:num w:numId="6" w16cid:durableId="450705421">
    <w:abstractNumId w:val="14"/>
  </w:num>
  <w:num w:numId="7" w16cid:durableId="467431220">
    <w:abstractNumId w:val="7"/>
  </w:num>
  <w:num w:numId="8" w16cid:durableId="651452209">
    <w:abstractNumId w:val="26"/>
  </w:num>
  <w:num w:numId="9" w16cid:durableId="1302686720">
    <w:abstractNumId w:val="12"/>
  </w:num>
  <w:num w:numId="10" w16cid:durableId="733937687">
    <w:abstractNumId w:val="2"/>
  </w:num>
  <w:num w:numId="11" w16cid:durableId="701050637">
    <w:abstractNumId w:val="8"/>
  </w:num>
  <w:num w:numId="12" w16cid:durableId="1389378944">
    <w:abstractNumId w:val="20"/>
  </w:num>
  <w:num w:numId="13" w16cid:durableId="88890997">
    <w:abstractNumId w:val="11"/>
  </w:num>
  <w:num w:numId="14" w16cid:durableId="1431466208">
    <w:abstractNumId w:val="0"/>
  </w:num>
  <w:num w:numId="15" w16cid:durableId="1487938073">
    <w:abstractNumId w:val="13"/>
  </w:num>
  <w:num w:numId="16" w16cid:durableId="816267970">
    <w:abstractNumId w:val="23"/>
  </w:num>
  <w:num w:numId="17" w16cid:durableId="2065637030">
    <w:abstractNumId w:val="22"/>
  </w:num>
  <w:num w:numId="18" w16cid:durableId="663900769">
    <w:abstractNumId w:val="4"/>
  </w:num>
  <w:num w:numId="19" w16cid:durableId="2108651417">
    <w:abstractNumId w:val="15"/>
  </w:num>
  <w:num w:numId="20" w16cid:durableId="854269457">
    <w:abstractNumId w:val="3"/>
  </w:num>
  <w:num w:numId="21" w16cid:durableId="1600412888">
    <w:abstractNumId w:val="17"/>
  </w:num>
  <w:num w:numId="22" w16cid:durableId="1086925697">
    <w:abstractNumId w:val="10"/>
  </w:num>
  <w:num w:numId="23" w16cid:durableId="554506364">
    <w:abstractNumId w:val="18"/>
  </w:num>
  <w:num w:numId="24" w16cid:durableId="1252858775">
    <w:abstractNumId w:val="1"/>
  </w:num>
  <w:num w:numId="25" w16cid:durableId="1905867780">
    <w:abstractNumId w:val="19"/>
  </w:num>
  <w:num w:numId="26" w16cid:durableId="1878468910">
    <w:abstractNumId w:val="16"/>
  </w:num>
  <w:num w:numId="27" w16cid:durableId="4228441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D8A"/>
    <w:rsid w:val="00402478"/>
    <w:rsid w:val="0047140F"/>
    <w:rsid w:val="00A159E3"/>
    <w:rsid w:val="00A53D8A"/>
    <w:rsid w:val="00C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B54BE"/>
  <w15:chartTrackingRefBased/>
  <w15:docId w15:val="{236BAD09-B68A-49ED-B705-A166AC4DB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Ayaluri, Sree Theja</dc:creator>
  <cp:keywords/>
  <dc:description/>
  <cp:lastModifiedBy>Ayaluri, Sree Theja</cp:lastModifiedBy>
  <cp:revision>2</cp:revision>
  <dcterms:created xsi:type="dcterms:W3CDTF">2025-12-23T02:54:00Z</dcterms:created>
  <dcterms:modified xsi:type="dcterms:W3CDTF">2025-12-23T04:13:00Z</dcterms:modified>
</cp:coreProperties>
</file>