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Penerapan Case-Based Reasoning Berbasis IndoBERT</w:t>
        <w:br/>
        <w:t>untuk Analisis Putusan Pidana Pemalsuan</w:t>
      </w:r>
    </w:p>
    <w:p>
      <w:pPr>
        <w:spacing w:after="40"/>
        <w:jc w:val="center"/>
      </w:pPr>
      <w:r>
        <w:rPr>
          <w:rFonts w:ascii="Times New Roman" w:hAnsi="Times New Roman"/>
          <w:b/>
          <w:sz w:val="22"/>
        </w:rPr>
        <w:t>[NAMA LENGKAP ANDA]</w:t>
      </w:r>
    </w:p>
    <w:p>
      <w:pPr>
        <w:spacing w:after="40"/>
        <w:jc w:val="center"/>
      </w:pPr>
      <w:r>
        <w:rPr>
          <w:rFonts w:ascii="Times New Roman" w:hAnsi="Times New Roman"/>
          <w:sz w:val="20"/>
        </w:rPr>
        <w:t>Teknik Informatika, Fakultas Teknik, Universitas Muhammadiyah Malang</w:t>
        <w:br/>
        <w:t>Jl. Raya Tlogomas No. 246, Malang, Jawa Timur, Indonesia</w:t>
        <w:br/>
        <w:t>e-mail: [EMAIL@webmail.umm.ac.id]</w:t>
      </w:r>
    </w:p>
    <w:p/>
    <w:p>
      <w:pPr>
        <w:spacing w:before="120" w:after="80" w:line="240" w:lineRule="exact"/>
        <w:jc w:val="left"/>
      </w:pPr>
      <w:r>
        <w:rPr>
          <w:rFonts w:ascii="Times New Roman" w:hAnsi="Times New Roman"/>
          <w:b/>
          <w:sz w:val="20"/>
        </w:rPr>
        <w:t>ABSTRACT</w:t>
      </w:r>
    </w:p>
    <w:p>
      <w:pPr>
        <w:spacing w:before="0" w:after="80" w:line="240" w:lineRule="exact"/>
        <w:jc w:val="both"/>
      </w:pPr>
      <w:r>
        <w:rPr>
          <w:rFonts w:ascii="Times New Roman" w:hAnsi="Times New Roman"/>
          <w:b w:val="0"/>
          <w:i/>
          <w:sz w:val="24"/>
        </w:rPr>
        <w:t>Case-Based Reasoning (CBR) is a problem-solving method that utilizes past experiences to solve new problems. This study implements a CBR system to analyze criminal forgery court decisions from the Supreme Court of the Republic of Indonesia. The system processes 35 court decision documents through five main stages: case base construction, case representation, case retrieval using IndoBERT embeddings, solution reuse with weighted similarity, and evaluation. The IndoBERT language model (indobenchmark/indobert-base-p1) is employed to generate 768-dimensional semantic embeddings from case documents, which are then compared using cosine similarity for case retrieval. The solution reuse stage applies a weighted similarity voting mechanism to predict verdicts for new cases. Experimental results using an 80:20 train-test split demonstrate a prediction accuracy of 71.43%, with weighted precision, recall, and F1-score of 0.51, 0.71, and 0.60, respectively. The system achieves perfect recall for imprisonment verdicts but fails to identify acquittal cases. This study contributes a domain-specific CBR framework for Indonesian legal text analysis and identifies key challenges in automated verdict prediction from unstructured court documents.</w:t>
      </w:r>
    </w:p>
    <w:p>
      <w:pPr>
        <w:spacing w:before="0" w:after="80" w:line="240" w:lineRule="exact"/>
        <w:jc w:val="both"/>
      </w:pPr>
      <w:r>
        <w:rPr>
          <w:rFonts w:ascii="Times New Roman" w:hAnsi="Times New Roman"/>
          <w:b/>
          <w:i/>
          <w:sz w:val="24"/>
        </w:rPr>
        <w:t>Kata Kunci</w:t>
      </w:r>
      <w:r>
        <w:rPr>
          <w:rFonts w:ascii="Times New Roman" w:hAnsi="Times New Roman"/>
          <w:b w:val="0"/>
          <w:i/>
          <w:sz w:val="24"/>
        </w:rPr>
        <w:t xml:space="preserve"> — Case-Based Reasoning, IndoBERT, Pemalsuan, Cosine Similarity, Prediksi Putusan.</w:t>
      </w:r>
    </w:p>
    <w:p/>
    <w:p>
      <w:pPr>
        <w:spacing w:before="120" w:after="80" w:line="240" w:lineRule="exact"/>
        <w:jc w:val="left"/>
      </w:pPr>
      <w:r>
        <w:rPr>
          <w:rFonts w:ascii="Times New Roman" w:hAnsi="Times New Roman"/>
          <w:b/>
          <w:sz w:val="20"/>
        </w:rPr>
        <w:t>I. PENDAHULUAN</w:t>
      </w:r>
    </w:p>
    <w:p>
      <w:pPr>
        <w:spacing w:before="0" w:after="80" w:line="240" w:lineRule="exact"/>
        <w:jc w:val="both"/>
      </w:pPr>
      <w:r>
        <w:rPr>
          <w:rFonts w:ascii="Times New Roman" w:hAnsi="Times New Roman"/>
          <w:b w:val="0"/>
          <w:i w:val="0"/>
          <w:sz w:val="24"/>
        </w:rPr>
        <w:t>Sistem peradilan di Indonesia menghasilkan ribuan putusan pengadilan setiap tahunnya, khususnya dalam bidang pidana umum. Putusan-putusan tersebut memuat informasi hukum yang sangat berharga, termasuk fakta persidangan, dakwaan, pertimbangan hukum, dan amar putusan yang dapat dijadikan referensi untuk kasus-kasus serupa di masa mendatang [1]. Namun, volume dokumen putusan yang sangat besar dan formatnya yang tidak terstruktur menjadikan pencarian dan analisis putusan secara manual sebagai proses yang memakan waktu dan rentan terhadap inkonsistensi [2].</w:t>
      </w:r>
    </w:p>
    <w:p>
      <w:pPr>
        <w:spacing w:before="0" w:after="80" w:line="240" w:lineRule="exact"/>
        <w:jc w:val="both"/>
      </w:pPr>
      <w:r>
        <w:rPr>
          <w:rFonts w:ascii="Times New Roman" w:hAnsi="Times New Roman"/>
          <w:b w:val="0"/>
          <w:i w:val="0"/>
          <w:sz w:val="24"/>
        </w:rPr>
        <w:t>Tindak pidana pemalsuan yang diatur dalam Pasal 263 hingga 276 Kitab Undang-Undang Hukum Pidana (KUHP) merupakan salah satu jenis perkara yang cukup sering ditangani di pengadilan Indonesia. Perkara-perkara pemalsuan melibatkan berbagai modus operandi, mulai dari pemalsuan surat, akta otentik, hingga dokumen identitas, sehingga analisis yurisprudensi dalam domain ini memerlukan pemahaman kontekstual yang mendalam terhadap setiap kasus [3].</w:t>
      </w:r>
    </w:p>
    <w:p>
      <w:pPr>
        <w:spacing w:before="0" w:after="80" w:line="240" w:lineRule="exact"/>
        <w:jc w:val="both"/>
      </w:pPr>
      <w:r>
        <w:rPr>
          <w:rFonts w:ascii="Times New Roman" w:hAnsi="Times New Roman"/>
          <w:b w:val="0"/>
          <w:i w:val="0"/>
          <w:sz w:val="24"/>
        </w:rPr>
        <w:t>Case-Based Reasoning (CBR) merupakan pendekatan penalaran berbasis pengalaman yang menyelesaikan masalah baru dengan merujuk pada solusi dari kasus-kasus serupa di masa lalu [1]. Pendekatan ini sangat relevan untuk domain hukum karena prinsip yurisprudensi dalam sistem hukum pada dasarnya juga mengandalkan preseden — yakni putusan-putusan terdahulu yang dijadikan acuan dalam memutus perkara serupa. Siklus CBR yang dikemukakan oleh Aamodt dan Plaza [1] terdiri dari empat tahap utama: Retrieve (menemukan kasus yang mirip), Reuse (mengadaptasi solusi), Revise (mengevaluasi solusi), dan Retain (menyimpan pengalaman baru).</w:t>
      </w:r>
    </w:p>
    <w:p>
      <w:pPr>
        <w:spacing w:before="0" w:after="80" w:line="240" w:lineRule="exact"/>
        <w:jc w:val="both"/>
      </w:pPr>
      <w:r>
        <w:rPr>
          <w:rFonts w:ascii="Times New Roman" w:hAnsi="Times New Roman"/>
          <w:b w:val="0"/>
          <w:i w:val="0"/>
          <w:sz w:val="24"/>
        </w:rPr>
        <w:t>Perkembangan teknologi Natural Language Processing (NLP) berbasis transformer telah membuka peluang baru dalam pemrosesan teks hukum. Model bahasa pra-latih seperti BERT [4] telah terbukti efektif dalam menangkap representasi semantik dari teks. Untuk bahasa Indonesia, model IndoBERT [5] yang dilatih pada korpus bahasa Indonesia berskala besar memberikan kemampuan pemahaman kontekstual yang superior dibandingkan metode bag-of-words tradisional. Pemanfaatan IndoBERT sebagai mesin embedding dalam sistem CBR memungkinkan pengukuran kemiripan antar kasus hukum secara semantik, bukan sekadar kecocokan kata kunci [6].</w:t>
      </w:r>
    </w:p>
    <w:p>
      <w:pPr>
        <w:spacing w:before="0" w:after="80" w:line="240" w:lineRule="exact"/>
        <w:jc w:val="both"/>
      </w:pPr>
      <w:r>
        <w:rPr>
          <w:rFonts w:ascii="Times New Roman" w:hAnsi="Times New Roman"/>
          <w:b w:val="0"/>
          <w:i w:val="0"/>
          <w:sz w:val="24"/>
        </w:rPr>
        <w:t>Beberapa penelitian terdahulu telah mengeksplorasi penerapan kecerdasan buatan dalam prediksi putusan hukum. Collenette et al. [8] mengembangkan sistem AI yang dapat menjelaskan penalaran berbasis kasus pada Pengadilan Hak Asasi Manusia Eropa. Cui et al. [9] melakukan survei komprehensif tentang metode prediksi putusan pengadilan, termasuk pendekatan berbasis deep learning. Di Indonesia, penelitian tentang penerapan NLP pada dokumen hukum mulai berkembang, dengan studi seperti yang dilakukan oleh Kemala dan Shiddiqi [11] yang mengklasifikasikan putusan pengadilan pajak, serta Yulianti et al. [12] yang menerapkan model transformer untuk Named Entity Recognition pada dokumen hukum Indonesia.</w:t>
      </w:r>
    </w:p>
    <w:p>
      <w:pPr>
        <w:spacing w:before="0" w:after="80" w:line="240" w:lineRule="exact"/>
        <w:jc w:val="both"/>
      </w:pPr>
      <w:r>
        <w:rPr>
          <w:rFonts w:ascii="Times New Roman" w:hAnsi="Times New Roman"/>
          <w:b w:val="0"/>
          <w:i w:val="0"/>
          <w:sz w:val="24"/>
        </w:rPr>
        <w:t>Penelitian ini bertujuan untuk mengimplementasikan sistem CBR yang memanfaatkan model IndoBERT untuk menganalisis putusan pidana pemalsuan dari Mahkamah Agung Republik Indonesia. Kontribusi utama dari penelitian ini meliputi: (1) pengembangan pipeline CBR end-to-end untuk dokumen hukum Indonesia, (2) pemanfaatan IndoBERT sebagai mesin representasi kasus yang menghasilkan embedding semantik berdimensi 768, dan (3) evaluasi komprehensif terhadap performa sistem menggunakan metrik information retrieval dan klasifikasi standar.</w:t>
      </w:r>
    </w:p>
    <w:p>
      <w:pPr>
        <w:spacing w:before="120" w:after="80" w:line="240" w:lineRule="exact"/>
        <w:jc w:val="left"/>
      </w:pPr>
      <w:r>
        <w:rPr>
          <w:rFonts w:ascii="Times New Roman" w:hAnsi="Times New Roman"/>
          <w:b/>
          <w:sz w:val="20"/>
        </w:rPr>
        <w:t>II. METODOLOGI</w:t>
      </w:r>
    </w:p>
    <w:p>
      <w:pPr>
        <w:spacing w:before="0" w:after="80" w:line="240" w:lineRule="exact"/>
        <w:jc w:val="both"/>
      </w:pPr>
      <w:r>
        <w:rPr>
          <w:rFonts w:ascii="Times New Roman" w:hAnsi="Times New Roman"/>
          <w:b w:val="0"/>
          <w:i w:val="0"/>
          <w:sz w:val="24"/>
        </w:rPr>
        <w:t>Sistem CBR yang dikembangkan dalam penelitian ini mengimplementasikan siklus CBR melalui lima tahap utama: (1) pembangunan case base, (2) representasi kasus, (3) case retrieval menggunakan IndoBERT, (4) solution reuse dengan weighted similarity, dan (5) evaluasi.</w:t>
      </w:r>
    </w:p>
    <w:p>
      <w:pPr>
        <w:spacing w:before="120" w:after="80" w:line="240" w:lineRule="exact"/>
        <w:jc w:val="left"/>
      </w:pPr>
      <w:r>
        <w:rPr>
          <w:rFonts w:ascii="Times New Roman" w:hAnsi="Times New Roman"/>
          <w:b/>
          <w:sz w:val="20"/>
        </w:rPr>
        <w:t>A. Pembangunan Case Base</w:t>
      </w:r>
    </w:p>
    <w:p>
      <w:pPr>
        <w:spacing w:before="0" w:after="80" w:line="240" w:lineRule="exact"/>
        <w:jc w:val="both"/>
      </w:pPr>
      <w:r>
        <w:rPr>
          <w:rFonts w:ascii="Times New Roman" w:hAnsi="Times New Roman"/>
          <w:b w:val="0"/>
          <w:i w:val="0"/>
          <w:sz w:val="24"/>
        </w:rPr>
        <w:t>Tahap pertama adalah pengumpulan dan pemrosesan dokumen putusan pengadilan dalam format PDF menjadi teks bersih. Dataset terdiri dari 35 dokumen putusan pidana pemalsuan yang diperoleh dari Direktori Putusan Mahkamah Agung Republik Indonesia (https://putusan3.mahkamahagung.go.id/). Seluruh putusan merupakan perkara pidana umum yang berkaitan dengan tindak pidana pemalsuan sebagaimana diatur dalam Pasal 263 sampai dengan Pasal 276 KUHP.</w:t>
      </w:r>
    </w:p>
    <w:p>
      <w:pPr>
        <w:spacing w:before="0" w:after="80" w:line="240" w:lineRule="exact"/>
        <w:jc w:val="both"/>
      </w:pPr>
      <w:r>
        <w:rPr>
          <w:rFonts w:ascii="Times New Roman" w:hAnsi="Times New Roman"/>
          <w:b w:val="0"/>
          <w:i w:val="0"/>
          <w:sz w:val="24"/>
        </w:rPr>
        <w:t>Konversi dokumen PDF ke teks dilakukan menggunakan pustaka pdfminer.six dengan fungsi extract_text(). Teks hasil konversi kemudian melewati pipeline pembersihan tujuh langkah: (1) penghapusan watermark, header, dan footer menggunakan pola regex; (2) penghapusan nomor halaman; (3) normalisasi karakter Unicode; (4) penghapusan karakter non-ASCII berlebih; (5) normalisasi spasi; (6) konversi lowercase; dan (7) penghapusan spasi di awal dan akhir teks.</w:t>
      </w:r>
    </w:p>
    <w:p>
      <w:pPr>
        <w:spacing w:before="0" w:after="80" w:line="240" w:lineRule="exact"/>
        <w:jc w:val="both"/>
      </w:pPr>
      <w:r>
        <w:rPr>
          <w:rFonts w:ascii="Times New Roman" w:hAnsi="Times New Roman"/>
          <w:b w:val="0"/>
          <w:i w:val="0"/>
          <w:sz w:val="24"/>
        </w:rPr>
        <w:t>Validasi dilakukan terhadap setiap dokumen dengan kriteria: jumlah kata minimum 200 kata dan rasio kemunculan kata kunci domain minimal 80% dari lima kata kunci: terdakwa, dakwaan, tuntutan, putusan, dan majelis hakim. Seluruh 35 dokumen memenuhi kriteria validasi dengan rata-rata 8.662 kata per dokumen.</w:t>
      </w:r>
    </w:p>
    <w:p>
      <w:pPr>
        <w:spacing w:before="120" w:after="80" w:line="240" w:lineRule="exact"/>
        <w:jc w:val="left"/>
      </w:pPr>
      <w:r>
        <w:rPr>
          <w:rFonts w:ascii="Times New Roman" w:hAnsi="Times New Roman"/>
          <w:b/>
          <w:sz w:val="20"/>
        </w:rPr>
        <w:t>B. Representasi Kasus</w:t>
      </w:r>
    </w:p>
    <w:p>
      <w:pPr>
        <w:spacing w:before="0" w:after="80" w:line="240" w:lineRule="exact"/>
        <w:jc w:val="both"/>
      </w:pPr>
      <w:r>
        <w:rPr>
          <w:rFonts w:ascii="Times New Roman" w:hAnsi="Times New Roman"/>
          <w:b w:val="0"/>
          <w:i w:val="0"/>
          <w:sz w:val="24"/>
        </w:rPr>
        <w:t>Tahap kedua mengekstrak metadata dan konten kunci dari setiap dokumen teks menggunakan pola regular expression (regex). Setiap kasus direpresentasikan dalam struktur data yang mencakup 18 atribut, dikelompokkan menjadi empat kategori: (1) identitas kasus: case_id, original_filename; (2) metadata hukum: no_perkara, tanggal, jenis_perkara, pasal, terdakwa, penuntut, pengadilan; (3) konten kunci: ringkasan_fakta, dakwaan, amar_putusan, vonis; dan (4) fitur statistik: word_count, sentence_count, unique_words, top_keywords, pemalsuan_keywords.</w:t>
      </w:r>
    </w:p>
    <w:p>
      <w:pPr>
        <w:spacing w:before="120" w:after="80" w:line="240" w:lineRule="exact"/>
        <w:jc w:val="left"/>
      </w:pPr>
      <w:r>
        <w:rPr>
          <w:rFonts w:ascii="Times New Roman" w:hAnsi="Times New Roman"/>
          <w:b/>
          <w:sz w:val="20"/>
        </w:rPr>
        <w:t>C. Case Retrieval Menggunakan IndoBERT</w:t>
      </w:r>
    </w:p>
    <w:p>
      <w:pPr>
        <w:spacing w:before="0" w:after="80" w:line="240" w:lineRule="exact"/>
        <w:jc w:val="both"/>
      </w:pPr>
      <w:r>
        <w:rPr>
          <w:rFonts w:ascii="Times New Roman" w:hAnsi="Times New Roman"/>
          <w:b w:val="0"/>
          <w:i w:val="0"/>
          <w:sz w:val="24"/>
        </w:rPr>
        <w:t>Tahap ketiga merupakan inti dari proses Retrieve dalam siklus CBR. Model IndoBERT (indobenchmark/indobert-base-p1) [5] digunakan untuk menghasilkan representasi vektor (embedding) berdimensi 768 dari setiap kasus. Teks embedding dibangun dengan menggabungkan tiga komponen: pasal yang didakwakan, ringkasan dakwaan (maks. 300 karakter), dan ringkasan fakta persidangan (maks. 300 karakter), dalam format: "Pasal: {pasal} Dakwaan: {dakwaan} Fakta: {fakta}".</w:t>
      </w:r>
    </w:p>
    <w:p>
      <w:pPr>
        <w:spacing w:before="0" w:after="80" w:line="240" w:lineRule="exact"/>
        <w:jc w:val="both"/>
      </w:pPr>
      <w:r>
        <w:rPr>
          <w:rFonts w:ascii="Times New Roman" w:hAnsi="Times New Roman"/>
          <w:b w:val="0"/>
          <w:i w:val="0"/>
          <w:sz w:val="24"/>
        </w:rPr>
        <w:t>Proses pembuatan embedding terdiri dari: (1) tokenisasi menggunakan tokenizer IndoBERT dengan panjang maksimum 512 token; (2) forward pass melalui model tanpa komputasi gradien; (3) mean pooling atas token embeddings berdasarkan attention mask; dan (4) normalisasi L2. Data dibagi dengan stratified random split 80:20 (28 training, 7 testing, random_state=42). Kemiripan antar kasus dihitung menggunakan cosine similarity.</w:t>
      </w:r>
    </w:p>
    <w:p>
      <w:pPr>
        <w:spacing w:before="120" w:after="80" w:line="240" w:lineRule="exact"/>
        <w:jc w:val="left"/>
      </w:pPr>
      <w:r>
        <w:rPr>
          <w:rFonts w:ascii="Times New Roman" w:hAnsi="Times New Roman"/>
          <w:b/>
          <w:sz w:val="20"/>
        </w:rPr>
        <w:t>D. Solution Reuse dengan Weighted Similarity</w:t>
      </w:r>
    </w:p>
    <w:p>
      <w:pPr>
        <w:spacing w:before="0" w:after="80" w:line="240" w:lineRule="exact"/>
        <w:jc w:val="both"/>
      </w:pPr>
      <w:r>
        <w:rPr>
          <w:rFonts w:ascii="Times New Roman" w:hAnsi="Times New Roman"/>
          <w:b w:val="0"/>
          <w:i w:val="0"/>
          <w:sz w:val="24"/>
        </w:rPr>
        <w:t>Setelah Top-K kasus terdekat diperoleh (K=5), sistem memprediksi vonis menggunakan weighted similarity voting. Label vonis dinormalisasi ke lima kategori: BEBAS, PENJARA_X_TAHUN, PENJARA_X_BULAN, PENJARA_LAIN, dan TIDAK_DIKETAHUI. Metode prediksi utama menjumlahkan skor cosine similarity untuk setiap kategori vonis dan memilih kategori dengan bobot kumulatif tertinggi.</w:t>
      </w:r>
    </w:p>
    <w:p>
      <w:pPr>
        <w:spacing w:before="120" w:after="80" w:line="240" w:lineRule="exact"/>
        <w:jc w:val="left"/>
      </w:pPr>
      <w:r>
        <w:rPr>
          <w:rFonts w:ascii="Times New Roman" w:hAnsi="Times New Roman"/>
          <w:b/>
          <w:sz w:val="20"/>
        </w:rPr>
        <w:t>E. Evaluasi</w:t>
      </w:r>
    </w:p>
    <w:p>
      <w:pPr>
        <w:spacing w:before="0" w:after="80" w:line="240" w:lineRule="exact"/>
        <w:jc w:val="both"/>
      </w:pPr>
      <w:r>
        <w:rPr>
          <w:rFonts w:ascii="Times New Roman" w:hAnsi="Times New Roman"/>
          <w:b w:val="0"/>
          <w:i w:val="0"/>
          <w:sz w:val="24"/>
        </w:rPr>
        <w:t>Evaluasi dilakukan menggunakan dua kelompok metrik. Untuk evaluasi retrieval digunakan Precision@K, Recall@K, F1@K, dan Mean Reciprocal Rank (MRR) pada K ∈ {1, 3, 5}. Ground truth ditentukan berdasarkan kecocokan pasal yang didakwakan. Untuk evaluasi prediksi digunakan metrik klasifikasi standar: Accuracy, Precision (weighted), Recall (weighted), dan F1-Score (weighted).</w:t>
      </w:r>
    </w:p>
    <w:p>
      <w:pPr>
        <w:spacing w:before="120" w:after="80" w:line="240" w:lineRule="exact"/>
        <w:jc w:val="left"/>
      </w:pPr>
      <w:r>
        <w:rPr>
          <w:rFonts w:ascii="Times New Roman" w:hAnsi="Times New Roman"/>
          <w:b/>
          <w:sz w:val="20"/>
        </w:rPr>
        <w:t>III. IMPLEMENTASI</w:t>
      </w:r>
    </w:p>
    <w:p>
      <w:pPr>
        <w:spacing w:before="0" w:after="80" w:line="240" w:lineRule="exact"/>
        <w:jc w:val="both"/>
      </w:pPr>
      <w:r>
        <w:rPr>
          <w:rFonts w:ascii="Times New Roman" w:hAnsi="Times New Roman"/>
          <w:b w:val="0"/>
          <w:i w:val="0"/>
          <w:sz w:val="24"/>
        </w:rPr>
        <w:t>Implementasi sistem dilakukan menggunakan Python 3.10.11 dalam Jupyter Notebook. Tabel I menyajikan spesifikasi pustaka utama yang digunakan.</w:t>
      </w:r>
    </w:p>
    <w:p>
      <w:pPr>
        <w:spacing w:before="120" w:after="40" w:line="240" w:lineRule="exact"/>
        <w:jc w:val="center"/>
      </w:pPr>
      <w:r>
        <w:rPr>
          <w:rFonts w:ascii="Times New Roman" w:hAnsi="Times New Roman"/>
          <w:b/>
          <w:sz w:val="20"/>
        </w:rPr>
        <w:t>Tabel I. Pustaka dan Versi yang Digunakan</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D9D9"/>
          </w:tcPr>
          <w:p>
            <w:pPr>
              <w:jc w:val="center"/>
            </w:pPr>
            <w:r>
              <w:rPr>
                <w:rFonts w:ascii="Times New Roman" w:hAnsi="Times New Roman"/>
                <w:b/>
                <w:sz w:val="20"/>
              </w:rPr>
              <w:t>Pustaka</w:t>
            </w:r>
          </w:p>
        </w:tc>
        <w:tc>
          <w:tcPr>
            <w:tcW w:type="dxa" w:w="3213"/>
            <w:shd w:val="clear" w:color="auto" w:fill="D9D9D9"/>
          </w:tcPr>
          <w:p>
            <w:pPr>
              <w:jc w:val="center"/>
            </w:pPr>
            <w:r>
              <w:rPr>
                <w:rFonts w:ascii="Times New Roman" w:hAnsi="Times New Roman"/>
                <w:b/>
                <w:sz w:val="20"/>
              </w:rPr>
              <w:t>Versi</w:t>
            </w:r>
          </w:p>
        </w:tc>
        <w:tc>
          <w:tcPr>
            <w:tcW w:type="dxa" w:w="3213"/>
            <w:shd w:val="clear" w:color="auto" w:fill="D9D9D9"/>
          </w:tcPr>
          <w:p>
            <w:pPr>
              <w:jc w:val="center"/>
            </w:pPr>
            <w:r>
              <w:rPr>
                <w:rFonts w:ascii="Times New Roman" w:hAnsi="Times New Roman"/>
                <w:b/>
                <w:sz w:val="20"/>
              </w:rPr>
              <w:t>Fungsi</w:t>
            </w:r>
          </w:p>
        </w:tc>
      </w:tr>
      <w:tr>
        <w:tc>
          <w:tcPr>
            <w:tcW w:type="dxa" w:w="3213"/>
          </w:tcPr>
          <w:p>
            <w:pPr>
              <w:jc w:val="left"/>
            </w:pPr>
            <w:r>
              <w:rPr>
                <w:rFonts w:ascii="Times New Roman" w:hAnsi="Times New Roman"/>
                <w:sz w:val="20"/>
              </w:rPr>
              <w:t>transformers</w:t>
            </w:r>
          </w:p>
        </w:tc>
        <w:tc>
          <w:tcPr>
            <w:tcW w:type="dxa" w:w="3213"/>
          </w:tcPr>
          <w:p>
            <w:pPr>
              <w:jc w:val="center"/>
            </w:pPr>
            <w:r>
              <w:rPr>
                <w:rFonts w:ascii="Times New Roman" w:hAnsi="Times New Roman"/>
                <w:sz w:val="20"/>
              </w:rPr>
              <w:t>4.41.2</w:t>
            </w:r>
          </w:p>
        </w:tc>
        <w:tc>
          <w:tcPr>
            <w:tcW w:type="dxa" w:w="3213"/>
          </w:tcPr>
          <w:p>
            <w:pPr>
              <w:jc w:val="center"/>
            </w:pPr>
            <w:r>
              <w:rPr>
                <w:rFonts w:ascii="Times New Roman" w:hAnsi="Times New Roman"/>
                <w:sz w:val="20"/>
              </w:rPr>
              <w:t>Model IndoBERT dan tokenizer</w:t>
            </w:r>
          </w:p>
        </w:tc>
      </w:tr>
      <w:tr>
        <w:tc>
          <w:tcPr>
            <w:tcW w:type="dxa" w:w="3213"/>
          </w:tcPr>
          <w:p>
            <w:pPr>
              <w:jc w:val="left"/>
            </w:pPr>
            <w:r>
              <w:rPr>
                <w:rFonts w:ascii="Times New Roman" w:hAnsi="Times New Roman"/>
                <w:sz w:val="20"/>
              </w:rPr>
              <w:t>torch (PyTorch)</w:t>
            </w:r>
          </w:p>
        </w:tc>
        <w:tc>
          <w:tcPr>
            <w:tcW w:type="dxa" w:w="3213"/>
          </w:tcPr>
          <w:p>
            <w:pPr>
              <w:jc w:val="center"/>
            </w:pPr>
            <w:r>
              <w:rPr>
                <w:rFonts w:ascii="Times New Roman" w:hAnsi="Times New Roman"/>
                <w:sz w:val="20"/>
              </w:rPr>
              <w:t>2.3.0</w:t>
            </w:r>
          </w:p>
        </w:tc>
        <w:tc>
          <w:tcPr>
            <w:tcW w:type="dxa" w:w="3213"/>
          </w:tcPr>
          <w:p>
            <w:pPr>
              <w:jc w:val="center"/>
            </w:pPr>
            <w:r>
              <w:rPr>
                <w:rFonts w:ascii="Times New Roman" w:hAnsi="Times New Roman"/>
                <w:sz w:val="20"/>
              </w:rPr>
              <w:t>Komputasi tensor dan inferensi</w:t>
            </w:r>
          </w:p>
        </w:tc>
      </w:tr>
      <w:tr>
        <w:tc>
          <w:tcPr>
            <w:tcW w:type="dxa" w:w="3213"/>
          </w:tcPr>
          <w:p>
            <w:pPr>
              <w:jc w:val="left"/>
            </w:pPr>
            <w:r>
              <w:rPr>
                <w:rFonts w:ascii="Times New Roman" w:hAnsi="Times New Roman"/>
                <w:sz w:val="20"/>
              </w:rPr>
              <w:t>scikit-learn</w:t>
            </w:r>
          </w:p>
        </w:tc>
        <w:tc>
          <w:tcPr>
            <w:tcW w:type="dxa" w:w="3213"/>
          </w:tcPr>
          <w:p>
            <w:pPr>
              <w:jc w:val="center"/>
            </w:pPr>
            <w:r>
              <w:rPr>
                <w:rFonts w:ascii="Times New Roman" w:hAnsi="Times New Roman"/>
                <w:sz w:val="20"/>
              </w:rPr>
              <w:t>1.4.2</w:t>
            </w:r>
          </w:p>
        </w:tc>
        <w:tc>
          <w:tcPr>
            <w:tcW w:type="dxa" w:w="3213"/>
          </w:tcPr>
          <w:p>
            <w:pPr>
              <w:jc w:val="center"/>
            </w:pPr>
            <w:r>
              <w:rPr>
                <w:rFonts w:ascii="Times New Roman" w:hAnsi="Times New Roman"/>
                <w:sz w:val="20"/>
              </w:rPr>
              <w:t>Pembagian data &amp; metrik evaluasi</w:t>
            </w:r>
          </w:p>
        </w:tc>
      </w:tr>
      <w:tr>
        <w:tc>
          <w:tcPr>
            <w:tcW w:type="dxa" w:w="3213"/>
          </w:tcPr>
          <w:p>
            <w:pPr>
              <w:jc w:val="left"/>
            </w:pPr>
            <w:r>
              <w:rPr>
                <w:rFonts w:ascii="Times New Roman" w:hAnsi="Times New Roman"/>
                <w:sz w:val="20"/>
              </w:rPr>
              <w:t>pdfminer.six</w:t>
            </w:r>
          </w:p>
        </w:tc>
        <w:tc>
          <w:tcPr>
            <w:tcW w:type="dxa" w:w="3213"/>
          </w:tcPr>
          <w:p>
            <w:pPr>
              <w:jc w:val="center"/>
            </w:pPr>
            <w:r>
              <w:rPr>
                <w:rFonts w:ascii="Times New Roman" w:hAnsi="Times New Roman"/>
                <w:sz w:val="20"/>
              </w:rPr>
              <w:t>20260107</w:t>
            </w:r>
          </w:p>
        </w:tc>
        <w:tc>
          <w:tcPr>
            <w:tcW w:type="dxa" w:w="3213"/>
          </w:tcPr>
          <w:p>
            <w:pPr>
              <w:jc w:val="center"/>
            </w:pPr>
            <w:r>
              <w:rPr>
                <w:rFonts w:ascii="Times New Roman" w:hAnsi="Times New Roman"/>
                <w:sz w:val="20"/>
              </w:rPr>
              <w:t>Konversi PDF ke teks</w:t>
            </w:r>
          </w:p>
        </w:tc>
      </w:tr>
      <w:tr>
        <w:tc>
          <w:tcPr>
            <w:tcW w:type="dxa" w:w="3213"/>
          </w:tcPr>
          <w:p>
            <w:pPr>
              <w:jc w:val="left"/>
            </w:pPr>
            <w:r>
              <w:rPr>
                <w:rFonts w:ascii="Times New Roman" w:hAnsi="Times New Roman"/>
                <w:sz w:val="20"/>
              </w:rPr>
              <w:t>pandas</w:t>
            </w:r>
          </w:p>
        </w:tc>
        <w:tc>
          <w:tcPr>
            <w:tcW w:type="dxa" w:w="3213"/>
          </w:tcPr>
          <w:p>
            <w:pPr>
              <w:jc w:val="center"/>
            </w:pPr>
            <w:r>
              <w:rPr>
                <w:rFonts w:ascii="Times New Roman" w:hAnsi="Times New Roman"/>
                <w:sz w:val="20"/>
              </w:rPr>
              <w:t>≥1.5.0</w:t>
            </w:r>
          </w:p>
        </w:tc>
        <w:tc>
          <w:tcPr>
            <w:tcW w:type="dxa" w:w="3213"/>
          </w:tcPr>
          <w:p>
            <w:pPr>
              <w:jc w:val="center"/>
            </w:pPr>
            <w:r>
              <w:rPr>
                <w:rFonts w:ascii="Times New Roman" w:hAnsi="Times New Roman"/>
                <w:sz w:val="20"/>
              </w:rPr>
              <w:t>Manipulasi data tabular</w:t>
            </w:r>
          </w:p>
        </w:tc>
      </w:tr>
      <w:tr>
        <w:tc>
          <w:tcPr>
            <w:tcW w:type="dxa" w:w="3213"/>
          </w:tcPr>
          <w:p>
            <w:pPr>
              <w:jc w:val="left"/>
            </w:pPr>
            <w:r>
              <w:rPr>
                <w:rFonts w:ascii="Times New Roman" w:hAnsi="Times New Roman"/>
                <w:sz w:val="20"/>
              </w:rPr>
              <w:t>numpy</w:t>
            </w:r>
          </w:p>
        </w:tc>
        <w:tc>
          <w:tcPr>
            <w:tcW w:type="dxa" w:w="3213"/>
          </w:tcPr>
          <w:p>
            <w:pPr>
              <w:jc w:val="center"/>
            </w:pPr>
            <w:r>
              <w:rPr>
                <w:rFonts w:ascii="Times New Roman" w:hAnsi="Times New Roman"/>
                <w:sz w:val="20"/>
              </w:rPr>
              <w:t>≥1.23.0</w:t>
            </w:r>
          </w:p>
        </w:tc>
        <w:tc>
          <w:tcPr>
            <w:tcW w:type="dxa" w:w="3213"/>
          </w:tcPr>
          <w:p>
            <w:pPr>
              <w:jc w:val="center"/>
            </w:pPr>
            <w:r>
              <w:rPr>
                <w:rFonts w:ascii="Times New Roman" w:hAnsi="Times New Roman"/>
                <w:sz w:val="20"/>
              </w:rPr>
              <w:t>Komputasi numerik</w:t>
            </w:r>
          </w:p>
        </w:tc>
      </w:tr>
      <w:tr>
        <w:tc>
          <w:tcPr>
            <w:tcW w:type="dxa" w:w="3213"/>
          </w:tcPr>
          <w:p>
            <w:pPr>
              <w:jc w:val="left"/>
            </w:pPr>
            <w:r>
              <w:rPr>
                <w:rFonts w:ascii="Times New Roman" w:hAnsi="Times New Roman"/>
                <w:sz w:val="20"/>
              </w:rPr>
              <w:t>matplotlib</w:t>
            </w:r>
          </w:p>
        </w:tc>
        <w:tc>
          <w:tcPr>
            <w:tcW w:type="dxa" w:w="3213"/>
          </w:tcPr>
          <w:p>
            <w:pPr>
              <w:jc w:val="center"/>
            </w:pPr>
            <w:r>
              <w:rPr>
                <w:rFonts w:ascii="Times New Roman" w:hAnsi="Times New Roman"/>
                <w:sz w:val="20"/>
              </w:rPr>
              <w:t>≥3.6.0</w:t>
            </w:r>
          </w:p>
        </w:tc>
        <w:tc>
          <w:tcPr>
            <w:tcW w:type="dxa" w:w="3213"/>
          </w:tcPr>
          <w:p>
            <w:pPr>
              <w:jc w:val="center"/>
            </w:pPr>
            <w:r>
              <w:rPr>
                <w:rFonts w:ascii="Times New Roman" w:hAnsi="Times New Roman"/>
                <w:sz w:val="20"/>
              </w:rPr>
              <w:t>Visualisasi data</w:t>
            </w:r>
          </w:p>
        </w:tc>
      </w:tr>
    </w:tbl>
    <w:p/>
    <w:p>
      <w:pPr>
        <w:spacing w:before="120" w:after="80" w:line="240" w:lineRule="exact"/>
        <w:jc w:val="left"/>
      </w:pPr>
      <w:r>
        <w:rPr>
          <w:rFonts w:ascii="Times New Roman" w:hAnsi="Times New Roman"/>
          <w:b/>
          <w:sz w:val="20"/>
        </w:rPr>
        <w:t>B. Spesifikasi Model IndoBERT</w:t>
      </w:r>
    </w:p>
    <w:p>
      <w:pPr>
        <w:spacing w:before="0" w:after="80" w:line="240" w:lineRule="exact"/>
        <w:jc w:val="both"/>
      </w:pPr>
      <w:r>
        <w:rPr>
          <w:rFonts w:ascii="Times New Roman" w:hAnsi="Times New Roman"/>
          <w:b w:val="0"/>
          <w:i w:val="0"/>
          <w:sz w:val="24"/>
        </w:rPr>
        <w:t>Model yang digunakan adalah indobenchmark/indobert-base-p1 dari Hugging Face Model Hub. Model ini memiliki arsitektur BERT-base dengan 124.441.344 parameter yang telah dilatih pada korpus bahasa Indonesia berskala besar [5]. Konfigurasi inferensi disajikan pada Tabel II.</w:t>
      </w:r>
    </w:p>
    <w:p>
      <w:pPr>
        <w:spacing w:before="120" w:after="40" w:line="240" w:lineRule="exact"/>
        <w:jc w:val="center"/>
      </w:pPr>
      <w:r>
        <w:rPr>
          <w:rFonts w:ascii="Times New Roman" w:hAnsi="Times New Roman"/>
          <w:b/>
          <w:sz w:val="20"/>
        </w:rPr>
        <w:t>Tabel II. Konfigurasi Model IndoBERT</w:t>
      </w:r>
    </w:p>
    <w:tbl>
      <w:tblPr>
        <w:tblStyle w:val="TableGrid"/>
        <w:tblW w:type="auto" w:w="0"/>
        <w:tblLook w:firstColumn="1" w:firstRow="1" w:lastColumn="0" w:lastRow="0" w:noHBand="0" w:noVBand="1" w:val="04A0"/>
      </w:tblPr>
      <w:tblGrid>
        <w:gridCol w:w="4819"/>
        <w:gridCol w:w="4819"/>
      </w:tblGrid>
      <w:tr>
        <w:tc>
          <w:tcPr>
            <w:tcW w:type="dxa" w:w="4819"/>
            <w:shd w:val="clear" w:color="auto" w:fill="D9D9D9"/>
          </w:tcPr>
          <w:p>
            <w:pPr>
              <w:jc w:val="center"/>
            </w:pPr>
            <w:r>
              <w:rPr>
                <w:rFonts w:ascii="Times New Roman" w:hAnsi="Times New Roman"/>
                <w:b/>
                <w:sz w:val="20"/>
              </w:rPr>
              <w:t>Parameter</w:t>
            </w:r>
          </w:p>
        </w:tc>
        <w:tc>
          <w:tcPr>
            <w:tcW w:type="dxa" w:w="4819"/>
            <w:shd w:val="clear" w:color="auto" w:fill="D9D9D9"/>
          </w:tcPr>
          <w:p>
            <w:pPr>
              <w:jc w:val="center"/>
            </w:pPr>
            <w:r>
              <w:rPr>
                <w:rFonts w:ascii="Times New Roman" w:hAnsi="Times New Roman"/>
                <w:b/>
                <w:sz w:val="20"/>
              </w:rPr>
              <w:t>Nilai</w:t>
            </w:r>
          </w:p>
        </w:tc>
      </w:tr>
      <w:tr>
        <w:tc>
          <w:tcPr>
            <w:tcW w:type="dxa" w:w="4819"/>
          </w:tcPr>
          <w:p>
            <w:pPr>
              <w:jc w:val="left"/>
            </w:pPr>
            <w:r>
              <w:rPr>
                <w:rFonts w:ascii="Times New Roman" w:hAnsi="Times New Roman"/>
                <w:sz w:val="20"/>
              </w:rPr>
              <w:t>Model</w:t>
            </w:r>
          </w:p>
        </w:tc>
        <w:tc>
          <w:tcPr>
            <w:tcW w:type="dxa" w:w="4819"/>
          </w:tcPr>
          <w:p>
            <w:pPr>
              <w:jc w:val="center"/>
            </w:pPr>
            <w:r>
              <w:rPr>
                <w:rFonts w:ascii="Times New Roman" w:hAnsi="Times New Roman"/>
                <w:sz w:val="20"/>
              </w:rPr>
              <w:t>indobenchmark/indobert-base-p1</w:t>
            </w:r>
          </w:p>
        </w:tc>
      </w:tr>
      <w:tr>
        <w:tc>
          <w:tcPr>
            <w:tcW w:type="dxa" w:w="4819"/>
          </w:tcPr>
          <w:p>
            <w:pPr>
              <w:jc w:val="left"/>
            </w:pPr>
            <w:r>
              <w:rPr>
                <w:rFonts w:ascii="Times New Roman" w:hAnsi="Times New Roman"/>
                <w:sz w:val="20"/>
              </w:rPr>
              <w:t>Jumlah parameter</w:t>
            </w:r>
          </w:p>
        </w:tc>
        <w:tc>
          <w:tcPr>
            <w:tcW w:type="dxa" w:w="4819"/>
          </w:tcPr>
          <w:p>
            <w:pPr>
              <w:jc w:val="center"/>
            </w:pPr>
            <w:r>
              <w:rPr>
                <w:rFonts w:ascii="Times New Roman" w:hAnsi="Times New Roman"/>
                <w:sz w:val="20"/>
              </w:rPr>
              <w:t>124.441.344</w:t>
            </w:r>
          </w:p>
        </w:tc>
      </w:tr>
      <w:tr>
        <w:tc>
          <w:tcPr>
            <w:tcW w:type="dxa" w:w="4819"/>
          </w:tcPr>
          <w:p>
            <w:pPr>
              <w:jc w:val="left"/>
            </w:pPr>
            <w:r>
              <w:rPr>
                <w:rFonts w:ascii="Times New Roman" w:hAnsi="Times New Roman"/>
                <w:sz w:val="20"/>
              </w:rPr>
              <w:t>Dimensi embedding</w:t>
            </w:r>
          </w:p>
        </w:tc>
        <w:tc>
          <w:tcPr>
            <w:tcW w:type="dxa" w:w="4819"/>
          </w:tcPr>
          <w:p>
            <w:pPr>
              <w:jc w:val="center"/>
            </w:pPr>
            <w:r>
              <w:rPr>
                <w:rFonts w:ascii="Times New Roman" w:hAnsi="Times New Roman"/>
                <w:sz w:val="20"/>
              </w:rPr>
              <w:t>768</w:t>
            </w:r>
          </w:p>
        </w:tc>
      </w:tr>
      <w:tr>
        <w:tc>
          <w:tcPr>
            <w:tcW w:type="dxa" w:w="4819"/>
          </w:tcPr>
          <w:p>
            <w:pPr>
              <w:jc w:val="left"/>
            </w:pPr>
            <w:r>
              <w:rPr>
                <w:rFonts w:ascii="Times New Roman" w:hAnsi="Times New Roman"/>
                <w:sz w:val="20"/>
              </w:rPr>
              <w:t>Panjang token maksimum</w:t>
            </w:r>
          </w:p>
        </w:tc>
        <w:tc>
          <w:tcPr>
            <w:tcW w:type="dxa" w:w="4819"/>
          </w:tcPr>
          <w:p>
            <w:pPr>
              <w:jc w:val="center"/>
            </w:pPr>
            <w:r>
              <w:rPr>
                <w:rFonts w:ascii="Times New Roman" w:hAnsi="Times New Roman"/>
                <w:sz w:val="20"/>
              </w:rPr>
              <w:t>512</w:t>
            </w:r>
          </w:p>
        </w:tc>
      </w:tr>
      <w:tr>
        <w:tc>
          <w:tcPr>
            <w:tcW w:type="dxa" w:w="4819"/>
          </w:tcPr>
          <w:p>
            <w:pPr>
              <w:jc w:val="left"/>
            </w:pPr>
            <w:r>
              <w:rPr>
                <w:rFonts w:ascii="Times New Roman" w:hAnsi="Times New Roman"/>
                <w:sz w:val="20"/>
              </w:rPr>
              <w:t>Strategi pooling</w:t>
            </w:r>
          </w:p>
        </w:tc>
        <w:tc>
          <w:tcPr>
            <w:tcW w:type="dxa" w:w="4819"/>
          </w:tcPr>
          <w:p>
            <w:pPr>
              <w:jc w:val="center"/>
            </w:pPr>
            <w:r>
              <w:rPr>
                <w:rFonts w:ascii="Times New Roman" w:hAnsi="Times New Roman"/>
                <w:sz w:val="20"/>
              </w:rPr>
              <w:t>Mean Pooling</w:t>
            </w:r>
          </w:p>
        </w:tc>
      </w:tr>
      <w:tr>
        <w:tc>
          <w:tcPr>
            <w:tcW w:type="dxa" w:w="4819"/>
          </w:tcPr>
          <w:p>
            <w:pPr>
              <w:jc w:val="left"/>
            </w:pPr>
            <w:r>
              <w:rPr>
                <w:rFonts w:ascii="Times New Roman" w:hAnsi="Times New Roman"/>
                <w:sz w:val="20"/>
              </w:rPr>
              <w:t>Normalisasi</w:t>
            </w:r>
          </w:p>
        </w:tc>
        <w:tc>
          <w:tcPr>
            <w:tcW w:type="dxa" w:w="4819"/>
          </w:tcPr>
          <w:p>
            <w:pPr>
              <w:jc w:val="center"/>
            </w:pPr>
            <w:r>
              <w:rPr>
                <w:rFonts w:ascii="Times New Roman" w:hAnsi="Times New Roman"/>
                <w:sz w:val="20"/>
              </w:rPr>
              <w:t>L2 Normalization</w:t>
            </w:r>
          </w:p>
        </w:tc>
      </w:tr>
      <w:tr>
        <w:tc>
          <w:tcPr>
            <w:tcW w:type="dxa" w:w="4819"/>
          </w:tcPr>
          <w:p>
            <w:pPr>
              <w:jc w:val="left"/>
            </w:pPr>
            <w:r>
              <w:rPr>
                <w:rFonts w:ascii="Times New Roman" w:hAnsi="Times New Roman"/>
                <w:sz w:val="20"/>
              </w:rPr>
              <w:t>Ukuran batch</w:t>
            </w:r>
          </w:p>
        </w:tc>
        <w:tc>
          <w:tcPr>
            <w:tcW w:type="dxa" w:w="4819"/>
          </w:tcPr>
          <w:p>
            <w:pPr>
              <w:jc w:val="center"/>
            </w:pPr>
            <w:r>
              <w:rPr>
                <w:rFonts w:ascii="Times New Roman" w:hAnsi="Times New Roman"/>
                <w:sz w:val="20"/>
              </w:rPr>
              <w:t>8</w:t>
            </w:r>
          </w:p>
        </w:tc>
      </w:tr>
      <w:tr>
        <w:tc>
          <w:tcPr>
            <w:tcW w:type="dxa" w:w="4819"/>
          </w:tcPr>
          <w:p>
            <w:pPr>
              <w:jc w:val="left"/>
            </w:pPr>
            <w:r>
              <w:rPr>
                <w:rFonts w:ascii="Times New Roman" w:hAnsi="Times New Roman"/>
                <w:sz w:val="20"/>
              </w:rPr>
              <w:t>Perangkat komputasi</w:t>
            </w:r>
          </w:p>
        </w:tc>
        <w:tc>
          <w:tcPr>
            <w:tcW w:type="dxa" w:w="4819"/>
          </w:tcPr>
          <w:p>
            <w:pPr>
              <w:jc w:val="center"/>
            </w:pPr>
            <w:r>
              <w:rPr>
                <w:rFonts w:ascii="Times New Roman" w:hAnsi="Times New Roman"/>
                <w:sz w:val="20"/>
              </w:rPr>
              <w:t>CPU</w:t>
            </w:r>
          </w:p>
        </w:tc>
      </w:tr>
    </w:tbl>
    <w:p/>
    <w:p>
      <w:pPr>
        <w:spacing w:before="120" w:after="80" w:line="240" w:lineRule="exact"/>
        <w:jc w:val="left"/>
      </w:pPr>
      <w:r>
        <w:rPr>
          <w:rFonts w:ascii="Times New Roman" w:hAnsi="Times New Roman"/>
          <w:b/>
          <w:sz w:val="20"/>
        </w:rPr>
        <w:t>C. Pipeline Implementasi</w:t>
      </w:r>
    </w:p>
    <w:p>
      <w:pPr>
        <w:spacing w:before="0" w:after="80" w:line="240" w:lineRule="exact"/>
        <w:jc w:val="both"/>
      </w:pPr>
      <w:r>
        <w:rPr>
          <w:rFonts w:ascii="Times New Roman" w:hAnsi="Times New Roman"/>
          <w:b w:val="0"/>
          <w:i w:val="0"/>
          <w:sz w:val="24"/>
        </w:rPr>
        <w:t>Implementasi dilakukan secara sekuensial melalui lima notebook Jupyter: (1) 01_case_base.ipynb — konversi 35 PDF ke teks bersih; (2) 02_case_representation.ipynb — ekstraksi 18 atribut terstruktur; (3) 03_case_retrieval.ipynb — embedding IndoBERT dan pembagian 80:20; (4) 04_solution_reuse.ipynb — prediksi weighted similarity; dan (5) 05_evaluation.ipynb — perhitungan seluruh metrik evaluasi.</w:t>
      </w:r>
    </w:p>
    <w:p>
      <w:pPr>
        <w:spacing w:before="120" w:after="80" w:line="240" w:lineRule="exact"/>
        <w:jc w:val="left"/>
      </w:pPr>
      <w:r>
        <w:rPr>
          <w:rFonts w:ascii="Times New Roman" w:hAnsi="Times New Roman"/>
          <w:b/>
          <w:sz w:val="20"/>
        </w:rPr>
        <w:t>D. Struktur Data</w:t>
      </w:r>
    </w:p>
    <w:p>
      <w:pPr>
        <w:spacing w:before="120" w:after="40" w:line="240" w:lineRule="exact"/>
        <w:jc w:val="center"/>
      </w:pPr>
      <w:r>
        <w:rPr>
          <w:rFonts w:ascii="Times New Roman" w:hAnsi="Times New Roman"/>
          <w:b/>
          <w:sz w:val="20"/>
        </w:rPr>
        <w:t>Tabel III. Statistik Deskriptif Dataset</w:t>
      </w:r>
    </w:p>
    <w:tbl>
      <w:tblPr>
        <w:tblStyle w:val="TableGrid"/>
        <w:tblW w:type="auto" w:w="0"/>
        <w:tblLook w:firstColumn="1" w:firstRow="1" w:lastColumn="0" w:lastRow="0" w:noHBand="0" w:noVBand="1" w:val="04A0"/>
      </w:tblPr>
      <w:tblGrid>
        <w:gridCol w:w="4819"/>
        <w:gridCol w:w="4819"/>
      </w:tblGrid>
      <w:tr>
        <w:tc>
          <w:tcPr>
            <w:tcW w:type="dxa" w:w="4819"/>
            <w:shd w:val="clear" w:color="auto" w:fill="D9D9D9"/>
          </w:tcPr>
          <w:p>
            <w:pPr>
              <w:jc w:val="center"/>
            </w:pPr>
            <w:r>
              <w:rPr>
                <w:rFonts w:ascii="Times New Roman" w:hAnsi="Times New Roman"/>
                <w:b/>
                <w:sz w:val="20"/>
              </w:rPr>
              <w:t>Karakteristik</w:t>
            </w:r>
          </w:p>
        </w:tc>
        <w:tc>
          <w:tcPr>
            <w:tcW w:type="dxa" w:w="4819"/>
            <w:shd w:val="clear" w:color="auto" w:fill="D9D9D9"/>
          </w:tcPr>
          <w:p>
            <w:pPr>
              <w:jc w:val="center"/>
            </w:pPr>
            <w:r>
              <w:rPr>
                <w:rFonts w:ascii="Times New Roman" w:hAnsi="Times New Roman"/>
                <w:b/>
                <w:sz w:val="20"/>
              </w:rPr>
              <w:t>Nilai</w:t>
            </w:r>
          </w:p>
        </w:tc>
      </w:tr>
      <w:tr>
        <w:tc>
          <w:tcPr>
            <w:tcW w:type="dxa" w:w="4819"/>
          </w:tcPr>
          <w:p>
            <w:pPr>
              <w:jc w:val="left"/>
            </w:pPr>
            <w:r>
              <w:rPr>
                <w:rFonts w:ascii="Times New Roman" w:hAnsi="Times New Roman"/>
                <w:sz w:val="20"/>
              </w:rPr>
              <w:t>Jumlah dokumen</w:t>
            </w:r>
          </w:p>
        </w:tc>
        <w:tc>
          <w:tcPr>
            <w:tcW w:type="dxa" w:w="4819"/>
          </w:tcPr>
          <w:p>
            <w:pPr>
              <w:jc w:val="center"/>
            </w:pPr>
            <w:r>
              <w:rPr>
                <w:rFonts w:ascii="Times New Roman" w:hAnsi="Times New Roman"/>
                <w:sz w:val="20"/>
              </w:rPr>
              <w:t>35</w:t>
            </w:r>
          </w:p>
        </w:tc>
      </w:tr>
      <w:tr>
        <w:tc>
          <w:tcPr>
            <w:tcW w:type="dxa" w:w="4819"/>
          </w:tcPr>
          <w:p>
            <w:pPr>
              <w:jc w:val="left"/>
            </w:pPr>
            <w:r>
              <w:rPr>
                <w:rFonts w:ascii="Times New Roman" w:hAnsi="Times New Roman"/>
                <w:sz w:val="20"/>
              </w:rPr>
              <w:t>Rata-rata jumlah kata</w:t>
            </w:r>
          </w:p>
        </w:tc>
        <w:tc>
          <w:tcPr>
            <w:tcW w:type="dxa" w:w="4819"/>
          </w:tcPr>
          <w:p>
            <w:pPr>
              <w:jc w:val="center"/>
            </w:pPr>
            <w:r>
              <w:rPr>
                <w:rFonts w:ascii="Times New Roman" w:hAnsi="Times New Roman"/>
                <w:sz w:val="20"/>
              </w:rPr>
              <w:t>8.662 kata</w:t>
            </w:r>
          </w:p>
        </w:tc>
      </w:tr>
      <w:tr>
        <w:tc>
          <w:tcPr>
            <w:tcW w:type="dxa" w:w="4819"/>
          </w:tcPr>
          <w:p>
            <w:pPr>
              <w:jc w:val="left"/>
            </w:pPr>
            <w:r>
              <w:rPr>
                <w:rFonts w:ascii="Times New Roman" w:hAnsi="Times New Roman"/>
                <w:sz w:val="20"/>
              </w:rPr>
              <w:t>Minimum jumlah kata</w:t>
            </w:r>
          </w:p>
        </w:tc>
        <w:tc>
          <w:tcPr>
            <w:tcW w:type="dxa" w:w="4819"/>
          </w:tcPr>
          <w:p>
            <w:pPr>
              <w:jc w:val="center"/>
            </w:pPr>
            <w:r>
              <w:rPr>
                <w:rFonts w:ascii="Times New Roman" w:hAnsi="Times New Roman"/>
                <w:sz w:val="20"/>
              </w:rPr>
              <w:t>1.934 kata (case_029)</w:t>
            </w:r>
          </w:p>
        </w:tc>
      </w:tr>
      <w:tr>
        <w:tc>
          <w:tcPr>
            <w:tcW w:type="dxa" w:w="4819"/>
          </w:tcPr>
          <w:p>
            <w:pPr>
              <w:jc w:val="left"/>
            </w:pPr>
            <w:r>
              <w:rPr>
                <w:rFonts w:ascii="Times New Roman" w:hAnsi="Times New Roman"/>
                <w:sz w:val="20"/>
              </w:rPr>
              <w:t>Maksimum jumlah kata</w:t>
            </w:r>
          </w:p>
        </w:tc>
        <w:tc>
          <w:tcPr>
            <w:tcW w:type="dxa" w:w="4819"/>
          </w:tcPr>
          <w:p>
            <w:pPr>
              <w:jc w:val="center"/>
            </w:pPr>
            <w:r>
              <w:rPr>
                <w:rFonts w:ascii="Times New Roman" w:hAnsi="Times New Roman"/>
                <w:sz w:val="20"/>
              </w:rPr>
              <w:t>83.980 kata (case_010)</w:t>
            </w:r>
          </w:p>
        </w:tc>
      </w:tr>
      <w:tr>
        <w:tc>
          <w:tcPr>
            <w:tcW w:type="dxa" w:w="4819"/>
          </w:tcPr>
          <w:p>
            <w:pPr>
              <w:jc w:val="left"/>
            </w:pPr>
            <w:r>
              <w:rPr>
                <w:rFonts w:ascii="Times New Roman" w:hAnsi="Times New Roman"/>
                <w:sz w:val="20"/>
              </w:rPr>
              <w:t>Dokumen valid</w:t>
            </w:r>
          </w:p>
        </w:tc>
        <w:tc>
          <w:tcPr>
            <w:tcW w:type="dxa" w:w="4819"/>
          </w:tcPr>
          <w:p>
            <w:pPr>
              <w:jc w:val="center"/>
            </w:pPr>
            <w:r>
              <w:rPr>
                <w:rFonts w:ascii="Times New Roman" w:hAnsi="Times New Roman"/>
                <w:sz w:val="20"/>
              </w:rPr>
              <w:t>35/35 (100%)</w:t>
            </w:r>
          </w:p>
        </w:tc>
      </w:tr>
      <w:tr>
        <w:tc>
          <w:tcPr>
            <w:tcW w:type="dxa" w:w="4819"/>
          </w:tcPr>
          <w:p>
            <w:pPr>
              <w:jc w:val="left"/>
            </w:pPr>
            <w:r>
              <w:rPr>
                <w:rFonts w:ascii="Times New Roman" w:hAnsi="Times New Roman"/>
                <w:sz w:val="20"/>
              </w:rPr>
              <w:t>Rasio pembagian data</w:t>
            </w:r>
          </w:p>
        </w:tc>
        <w:tc>
          <w:tcPr>
            <w:tcW w:type="dxa" w:w="4819"/>
          </w:tcPr>
          <w:p>
            <w:pPr>
              <w:jc w:val="center"/>
            </w:pPr>
            <w:r>
              <w:rPr>
                <w:rFonts w:ascii="Times New Roman" w:hAnsi="Times New Roman"/>
                <w:sz w:val="20"/>
              </w:rPr>
              <w:t>80:20 (28 train, 7 test)</w:t>
            </w:r>
          </w:p>
        </w:tc>
      </w:tr>
      <w:tr>
        <w:tc>
          <w:tcPr>
            <w:tcW w:type="dxa" w:w="4819"/>
          </w:tcPr>
          <w:p>
            <w:pPr>
              <w:jc w:val="left"/>
            </w:pPr>
            <w:r>
              <w:rPr>
                <w:rFonts w:ascii="Times New Roman" w:hAnsi="Times New Roman"/>
                <w:sz w:val="20"/>
              </w:rPr>
              <w:t>Rentang tahun putusan</w:t>
            </w:r>
          </w:p>
        </w:tc>
        <w:tc>
          <w:tcPr>
            <w:tcW w:type="dxa" w:w="4819"/>
          </w:tcPr>
          <w:p>
            <w:pPr>
              <w:jc w:val="center"/>
            </w:pPr>
            <w:r>
              <w:rPr>
                <w:rFonts w:ascii="Times New Roman" w:hAnsi="Times New Roman"/>
                <w:sz w:val="20"/>
              </w:rPr>
              <w:t>2008–2025</w:t>
            </w:r>
          </w:p>
        </w:tc>
      </w:tr>
    </w:tbl>
    <w:p/>
    <w:p>
      <w:pPr>
        <w:spacing w:before="120" w:after="80" w:line="240" w:lineRule="exact"/>
        <w:jc w:val="left"/>
      </w:pPr>
      <w:r>
        <w:rPr>
          <w:rFonts w:ascii="Times New Roman" w:hAnsi="Times New Roman"/>
          <w:b/>
          <w:sz w:val="20"/>
        </w:rPr>
        <w:t>IV. HASIL DAN EVALUASI</w:t>
      </w:r>
    </w:p>
    <w:p>
      <w:pPr>
        <w:spacing w:before="120" w:after="80" w:line="240" w:lineRule="exact"/>
        <w:jc w:val="left"/>
      </w:pPr>
      <w:r>
        <w:rPr>
          <w:rFonts w:ascii="Times New Roman" w:hAnsi="Times New Roman"/>
          <w:b/>
          <w:sz w:val="20"/>
        </w:rPr>
        <w:t>A. Hasil Ekstraksi Metadata</w:t>
      </w:r>
    </w:p>
    <w:p>
      <w:pPr>
        <w:spacing w:before="0" w:after="80" w:line="240" w:lineRule="exact"/>
        <w:jc w:val="both"/>
      </w:pPr>
      <w:r>
        <w:rPr>
          <w:rFonts w:ascii="Times New Roman" w:hAnsi="Times New Roman"/>
          <w:b w:val="0"/>
          <w:i w:val="0"/>
          <w:sz w:val="24"/>
        </w:rPr>
        <w:t>Tingkat keberhasilan ekstraksi metadata dari 35 dokumen disajikan pada Tabel IV. Nomor perkara dan tanggal mencapai tingkat ekstraksi sempurna, sementara vonis mengalami tingkat ekstraksi paling rendah (17,1%) akibat variasi formulasi kalimat vonis dalam dokumen putusan.</w:t>
      </w:r>
    </w:p>
    <w:p>
      <w:pPr>
        <w:spacing w:before="120" w:after="40" w:line="240" w:lineRule="exact"/>
        <w:jc w:val="center"/>
      </w:pPr>
      <w:r>
        <w:rPr>
          <w:rFonts w:ascii="Times New Roman" w:hAnsi="Times New Roman"/>
          <w:b/>
          <w:sz w:val="20"/>
        </w:rPr>
        <w:t>Tabel IV. Tingkat Keberhasilan Ekstraksi Metadata</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D9D9"/>
          </w:tcPr>
          <w:p>
            <w:pPr>
              <w:jc w:val="center"/>
            </w:pPr>
            <w:r>
              <w:rPr>
                <w:rFonts w:ascii="Times New Roman" w:hAnsi="Times New Roman"/>
                <w:b/>
                <w:sz w:val="20"/>
              </w:rPr>
              <w:t>Atribut</w:t>
            </w:r>
          </w:p>
        </w:tc>
        <w:tc>
          <w:tcPr>
            <w:tcW w:type="dxa" w:w="2409"/>
            <w:shd w:val="clear" w:color="auto" w:fill="D9D9D9"/>
          </w:tcPr>
          <w:p>
            <w:pPr>
              <w:jc w:val="center"/>
            </w:pPr>
            <w:r>
              <w:rPr>
                <w:rFonts w:ascii="Times New Roman" w:hAnsi="Times New Roman"/>
                <w:b/>
                <w:sz w:val="20"/>
              </w:rPr>
              <w:t>Berhasil</w:t>
            </w:r>
          </w:p>
        </w:tc>
        <w:tc>
          <w:tcPr>
            <w:tcW w:type="dxa" w:w="2409"/>
            <w:shd w:val="clear" w:color="auto" w:fill="D9D9D9"/>
          </w:tcPr>
          <w:p>
            <w:pPr>
              <w:jc w:val="center"/>
            </w:pPr>
            <w:r>
              <w:rPr>
                <w:rFonts w:ascii="Times New Roman" w:hAnsi="Times New Roman"/>
                <w:b/>
                <w:sz w:val="20"/>
              </w:rPr>
              <w:t>Gagal</w:t>
            </w:r>
          </w:p>
        </w:tc>
        <w:tc>
          <w:tcPr>
            <w:tcW w:type="dxa" w:w="2409"/>
            <w:shd w:val="clear" w:color="auto" w:fill="D9D9D9"/>
          </w:tcPr>
          <w:p>
            <w:pPr>
              <w:jc w:val="center"/>
            </w:pPr>
            <w:r>
              <w:rPr>
                <w:rFonts w:ascii="Times New Roman" w:hAnsi="Times New Roman"/>
                <w:b/>
                <w:sz w:val="20"/>
              </w:rPr>
              <w:t>Tingkat Keberhasilan</w:t>
            </w:r>
          </w:p>
        </w:tc>
      </w:tr>
      <w:tr>
        <w:tc>
          <w:tcPr>
            <w:tcW w:type="dxa" w:w="2409"/>
          </w:tcPr>
          <w:p>
            <w:pPr>
              <w:jc w:val="left"/>
            </w:pPr>
            <w:r>
              <w:rPr>
                <w:rFonts w:ascii="Times New Roman" w:hAnsi="Times New Roman"/>
                <w:sz w:val="20"/>
              </w:rPr>
              <w:t>Nomor perkara</w:t>
            </w:r>
          </w:p>
        </w:tc>
        <w:tc>
          <w:tcPr>
            <w:tcW w:type="dxa" w:w="2409"/>
          </w:tcPr>
          <w:p>
            <w:pPr>
              <w:jc w:val="center"/>
            </w:pPr>
            <w:r>
              <w:rPr>
                <w:rFonts w:ascii="Times New Roman" w:hAnsi="Times New Roman"/>
                <w:sz w:val="20"/>
              </w:rPr>
              <w:t>35</w:t>
            </w:r>
          </w:p>
        </w:tc>
        <w:tc>
          <w:tcPr>
            <w:tcW w:type="dxa" w:w="2409"/>
          </w:tcPr>
          <w:p>
            <w:pPr>
              <w:jc w:val="center"/>
            </w:pPr>
            <w:r>
              <w:rPr>
                <w:rFonts w:ascii="Times New Roman" w:hAnsi="Times New Roman"/>
                <w:sz w:val="20"/>
              </w:rPr>
              <w:t>0</w:t>
            </w:r>
          </w:p>
        </w:tc>
        <w:tc>
          <w:tcPr>
            <w:tcW w:type="dxa" w:w="2409"/>
          </w:tcPr>
          <w:p>
            <w:pPr>
              <w:jc w:val="center"/>
            </w:pPr>
            <w:r>
              <w:rPr>
                <w:rFonts w:ascii="Times New Roman" w:hAnsi="Times New Roman"/>
                <w:sz w:val="20"/>
              </w:rPr>
              <w:t>100,0%</w:t>
            </w:r>
          </w:p>
        </w:tc>
      </w:tr>
      <w:tr>
        <w:tc>
          <w:tcPr>
            <w:tcW w:type="dxa" w:w="2409"/>
          </w:tcPr>
          <w:p>
            <w:pPr>
              <w:jc w:val="left"/>
            </w:pPr>
            <w:r>
              <w:rPr>
                <w:rFonts w:ascii="Times New Roman" w:hAnsi="Times New Roman"/>
                <w:sz w:val="20"/>
              </w:rPr>
              <w:t>Tanggal</w:t>
            </w:r>
          </w:p>
        </w:tc>
        <w:tc>
          <w:tcPr>
            <w:tcW w:type="dxa" w:w="2409"/>
          </w:tcPr>
          <w:p>
            <w:pPr>
              <w:jc w:val="center"/>
            </w:pPr>
            <w:r>
              <w:rPr>
                <w:rFonts w:ascii="Times New Roman" w:hAnsi="Times New Roman"/>
                <w:sz w:val="20"/>
              </w:rPr>
              <w:t>35</w:t>
            </w:r>
          </w:p>
        </w:tc>
        <w:tc>
          <w:tcPr>
            <w:tcW w:type="dxa" w:w="2409"/>
          </w:tcPr>
          <w:p>
            <w:pPr>
              <w:jc w:val="center"/>
            </w:pPr>
            <w:r>
              <w:rPr>
                <w:rFonts w:ascii="Times New Roman" w:hAnsi="Times New Roman"/>
                <w:sz w:val="20"/>
              </w:rPr>
              <w:t>0</w:t>
            </w:r>
          </w:p>
        </w:tc>
        <w:tc>
          <w:tcPr>
            <w:tcW w:type="dxa" w:w="2409"/>
          </w:tcPr>
          <w:p>
            <w:pPr>
              <w:jc w:val="center"/>
            </w:pPr>
            <w:r>
              <w:rPr>
                <w:rFonts w:ascii="Times New Roman" w:hAnsi="Times New Roman"/>
                <w:sz w:val="20"/>
              </w:rPr>
              <w:t>100,0%</w:t>
            </w:r>
          </w:p>
        </w:tc>
      </w:tr>
      <w:tr>
        <w:tc>
          <w:tcPr>
            <w:tcW w:type="dxa" w:w="2409"/>
          </w:tcPr>
          <w:p>
            <w:pPr>
              <w:jc w:val="left"/>
            </w:pPr>
            <w:r>
              <w:rPr>
                <w:rFonts w:ascii="Times New Roman" w:hAnsi="Times New Roman"/>
                <w:sz w:val="20"/>
              </w:rPr>
              <w:t>Pasal</w:t>
            </w:r>
          </w:p>
        </w:tc>
        <w:tc>
          <w:tcPr>
            <w:tcW w:type="dxa" w:w="2409"/>
          </w:tcPr>
          <w:p>
            <w:pPr>
              <w:jc w:val="center"/>
            </w:pPr>
            <w:r>
              <w:rPr>
                <w:rFonts w:ascii="Times New Roman" w:hAnsi="Times New Roman"/>
                <w:sz w:val="20"/>
              </w:rPr>
              <w:t>34</w:t>
            </w:r>
          </w:p>
        </w:tc>
        <w:tc>
          <w:tcPr>
            <w:tcW w:type="dxa" w:w="2409"/>
          </w:tcPr>
          <w:p>
            <w:pPr>
              <w:jc w:val="center"/>
            </w:pPr>
            <w:r>
              <w:rPr>
                <w:rFonts w:ascii="Times New Roman" w:hAnsi="Times New Roman"/>
                <w:sz w:val="20"/>
              </w:rPr>
              <w:t>1</w:t>
            </w:r>
          </w:p>
        </w:tc>
        <w:tc>
          <w:tcPr>
            <w:tcW w:type="dxa" w:w="2409"/>
          </w:tcPr>
          <w:p>
            <w:pPr>
              <w:jc w:val="center"/>
            </w:pPr>
            <w:r>
              <w:rPr>
                <w:rFonts w:ascii="Times New Roman" w:hAnsi="Times New Roman"/>
                <w:sz w:val="20"/>
              </w:rPr>
              <w:t>97,1%</w:t>
            </w:r>
          </w:p>
        </w:tc>
      </w:tr>
      <w:tr>
        <w:tc>
          <w:tcPr>
            <w:tcW w:type="dxa" w:w="2409"/>
          </w:tcPr>
          <w:p>
            <w:pPr>
              <w:jc w:val="left"/>
            </w:pPr>
            <w:r>
              <w:rPr>
                <w:rFonts w:ascii="Times New Roman" w:hAnsi="Times New Roman"/>
                <w:sz w:val="20"/>
              </w:rPr>
              <w:t>Terdakwa</w:t>
            </w:r>
          </w:p>
        </w:tc>
        <w:tc>
          <w:tcPr>
            <w:tcW w:type="dxa" w:w="2409"/>
          </w:tcPr>
          <w:p>
            <w:pPr>
              <w:jc w:val="center"/>
            </w:pPr>
            <w:r>
              <w:rPr>
                <w:rFonts w:ascii="Times New Roman" w:hAnsi="Times New Roman"/>
                <w:sz w:val="20"/>
              </w:rPr>
              <w:t>30</w:t>
            </w:r>
          </w:p>
        </w:tc>
        <w:tc>
          <w:tcPr>
            <w:tcW w:type="dxa" w:w="2409"/>
          </w:tcPr>
          <w:p>
            <w:pPr>
              <w:jc w:val="center"/>
            </w:pPr>
            <w:r>
              <w:rPr>
                <w:rFonts w:ascii="Times New Roman" w:hAnsi="Times New Roman"/>
                <w:sz w:val="20"/>
              </w:rPr>
              <w:t>5</w:t>
            </w:r>
          </w:p>
        </w:tc>
        <w:tc>
          <w:tcPr>
            <w:tcW w:type="dxa" w:w="2409"/>
          </w:tcPr>
          <w:p>
            <w:pPr>
              <w:jc w:val="center"/>
            </w:pPr>
            <w:r>
              <w:rPr>
                <w:rFonts w:ascii="Times New Roman" w:hAnsi="Times New Roman"/>
                <w:sz w:val="20"/>
              </w:rPr>
              <w:t>85,7%</w:t>
            </w:r>
          </w:p>
        </w:tc>
      </w:tr>
      <w:tr>
        <w:tc>
          <w:tcPr>
            <w:tcW w:type="dxa" w:w="2409"/>
          </w:tcPr>
          <w:p>
            <w:pPr>
              <w:jc w:val="left"/>
            </w:pPr>
            <w:r>
              <w:rPr>
                <w:rFonts w:ascii="Times New Roman" w:hAnsi="Times New Roman"/>
                <w:sz w:val="20"/>
              </w:rPr>
              <w:t>Amar putusan</w:t>
            </w:r>
          </w:p>
        </w:tc>
        <w:tc>
          <w:tcPr>
            <w:tcW w:type="dxa" w:w="2409"/>
          </w:tcPr>
          <w:p>
            <w:pPr>
              <w:jc w:val="center"/>
            </w:pPr>
            <w:r>
              <w:rPr>
                <w:rFonts w:ascii="Times New Roman" w:hAnsi="Times New Roman"/>
                <w:sz w:val="20"/>
              </w:rPr>
              <w:t>32</w:t>
            </w:r>
          </w:p>
        </w:tc>
        <w:tc>
          <w:tcPr>
            <w:tcW w:type="dxa" w:w="2409"/>
          </w:tcPr>
          <w:p>
            <w:pPr>
              <w:jc w:val="center"/>
            </w:pPr>
            <w:r>
              <w:rPr>
                <w:rFonts w:ascii="Times New Roman" w:hAnsi="Times New Roman"/>
                <w:sz w:val="20"/>
              </w:rPr>
              <w:t>3</w:t>
            </w:r>
          </w:p>
        </w:tc>
        <w:tc>
          <w:tcPr>
            <w:tcW w:type="dxa" w:w="2409"/>
          </w:tcPr>
          <w:p>
            <w:pPr>
              <w:jc w:val="center"/>
            </w:pPr>
            <w:r>
              <w:rPr>
                <w:rFonts w:ascii="Times New Roman" w:hAnsi="Times New Roman"/>
                <w:sz w:val="20"/>
              </w:rPr>
              <w:t>91,4%</w:t>
            </w:r>
          </w:p>
        </w:tc>
      </w:tr>
      <w:tr>
        <w:tc>
          <w:tcPr>
            <w:tcW w:type="dxa" w:w="2409"/>
          </w:tcPr>
          <w:p>
            <w:pPr>
              <w:jc w:val="left"/>
            </w:pPr>
            <w:r>
              <w:rPr>
                <w:rFonts w:ascii="Times New Roman" w:hAnsi="Times New Roman"/>
                <w:sz w:val="20"/>
              </w:rPr>
              <w:t>Vonis</w:t>
            </w:r>
          </w:p>
        </w:tc>
        <w:tc>
          <w:tcPr>
            <w:tcW w:type="dxa" w:w="2409"/>
          </w:tcPr>
          <w:p>
            <w:pPr>
              <w:jc w:val="center"/>
            </w:pPr>
            <w:r>
              <w:rPr>
                <w:rFonts w:ascii="Times New Roman" w:hAnsi="Times New Roman"/>
                <w:sz w:val="20"/>
              </w:rPr>
              <w:t>6</w:t>
            </w:r>
          </w:p>
        </w:tc>
        <w:tc>
          <w:tcPr>
            <w:tcW w:type="dxa" w:w="2409"/>
          </w:tcPr>
          <w:p>
            <w:pPr>
              <w:jc w:val="center"/>
            </w:pPr>
            <w:r>
              <w:rPr>
                <w:rFonts w:ascii="Times New Roman" w:hAnsi="Times New Roman"/>
                <w:sz w:val="20"/>
              </w:rPr>
              <w:t>29</w:t>
            </w:r>
          </w:p>
        </w:tc>
        <w:tc>
          <w:tcPr>
            <w:tcW w:type="dxa" w:w="2409"/>
          </w:tcPr>
          <w:p>
            <w:pPr>
              <w:jc w:val="center"/>
            </w:pPr>
            <w:r>
              <w:rPr>
                <w:rFonts w:ascii="Times New Roman" w:hAnsi="Times New Roman"/>
                <w:sz w:val="20"/>
              </w:rPr>
              <w:t>17,1%</w:t>
            </w:r>
          </w:p>
        </w:tc>
      </w:tr>
    </w:tbl>
    <w:p/>
    <w:p>
      <w:pPr>
        <w:spacing w:before="120" w:after="80" w:line="240" w:lineRule="exact"/>
        <w:jc w:val="left"/>
      </w:pPr>
      <w:r>
        <w:rPr>
          <w:rFonts w:ascii="Times New Roman" w:hAnsi="Times New Roman"/>
          <w:b/>
          <w:sz w:val="20"/>
        </w:rPr>
        <w:t>B. Hasil Evaluasi Retrieval</w:t>
      </w:r>
    </w:p>
    <w:p>
      <w:pPr>
        <w:spacing w:before="0" w:after="80" w:line="240" w:lineRule="exact"/>
        <w:jc w:val="both"/>
      </w:pPr>
      <w:r>
        <w:rPr>
          <w:rFonts w:ascii="Times New Roman" w:hAnsi="Times New Roman"/>
          <w:b w:val="0"/>
          <w:i w:val="0"/>
          <w:sz w:val="24"/>
        </w:rPr>
        <w:t>Evaluasi retrieval dilakukan terhadap 7 kasus testing, namun hanya 3 yang memiliki ground truth relevan di training set. Tabel V menyajikan hasil evaluasi retrieval.</w:t>
      </w:r>
    </w:p>
    <w:p>
      <w:pPr>
        <w:spacing w:before="120" w:after="40" w:line="240" w:lineRule="exact"/>
        <w:jc w:val="center"/>
      </w:pPr>
      <w:r>
        <w:rPr>
          <w:rFonts w:ascii="Times New Roman" w:hAnsi="Times New Roman"/>
          <w:b/>
          <w:sz w:val="20"/>
        </w:rPr>
        <w:t>Tabel V. Metrik Evaluasi Retrieval (n=3 query dengan ground truth)</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jc w:val="center"/>
            </w:pPr>
            <w:r>
              <w:rPr>
                <w:rFonts w:ascii="Times New Roman" w:hAnsi="Times New Roman"/>
                <w:b/>
                <w:sz w:val="20"/>
              </w:rPr>
              <w:t>K</w:t>
            </w:r>
          </w:p>
        </w:tc>
        <w:tc>
          <w:tcPr>
            <w:tcW w:type="dxa" w:w="1928"/>
            <w:shd w:val="clear" w:color="auto" w:fill="D9D9D9"/>
          </w:tcPr>
          <w:p>
            <w:pPr>
              <w:jc w:val="center"/>
            </w:pPr>
            <w:r>
              <w:rPr>
                <w:rFonts w:ascii="Times New Roman" w:hAnsi="Times New Roman"/>
                <w:b/>
                <w:sz w:val="20"/>
              </w:rPr>
              <w:t>Precision@K</w:t>
            </w:r>
          </w:p>
        </w:tc>
        <w:tc>
          <w:tcPr>
            <w:tcW w:type="dxa" w:w="1928"/>
            <w:shd w:val="clear" w:color="auto" w:fill="D9D9D9"/>
          </w:tcPr>
          <w:p>
            <w:pPr>
              <w:jc w:val="center"/>
            </w:pPr>
            <w:r>
              <w:rPr>
                <w:rFonts w:ascii="Times New Roman" w:hAnsi="Times New Roman"/>
                <w:b/>
                <w:sz w:val="20"/>
              </w:rPr>
              <w:t>Recall@K</w:t>
            </w:r>
          </w:p>
        </w:tc>
        <w:tc>
          <w:tcPr>
            <w:tcW w:type="dxa" w:w="1928"/>
            <w:shd w:val="clear" w:color="auto" w:fill="D9D9D9"/>
          </w:tcPr>
          <w:p>
            <w:pPr>
              <w:jc w:val="center"/>
            </w:pPr>
            <w:r>
              <w:rPr>
                <w:rFonts w:ascii="Times New Roman" w:hAnsi="Times New Roman"/>
                <w:b/>
                <w:sz w:val="20"/>
              </w:rPr>
              <w:t>F1@K</w:t>
            </w:r>
          </w:p>
        </w:tc>
        <w:tc>
          <w:tcPr>
            <w:tcW w:type="dxa" w:w="1928"/>
            <w:shd w:val="clear" w:color="auto" w:fill="D9D9D9"/>
          </w:tcPr>
          <w:p>
            <w:pPr>
              <w:jc w:val="center"/>
            </w:pPr>
            <w:r>
              <w:rPr>
                <w:rFonts w:ascii="Times New Roman" w:hAnsi="Times New Roman"/>
                <w:b/>
                <w:sz w:val="20"/>
              </w:rPr>
              <w:t>MRR</w:t>
            </w:r>
          </w:p>
        </w:tc>
      </w:tr>
      <w:tr>
        <w:tc>
          <w:tcPr>
            <w:tcW w:type="dxa" w:w="1928"/>
          </w:tcPr>
          <w:p>
            <w:pPr>
              <w:jc w:val="left"/>
            </w:pPr>
            <w:r>
              <w:rPr>
                <w:rFonts w:ascii="Times New Roman" w:hAnsi="Times New Roman"/>
                <w:sz w:val="20"/>
              </w:rPr>
              <w:t>1</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r>
      <w:tr>
        <w:tc>
          <w:tcPr>
            <w:tcW w:type="dxa" w:w="1928"/>
          </w:tcPr>
          <w:p>
            <w:pPr>
              <w:jc w:val="left"/>
            </w:pPr>
            <w:r>
              <w:rPr>
                <w:rFonts w:ascii="Times New Roman" w:hAnsi="Times New Roman"/>
                <w:sz w:val="20"/>
              </w:rPr>
              <w:t>3</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c>
          <w:tcPr>
            <w:tcW w:type="dxa" w:w="1928"/>
          </w:tcPr>
          <w:p>
            <w:pPr>
              <w:jc w:val="center"/>
            </w:pPr>
            <w:r>
              <w:rPr>
                <w:rFonts w:ascii="Times New Roman" w:hAnsi="Times New Roman"/>
                <w:sz w:val="20"/>
              </w:rPr>
              <w:t>0,0000</w:t>
            </w:r>
          </w:p>
        </w:tc>
      </w:tr>
      <w:tr>
        <w:tc>
          <w:tcPr>
            <w:tcW w:type="dxa" w:w="1928"/>
          </w:tcPr>
          <w:p>
            <w:pPr>
              <w:jc w:val="left"/>
            </w:pPr>
            <w:r>
              <w:rPr>
                <w:rFonts w:ascii="Times New Roman" w:hAnsi="Times New Roman"/>
                <w:sz w:val="20"/>
              </w:rPr>
              <w:t>5</w:t>
            </w:r>
          </w:p>
        </w:tc>
        <w:tc>
          <w:tcPr>
            <w:tcW w:type="dxa" w:w="1928"/>
          </w:tcPr>
          <w:p>
            <w:pPr>
              <w:jc w:val="center"/>
            </w:pPr>
            <w:r>
              <w:rPr>
                <w:rFonts w:ascii="Times New Roman" w:hAnsi="Times New Roman"/>
                <w:sz w:val="20"/>
              </w:rPr>
              <w:t>0,0667</w:t>
            </w:r>
          </w:p>
        </w:tc>
        <w:tc>
          <w:tcPr>
            <w:tcW w:type="dxa" w:w="1928"/>
          </w:tcPr>
          <w:p>
            <w:pPr>
              <w:jc w:val="center"/>
            </w:pPr>
            <w:r>
              <w:rPr>
                <w:rFonts w:ascii="Times New Roman" w:hAnsi="Times New Roman"/>
                <w:sz w:val="20"/>
              </w:rPr>
              <w:t>0,1111</w:t>
            </w:r>
          </w:p>
        </w:tc>
        <w:tc>
          <w:tcPr>
            <w:tcW w:type="dxa" w:w="1928"/>
          </w:tcPr>
          <w:p>
            <w:pPr>
              <w:jc w:val="center"/>
            </w:pPr>
            <w:r>
              <w:rPr>
                <w:rFonts w:ascii="Times New Roman" w:hAnsi="Times New Roman"/>
                <w:sz w:val="20"/>
              </w:rPr>
              <w:t>0,0833</w:t>
            </w:r>
          </w:p>
        </w:tc>
        <w:tc>
          <w:tcPr>
            <w:tcW w:type="dxa" w:w="1928"/>
          </w:tcPr>
          <w:p>
            <w:pPr>
              <w:jc w:val="center"/>
            </w:pPr>
            <w:r>
              <w:rPr>
                <w:rFonts w:ascii="Times New Roman" w:hAnsi="Times New Roman"/>
                <w:sz w:val="20"/>
              </w:rPr>
              <w:t>0,0667</w:t>
            </w:r>
          </w:p>
        </w:tc>
      </w:tr>
    </w:tbl>
    <w:p/>
    <w:p>
      <w:pPr>
        <w:spacing w:before="120" w:after="80" w:line="240" w:lineRule="exact"/>
        <w:jc w:val="left"/>
      </w:pPr>
      <w:r>
        <w:rPr>
          <w:rFonts w:ascii="Times New Roman" w:hAnsi="Times New Roman"/>
          <w:b/>
          <w:sz w:val="20"/>
        </w:rPr>
        <w:t>C. Hasil Evaluasi Prediksi</w:t>
      </w:r>
    </w:p>
    <w:p>
      <w:pPr>
        <w:spacing w:before="0" w:after="80" w:line="240" w:lineRule="exact"/>
        <w:jc w:val="both"/>
      </w:pPr>
      <w:r>
        <w:rPr>
          <w:rFonts w:ascii="Times New Roman" w:hAnsi="Times New Roman"/>
          <w:b w:val="0"/>
          <w:i w:val="0"/>
          <w:sz w:val="24"/>
        </w:rPr>
        <w:t>Evaluasi prediksi dilakukan terhadap seluruh 7 kasus testing. Tabel VI menyajikan detail prediksi per kasus, sementara Tabel VII dan VIII merangkum metrik keseluruhan.</w:t>
      </w:r>
    </w:p>
    <w:p>
      <w:pPr>
        <w:spacing w:before="120" w:after="40" w:line="240" w:lineRule="exact"/>
        <w:jc w:val="center"/>
      </w:pPr>
      <w:r>
        <w:rPr>
          <w:rFonts w:ascii="Times New Roman" w:hAnsi="Times New Roman"/>
          <w:b/>
          <w:sz w:val="20"/>
        </w:rPr>
        <w:t>Tabel VI. Detail Hasil Prediksi per Kasus Testing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jc w:val="center"/>
            </w:pPr>
            <w:r>
              <w:rPr>
                <w:rFonts w:ascii="Times New Roman" w:hAnsi="Times New Roman"/>
                <w:b/>
                <w:sz w:val="20"/>
              </w:rPr>
              <w:t>Kasus</w:t>
            </w:r>
          </w:p>
        </w:tc>
        <w:tc>
          <w:tcPr>
            <w:tcW w:type="dxa" w:w="1928"/>
            <w:shd w:val="clear" w:color="auto" w:fill="D9D9D9"/>
          </w:tcPr>
          <w:p>
            <w:pPr>
              <w:jc w:val="center"/>
            </w:pPr>
            <w:r>
              <w:rPr>
                <w:rFonts w:ascii="Times New Roman" w:hAnsi="Times New Roman"/>
                <w:b/>
                <w:sz w:val="20"/>
              </w:rPr>
              <w:t>Vonis Aktual</w:t>
            </w:r>
          </w:p>
        </w:tc>
        <w:tc>
          <w:tcPr>
            <w:tcW w:type="dxa" w:w="1928"/>
            <w:shd w:val="clear" w:color="auto" w:fill="D9D9D9"/>
          </w:tcPr>
          <w:p>
            <w:pPr>
              <w:jc w:val="center"/>
            </w:pPr>
            <w:r>
              <w:rPr>
                <w:rFonts w:ascii="Times New Roman" w:hAnsi="Times New Roman"/>
                <w:b/>
                <w:sz w:val="20"/>
              </w:rPr>
              <w:t>Vonis Prediksi</w:t>
            </w:r>
          </w:p>
        </w:tc>
        <w:tc>
          <w:tcPr>
            <w:tcW w:type="dxa" w:w="1928"/>
            <w:shd w:val="clear" w:color="auto" w:fill="D9D9D9"/>
          </w:tcPr>
          <w:p>
            <w:pPr>
              <w:jc w:val="center"/>
            </w:pPr>
            <w:r>
              <w:rPr>
                <w:rFonts w:ascii="Times New Roman" w:hAnsi="Times New Roman"/>
                <w:b/>
                <w:sz w:val="20"/>
              </w:rPr>
              <w:t>Skor Sim. Tertinggi</w:t>
            </w:r>
          </w:p>
        </w:tc>
        <w:tc>
          <w:tcPr>
            <w:tcW w:type="dxa" w:w="1928"/>
            <w:shd w:val="clear" w:color="auto" w:fill="D9D9D9"/>
          </w:tcPr>
          <w:p>
            <w:pPr>
              <w:jc w:val="center"/>
            </w:pPr>
            <w:r>
              <w:rPr>
                <w:rFonts w:ascii="Times New Roman" w:hAnsi="Times New Roman"/>
                <w:b/>
                <w:sz w:val="20"/>
              </w:rPr>
              <w:t>Status</w:t>
            </w:r>
          </w:p>
        </w:tc>
      </w:tr>
      <w:tr>
        <w:tc>
          <w:tcPr>
            <w:tcW w:type="dxa" w:w="1928"/>
          </w:tcPr>
          <w:p>
            <w:pPr>
              <w:jc w:val="left"/>
            </w:pPr>
            <w:r>
              <w:rPr>
                <w:rFonts w:ascii="Times New Roman" w:hAnsi="Times New Roman"/>
                <w:sz w:val="20"/>
              </w:rPr>
              <w:t>case_014</w:t>
            </w:r>
          </w:p>
        </w:tc>
        <w:tc>
          <w:tcPr>
            <w:tcW w:type="dxa" w:w="1928"/>
          </w:tcPr>
          <w:p>
            <w:pPr>
              <w:jc w:val="center"/>
            </w:pPr>
            <w:r>
              <w:rPr>
                <w:rFonts w:ascii="Times New Roman" w:hAnsi="Times New Roman"/>
                <w:sz w:val="20"/>
              </w:rPr>
              <w:t>BEBAS</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0,7953</w:t>
            </w:r>
          </w:p>
        </w:tc>
        <w:tc>
          <w:tcPr>
            <w:tcW w:type="dxa" w:w="1928"/>
          </w:tcPr>
          <w:p>
            <w:pPr>
              <w:jc w:val="center"/>
            </w:pPr>
            <w:r>
              <w:rPr>
                <w:rFonts w:ascii="Times New Roman" w:hAnsi="Times New Roman"/>
                <w:sz w:val="20"/>
              </w:rPr>
              <w:t>Salah</w:t>
            </w:r>
          </w:p>
        </w:tc>
      </w:tr>
      <w:tr>
        <w:tc>
          <w:tcPr>
            <w:tcW w:type="dxa" w:w="1928"/>
          </w:tcPr>
          <w:p>
            <w:pPr>
              <w:jc w:val="left"/>
            </w:pPr>
            <w:r>
              <w:rPr>
                <w:rFonts w:ascii="Times New Roman" w:hAnsi="Times New Roman"/>
                <w:sz w:val="20"/>
              </w:rPr>
              <w:t>case_016</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0,8450</w:t>
            </w:r>
          </w:p>
        </w:tc>
        <w:tc>
          <w:tcPr>
            <w:tcW w:type="dxa" w:w="1928"/>
          </w:tcPr>
          <w:p>
            <w:pPr>
              <w:jc w:val="center"/>
            </w:pPr>
            <w:r>
              <w:rPr>
                <w:rFonts w:ascii="Times New Roman" w:hAnsi="Times New Roman"/>
                <w:sz w:val="20"/>
              </w:rPr>
              <w:t>Benar</w:t>
            </w:r>
          </w:p>
        </w:tc>
      </w:tr>
      <w:tr>
        <w:tc>
          <w:tcPr>
            <w:tcW w:type="dxa" w:w="1928"/>
          </w:tcPr>
          <w:p>
            <w:pPr>
              <w:jc w:val="left"/>
            </w:pPr>
            <w:r>
              <w:rPr>
                <w:rFonts w:ascii="Times New Roman" w:hAnsi="Times New Roman"/>
                <w:sz w:val="20"/>
              </w:rPr>
              <w:t>case_020</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0,8178</w:t>
            </w:r>
          </w:p>
        </w:tc>
        <w:tc>
          <w:tcPr>
            <w:tcW w:type="dxa" w:w="1928"/>
          </w:tcPr>
          <w:p>
            <w:pPr>
              <w:jc w:val="center"/>
            </w:pPr>
            <w:r>
              <w:rPr>
                <w:rFonts w:ascii="Times New Roman" w:hAnsi="Times New Roman"/>
                <w:sz w:val="20"/>
              </w:rPr>
              <w:t>Benar</w:t>
            </w:r>
          </w:p>
        </w:tc>
      </w:tr>
      <w:tr>
        <w:tc>
          <w:tcPr>
            <w:tcW w:type="dxa" w:w="1928"/>
          </w:tcPr>
          <w:p>
            <w:pPr>
              <w:jc w:val="left"/>
            </w:pPr>
            <w:r>
              <w:rPr>
                <w:rFonts w:ascii="Times New Roman" w:hAnsi="Times New Roman"/>
                <w:sz w:val="20"/>
              </w:rPr>
              <w:t>case_022</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0,8342</w:t>
            </w:r>
          </w:p>
        </w:tc>
        <w:tc>
          <w:tcPr>
            <w:tcW w:type="dxa" w:w="1928"/>
          </w:tcPr>
          <w:p>
            <w:pPr>
              <w:jc w:val="center"/>
            </w:pPr>
            <w:r>
              <w:rPr>
                <w:rFonts w:ascii="Times New Roman" w:hAnsi="Times New Roman"/>
                <w:sz w:val="20"/>
              </w:rPr>
              <w:t>Benar</w:t>
            </w:r>
          </w:p>
        </w:tc>
      </w:tr>
      <w:tr>
        <w:tc>
          <w:tcPr>
            <w:tcW w:type="dxa" w:w="1928"/>
          </w:tcPr>
          <w:p>
            <w:pPr>
              <w:jc w:val="left"/>
            </w:pPr>
            <w:r>
              <w:rPr>
                <w:rFonts w:ascii="Times New Roman" w:hAnsi="Times New Roman"/>
                <w:sz w:val="20"/>
              </w:rPr>
              <w:t>case_025</w:t>
            </w:r>
          </w:p>
        </w:tc>
        <w:tc>
          <w:tcPr>
            <w:tcW w:type="dxa" w:w="1928"/>
          </w:tcPr>
          <w:p>
            <w:pPr>
              <w:jc w:val="center"/>
            </w:pPr>
            <w:r>
              <w:rPr>
                <w:rFonts w:ascii="Times New Roman" w:hAnsi="Times New Roman"/>
                <w:sz w:val="20"/>
              </w:rPr>
              <w:t>BEBAS</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0,7620</w:t>
            </w:r>
          </w:p>
        </w:tc>
        <w:tc>
          <w:tcPr>
            <w:tcW w:type="dxa" w:w="1928"/>
          </w:tcPr>
          <w:p>
            <w:pPr>
              <w:jc w:val="center"/>
            </w:pPr>
            <w:r>
              <w:rPr>
                <w:rFonts w:ascii="Times New Roman" w:hAnsi="Times New Roman"/>
                <w:sz w:val="20"/>
              </w:rPr>
              <w:t>Salah</w:t>
            </w:r>
          </w:p>
        </w:tc>
      </w:tr>
      <w:tr>
        <w:tc>
          <w:tcPr>
            <w:tcW w:type="dxa" w:w="1928"/>
          </w:tcPr>
          <w:p>
            <w:pPr>
              <w:jc w:val="left"/>
            </w:pPr>
            <w:r>
              <w:rPr>
                <w:rFonts w:ascii="Times New Roman" w:hAnsi="Times New Roman"/>
                <w:sz w:val="20"/>
              </w:rPr>
              <w:t>case_027</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0,8505</w:t>
            </w:r>
          </w:p>
        </w:tc>
        <w:tc>
          <w:tcPr>
            <w:tcW w:type="dxa" w:w="1928"/>
          </w:tcPr>
          <w:p>
            <w:pPr>
              <w:jc w:val="center"/>
            </w:pPr>
            <w:r>
              <w:rPr>
                <w:rFonts w:ascii="Times New Roman" w:hAnsi="Times New Roman"/>
                <w:sz w:val="20"/>
              </w:rPr>
              <w:t>Benar</w:t>
            </w:r>
          </w:p>
        </w:tc>
      </w:tr>
      <w:tr>
        <w:tc>
          <w:tcPr>
            <w:tcW w:type="dxa" w:w="1928"/>
          </w:tcPr>
          <w:p>
            <w:pPr>
              <w:jc w:val="left"/>
            </w:pPr>
            <w:r>
              <w:rPr>
                <w:rFonts w:ascii="Times New Roman" w:hAnsi="Times New Roman"/>
                <w:sz w:val="20"/>
              </w:rPr>
              <w:t>case_030</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PENJARA_LAIN</w:t>
            </w:r>
          </w:p>
        </w:tc>
        <w:tc>
          <w:tcPr>
            <w:tcW w:type="dxa" w:w="1928"/>
          </w:tcPr>
          <w:p>
            <w:pPr>
              <w:jc w:val="center"/>
            </w:pPr>
            <w:r>
              <w:rPr>
                <w:rFonts w:ascii="Times New Roman" w:hAnsi="Times New Roman"/>
                <w:sz w:val="20"/>
              </w:rPr>
              <w:t>0,8600</w:t>
            </w:r>
          </w:p>
        </w:tc>
        <w:tc>
          <w:tcPr>
            <w:tcW w:type="dxa" w:w="1928"/>
          </w:tcPr>
          <w:p>
            <w:pPr>
              <w:jc w:val="center"/>
            </w:pPr>
            <w:r>
              <w:rPr>
                <w:rFonts w:ascii="Times New Roman" w:hAnsi="Times New Roman"/>
                <w:sz w:val="20"/>
              </w:rPr>
              <w:t>Benar</w:t>
            </w:r>
          </w:p>
        </w:tc>
      </w:tr>
    </w:tbl>
    <w:p/>
    <w:p>
      <w:pPr>
        <w:spacing w:before="120" w:after="40" w:line="240" w:lineRule="exact"/>
        <w:jc w:val="center"/>
      </w:pPr>
      <w:r>
        <w:rPr>
          <w:rFonts w:ascii="Times New Roman" w:hAnsi="Times New Roman"/>
          <w:b/>
          <w:sz w:val="20"/>
        </w:rPr>
        <w:t>Tabel VII. Metrik Evaluasi Prediksi Keseluruhan</w:t>
      </w:r>
    </w:p>
    <w:tbl>
      <w:tblPr>
        <w:tblStyle w:val="TableGrid"/>
        <w:tblW w:type="auto" w:w="0"/>
        <w:tblLook w:firstColumn="1" w:firstRow="1" w:lastColumn="0" w:lastRow="0" w:noHBand="0" w:noVBand="1" w:val="04A0"/>
      </w:tblPr>
      <w:tblGrid>
        <w:gridCol w:w="4819"/>
        <w:gridCol w:w="4819"/>
      </w:tblGrid>
      <w:tr>
        <w:tc>
          <w:tcPr>
            <w:tcW w:type="dxa" w:w="4819"/>
            <w:shd w:val="clear" w:color="auto" w:fill="D9D9D9"/>
          </w:tcPr>
          <w:p>
            <w:pPr>
              <w:jc w:val="center"/>
            </w:pPr>
            <w:r>
              <w:rPr>
                <w:rFonts w:ascii="Times New Roman" w:hAnsi="Times New Roman"/>
                <w:b/>
                <w:sz w:val="20"/>
              </w:rPr>
              <w:t>Metrik</w:t>
            </w:r>
          </w:p>
        </w:tc>
        <w:tc>
          <w:tcPr>
            <w:tcW w:type="dxa" w:w="4819"/>
            <w:shd w:val="clear" w:color="auto" w:fill="D9D9D9"/>
          </w:tcPr>
          <w:p>
            <w:pPr>
              <w:jc w:val="center"/>
            </w:pPr>
            <w:r>
              <w:rPr>
                <w:rFonts w:ascii="Times New Roman" w:hAnsi="Times New Roman"/>
                <w:b/>
                <w:sz w:val="20"/>
              </w:rPr>
              <w:t>Nilai</w:t>
            </w:r>
          </w:p>
        </w:tc>
      </w:tr>
      <w:tr>
        <w:tc>
          <w:tcPr>
            <w:tcW w:type="dxa" w:w="4819"/>
          </w:tcPr>
          <w:p>
            <w:pPr>
              <w:jc w:val="left"/>
            </w:pPr>
            <w:r>
              <w:rPr>
                <w:rFonts w:ascii="Times New Roman" w:hAnsi="Times New Roman"/>
                <w:sz w:val="20"/>
              </w:rPr>
              <w:t>Accuracy</w:t>
            </w:r>
          </w:p>
        </w:tc>
        <w:tc>
          <w:tcPr>
            <w:tcW w:type="dxa" w:w="4819"/>
          </w:tcPr>
          <w:p>
            <w:pPr>
              <w:jc w:val="center"/>
            </w:pPr>
            <w:r>
              <w:rPr>
                <w:rFonts w:ascii="Times New Roman" w:hAnsi="Times New Roman"/>
                <w:sz w:val="20"/>
              </w:rPr>
              <w:t>0,7143 (71,43%)</w:t>
            </w:r>
          </w:p>
        </w:tc>
      </w:tr>
      <w:tr>
        <w:tc>
          <w:tcPr>
            <w:tcW w:type="dxa" w:w="4819"/>
          </w:tcPr>
          <w:p>
            <w:pPr>
              <w:jc w:val="left"/>
            </w:pPr>
            <w:r>
              <w:rPr>
                <w:rFonts w:ascii="Times New Roman" w:hAnsi="Times New Roman"/>
                <w:sz w:val="20"/>
              </w:rPr>
              <w:t>Precision (weighted)</w:t>
            </w:r>
          </w:p>
        </w:tc>
        <w:tc>
          <w:tcPr>
            <w:tcW w:type="dxa" w:w="4819"/>
          </w:tcPr>
          <w:p>
            <w:pPr>
              <w:jc w:val="center"/>
            </w:pPr>
            <w:r>
              <w:rPr>
                <w:rFonts w:ascii="Times New Roman" w:hAnsi="Times New Roman"/>
                <w:sz w:val="20"/>
              </w:rPr>
              <w:t>0,5102 (51,02%)</w:t>
            </w:r>
          </w:p>
        </w:tc>
      </w:tr>
      <w:tr>
        <w:tc>
          <w:tcPr>
            <w:tcW w:type="dxa" w:w="4819"/>
          </w:tcPr>
          <w:p>
            <w:pPr>
              <w:jc w:val="left"/>
            </w:pPr>
            <w:r>
              <w:rPr>
                <w:rFonts w:ascii="Times New Roman" w:hAnsi="Times New Roman"/>
                <w:sz w:val="20"/>
              </w:rPr>
              <w:t>Recall (weighted)</w:t>
            </w:r>
          </w:p>
        </w:tc>
        <w:tc>
          <w:tcPr>
            <w:tcW w:type="dxa" w:w="4819"/>
          </w:tcPr>
          <w:p>
            <w:pPr>
              <w:jc w:val="center"/>
            </w:pPr>
            <w:r>
              <w:rPr>
                <w:rFonts w:ascii="Times New Roman" w:hAnsi="Times New Roman"/>
                <w:sz w:val="20"/>
              </w:rPr>
              <w:t>0,7143 (71,43%)</w:t>
            </w:r>
          </w:p>
        </w:tc>
      </w:tr>
      <w:tr>
        <w:tc>
          <w:tcPr>
            <w:tcW w:type="dxa" w:w="4819"/>
          </w:tcPr>
          <w:p>
            <w:pPr>
              <w:jc w:val="left"/>
            </w:pPr>
            <w:r>
              <w:rPr>
                <w:rFonts w:ascii="Times New Roman" w:hAnsi="Times New Roman"/>
                <w:sz w:val="20"/>
              </w:rPr>
              <w:t>F1-Score (weighted)</w:t>
            </w:r>
          </w:p>
        </w:tc>
        <w:tc>
          <w:tcPr>
            <w:tcW w:type="dxa" w:w="4819"/>
          </w:tcPr>
          <w:p>
            <w:pPr>
              <w:jc w:val="center"/>
            </w:pPr>
            <w:r>
              <w:rPr>
                <w:rFonts w:ascii="Times New Roman" w:hAnsi="Times New Roman"/>
                <w:sz w:val="20"/>
              </w:rPr>
              <w:t>0,5952 (59,52%)</w:t>
            </w:r>
          </w:p>
        </w:tc>
      </w:tr>
    </w:tbl>
    <w:p/>
    <w:p>
      <w:pPr>
        <w:spacing w:before="120" w:after="40" w:line="240" w:lineRule="exact"/>
        <w:jc w:val="center"/>
      </w:pPr>
      <w:r>
        <w:rPr>
          <w:rFonts w:ascii="Times New Roman" w:hAnsi="Times New Roman"/>
          <w:b/>
          <w:sz w:val="20"/>
        </w:rPr>
        <w:t>Tabel VIII. Classification Report per Kategori Vonis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D9D9D9"/>
          </w:tcPr>
          <w:p>
            <w:pPr>
              <w:jc w:val="center"/>
            </w:pPr>
            <w:r>
              <w:rPr>
                <w:rFonts w:ascii="Times New Roman" w:hAnsi="Times New Roman"/>
                <w:b/>
                <w:sz w:val="20"/>
              </w:rPr>
              <w:t>Kategori</w:t>
            </w:r>
          </w:p>
        </w:tc>
        <w:tc>
          <w:tcPr>
            <w:tcW w:type="dxa" w:w="1928"/>
            <w:shd w:val="clear" w:color="auto" w:fill="D9D9D9"/>
          </w:tcPr>
          <w:p>
            <w:pPr>
              <w:jc w:val="center"/>
            </w:pPr>
            <w:r>
              <w:rPr>
                <w:rFonts w:ascii="Times New Roman" w:hAnsi="Times New Roman"/>
                <w:b/>
                <w:sz w:val="20"/>
              </w:rPr>
              <w:t>Precision</w:t>
            </w:r>
          </w:p>
        </w:tc>
        <w:tc>
          <w:tcPr>
            <w:tcW w:type="dxa" w:w="1928"/>
            <w:shd w:val="clear" w:color="auto" w:fill="D9D9D9"/>
          </w:tcPr>
          <w:p>
            <w:pPr>
              <w:jc w:val="center"/>
            </w:pPr>
            <w:r>
              <w:rPr>
                <w:rFonts w:ascii="Times New Roman" w:hAnsi="Times New Roman"/>
                <w:b/>
                <w:sz w:val="20"/>
              </w:rPr>
              <w:t>Recall</w:t>
            </w:r>
          </w:p>
        </w:tc>
        <w:tc>
          <w:tcPr>
            <w:tcW w:type="dxa" w:w="1928"/>
            <w:shd w:val="clear" w:color="auto" w:fill="D9D9D9"/>
          </w:tcPr>
          <w:p>
            <w:pPr>
              <w:jc w:val="center"/>
            </w:pPr>
            <w:r>
              <w:rPr>
                <w:rFonts w:ascii="Times New Roman" w:hAnsi="Times New Roman"/>
                <w:b/>
                <w:sz w:val="20"/>
              </w:rPr>
              <w:t>F1-Score</w:t>
            </w:r>
          </w:p>
        </w:tc>
        <w:tc>
          <w:tcPr>
            <w:tcW w:type="dxa" w:w="1928"/>
            <w:shd w:val="clear" w:color="auto" w:fill="D9D9D9"/>
          </w:tcPr>
          <w:p>
            <w:pPr>
              <w:jc w:val="center"/>
            </w:pPr>
            <w:r>
              <w:rPr>
                <w:rFonts w:ascii="Times New Roman" w:hAnsi="Times New Roman"/>
                <w:b/>
                <w:sz w:val="20"/>
              </w:rPr>
              <w:t>Support</w:t>
            </w:r>
          </w:p>
        </w:tc>
      </w:tr>
      <w:tr>
        <w:tc>
          <w:tcPr>
            <w:tcW w:type="dxa" w:w="1928"/>
          </w:tcPr>
          <w:p>
            <w:pPr>
              <w:jc w:val="left"/>
            </w:pPr>
            <w:r>
              <w:rPr>
                <w:rFonts w:ascii="Times New Roman" w:hAnsi="Times New Roman"/>
                <w:sz w:val="20"/>
              </w:rPr>
              <w:t>BEBAS</w:t>
            </w:r>
          </w:p>
        </w:tc>
        <w:tc>
          <w:tcPr>
            <w:tcW w:type="dxa" w:w="1928"/>
          </w:tcPr>
          <w:p>
            <w:pPr>
              <w:jc w:val="center"/>
            </w:pPr>
            <w:r>
              <w:rPr>
                <w:rFonts w:ascii="Times New Roman" w:hAnsi="Times New Roman"/>
                <w:sz w:val="20"/>
              </w:rPr>
              <w:t>0,00</w:t>
            </w:r>
          </w:p>
        </w:tc>
        <w:tc>
          <w:tcPr>
            <w:tcW w:type="dxa" w:w="1928"/>
          </w:tcPr>
          <w:p>
            <w:pPr>
              <w:jc w:val="center"/>
            </w:pPr>
            <w:r>
              <w:rPr>
                <w:rFonts w:ascii="Times New Roman" w:hAnsi="Times New Roman"/>
                <w:sz w:val="20"/>
              </w:rPr>
              <w:t>0,00</w:t>
            </w:r>
          </w:p>
        </w:tc>
        <w:tc>
          <w:tcPr>
            <w:tcW w:type="dxa" w:w="1928"/>
          </w:tcPr>
          <w:p>
            <w:pPr>
              <w:jc w:val="center"/>
            </w:pPr>
            <w:r>
              <w:rPr>
                <w:rFonts w:ascii="Times New Roman" w:hAnsi="Times New Roman"/>
                <w:sz w:val="20"/>
              </w:rPr>
              <w:t>0,00</w:t>
            </w:r>
          </w:p>
        </w:tc>
        <w:tc>
          <w:tcPr>
            <w:tcW w:type="dxa" w:w="1928"/>
          </w:tcPr>
          <w:p>
            <w:pPr>
              <w:jc w:val="center"/>
            </w:pPr>
            <w:r>
              <w:rPr>
                <w:rFonts w:ascii="Times New Roman" w:hAnsi="Times New Roman"/>
                <w:sz w:val="20"/>
              </w:rPr>
              <w:t>2</w:t>
            </w:r>
          </w:p>
        </w:tc>
      </w:tr>
      <w:tr>
        <w:tc>
          <w:tcPr>
            <w:tcW w:type="dxa" w:w="1928"/>
          </w:tcPr>
          <w:p>
            <w:pPr>
              <w:jc w:val="left"/>
            </w:pPr>
            <w:r>
              <w:rPr>
                <w:rFonts w:ascii="Times New Roman" w:hAnsi="Times New Roman"/>
                <w:sz w:val="20"/>
              </w:rPr>
              <w:t>PENJARA_LAIN</w:t>
            </w:r>
          </w:p>
        </w:tc>
        <w:tc>
          <w:tcPr>
            <w:tcW w:type="dxa" w:w="1928"/>
          </w:tcPr>
          <w:p>
            <w:pPr>
              <w:jc w:val="center"/>
            </w:pPr>
            <w:r>
              <w:rPr>
                <w:rFonts w:ascii="Times New Roman" w:hAnsi="Times New Roman"/>
                <w:sz w:val="20"/>
              </w:rPr>
              <w:t>0,71</w:t>
            </w:r>
          </w:p>
        </w:tc>
        <w:tc>
          <w:tcPr>
            <w:tcW w:type="dxa" w:w="1928"/>
          </w:tcPr>
          <w:p>
            <w:pPr>
              <w:jc w:val="center"/>
            </w:pPr>
            <w:r>
              <w:rPr>
                <w:rFonts w:ascii="Times New Roman" w:hAnsi="Times New Roman"/>
                <w:sz w:val="20"/>
              </w:rPr>
              <w:t>1,00</w:t>
            </w:r>
          </w:p>
        </w:tc>
        <w:tc>
          <w:tcPr>
            <w:tcW w:type="dxa" w:w="1928"/>
          </w:tcPr>
          <w:p>
            <w:pPr>
              <w:jc w:val="center"/>
            </w:pPr>
            <w:r>
              <w:rPr>
                <w:rFonts w:ascii="Times New Roman" w:hAnsi="Times New Roman"/>
                <w:sz w:val="20"/>
              </w:rPr>
              <w:t>0,83</w:t>
            </w:r>
          </w:p>
        </w:tc>
        <w:tc>
          <w:tcPr>
            <w:tcW w:type="dxa" w:w="1928"/>
          </w:tcPr>
          <w:p>
            <w:pPr>
              <w:jc w:val="center"/>
            </w:pPr>
            <w:r>
              <w:rPr>
                <w:rFonts w:ascii="Times New Roman" w:hAnsi="Times New Roman"/>
                <w:sz w:val="20"/>
              </w:rPr>
              <w:t>5</w:t>
            </w:r>
          </w:p>
        </w:tc>
      </w:tr>
      <w:tr>
        <w:tc>
          <w:tcPr>
            <w:tcW w:type="dxa" w:w="1928"/>
          </w:tcPr>
          <w:p>
            <w:pPr>
              <w:jc w:val="left"/>
            </w:pPr>
            <w:r>
              <w:rPr>
                <w:rFonts w:ascii="Times New Roman" w:hAnsi="Times New Roman"/>
                <w:sz w:val="20"/>
              </w:rPr>
              <w:t>Macro average</w:t>
            </w:r>
          </w:p>
        </w:tc>
        <w:tc>
          <w:tcPr>
            <w:tcW w:type="dxa" w:w="1928"/>
          </w:tcPr>
          <w:p>
            <w:pPr>
              <w:jc w:val="center"/>
            </w:pPr>
            <w:r>
              <w:rPr>
                <w:rFonts w:ascii="Times New Roman" w:hAnsi="Times New Roman"/>
                <w:sz w:val="20"/>
              </w:rPr>
              <w:t>0,36</w:t>
            </w:r>
          </w:p>
        </w:tc>
        <w:tc>
          <w:tcPr>
            <w:tcW w:type="dxa" w:w="1928"/>
          </w:tcPr>
          <w:p>
            <w:pPr>
              <w:jc w:val="center"/>
            </w:pPr>
            <w:r>
              <w:rPr>
                <w:rFonts w:ascii="Times New Roman" w:hAnsi="Times New Roman"/>
                <w:sz w:val="20"/>
              </w:rPr>
              <w:t>0,50</w:t>
            </w:r>
          </w:p>
        </w:tc>
        <w:tc>
          <w:tcPr>
            <w:tcW w:type="dxa" w:w="1928"/>
          </w:tcPr>
          <w:p>
            <w:pPr>
              <w:jc w:val="center"/>
            </w:pPr>
            <w:r>
              <w:rPr>
                <w:rFonts w:ascii="Times New Roman" w:hAnsi="Times New Roman"/>
                <w:sz w:val="20"/>
              </w:rPr>
              <w:t>0,42</w:t>
            </w:r>
          </w:p>
        </w:tc>
        <w:tc>
          <w:tcPr>
            <w:tcW w:type="dxa" w:w="1928"/>
          </w:tcPr>
          <w:p>
            <w:pPr>
              <w:jc w:val="center"/>
            </w:pPr>
            <w:r>
              <w:rPr>
                <w:rFonts w:ascii="Times New Roman" w:hAnsi="Times New Roman"/>
                <w:sz w:val="20"/>
              </w:rPr>
              <w:t>7</w:t>
            </w:r>
          </w:p>
        </w:tc>
      </w:tr>
      <w:tr>
        <w:tc>
          <w:tcPr>
            <w:tcW w:type="dxa" w:w="1928"/>
          </w:tcPr>
          <w:p>
            <w:pPr>
              <w:jc w:val="left"/>
            </w:pPr>
            <w:r>
              <w:rPr>
                <w:rFonts w:ascii="Times New Roman" w:hAnsi="Times New Roman"/>
                <w:sz w:val="20"/>
              </w:rPr>
              <w:t>Weighted average</w:t>
            </w:r>
          </w:p>
        </w:tc>
        <w:tc>
          <w:tcPr>
            <w:tcW w:type="dxa" w:w="1928"/>
          </w:tcPr>
          <w:p>
            <w:pPr>
              <w:jc w:val="center"/>
            </w:pPr>
            <w:r>
              <w:rPr>
                <w:rFonts w:ascii="Times New Roman" w:hAnsi="Times New Roman"/>
                <w:sz w:val="20"/>
              </w:rPr>
              <w:t>0,51</w:t>
            </w:r>
          </w:p>
        </w:tc>
        <w:tc>
          <w:tcPr>
            <w:tcW w:type="dxa" w:w="1928"/>
          </w:tcPr>
          <w:p>
            <w:pPr>
              <w:jc w:val="center"/>
            </w:pPr>
            <w:r>
              <w:rPr>
                <w:rFonts w:ascii="Times New Roman" w:hAnsi="Times New Roman"/>
                <w:sz w:val="20"/>
              </w:rPr>
              <w:t>0,71</w:t>
            </w:r>
          </w:p>
        </w:tc>
        <w:tc>
          <w:tcPr>
            <w:tcW w:type="dxa" w:w="1928"/>
          </w:tcPr>
          <w:p>
            <w:pPr>
              <w:jc w:val="center"/>
            </w:pPr>
            <w:r>
              <w:rPr>
                <w:rFonts w:ascii="Times New Roman" w:hAnsi="Times New Roman"/>
                <w:sz w:val="20"/>
              </w:rPr>
              <w:t>0,60</w:t>
            </w:r>
          </w:p>
        </w:tc>
        <w:tc>
          <w:tcPr>
            <w:tcW w:type="dxa" w:w="1928"/>
          </w:tcPr>
          <w:p>
            <w:pPr>
              <w:jc w:val="center"/>
            </w:pPr>
            <w:r>
              <w:rPr>
                <w:rFonts w:ascii="Times New Roman" w:hAnsi="Times New Roman"/>
                <w:sz w:val="20"/>
              </w:rPr>
              <w:t>7</w:t>
            </w:r>
          </w:p>
        </w:tc>
      </w:tr>
    </w:tbl>
    <w:p/>
    <w:p>
      <w:pPr>
        <w:spacing w:before="120" w:after="80" w:line="240" w:lineRule="exact"/>
        <w:jc w:val="left"/>
      </w:pPr>
      <w:r>
        <w:rPr>
          <w:rFonts w:ascii="Times New Roman" w:hAnsi="Times New Roman"/>
          <w:b/>
          <w:sz w:val="20"/>
        </w:rPr>
        <w:t>D. Visualisasi Hasil</w:t>
      </w:r>
    </w:p>
    <w:p>
      <w:r>
        <w:drawing>
          <wp:inline xmlns:a="http://schemas.openxmlformats.org/drawingml/2006/main" xmlns:pic="http://schemas.openxmlformats.org/drawingml/2006/picture">
            <wp:extent cx="5400000" cy="1685909"/>
            <wp:docPr id="1" name="Picture 1"/>
            <wp:cNvGraphicFramePr>
              <a:graphicFrameLocks noChangeAspect="1"/>
            </wp:cNvGraphicFramePr>
            <a:graphic>
              <a:graphicData uri="http://schemas.openxmlformats.org/drawingml/2006/picture">
                <pic:pic>
                  <pic:nvPicPr>
                    <pic:cNvPr id="0" name="evaluation_plot.png"/>
                    <pic:cNvPicPr/>
                  </pic:nvPicPr>
                  <pic:blipFill>
                    <a:blip r:embed="rId9"/>
                    <a:stretch>
                      <a:fillRect/>
                    </a:stretch>
                  </pic:blipFill>
                  <pic:spPr>
                    <a:xfrm>
                      <a:off x="0" y="0"/>
                      <a:ext cx="5400000" cy="1685909"/>
                    </a:xfrm>
                    <a:prstGeom prst="rect"/>
                  </pic:spPr>
                </pic:pic>
              </a:graphicData>
            </a:graphic>
          </wp:inline>
        </w:drawing>
      </w:r>
    </w:p>
    <w:p>
      <w:pPr>
        <w:jc w:val="center"/>
      </w:pPr>
      <w:r>
        <w:rPr>
          <w:rFonts w:ascii="Times New Roman" w:hAnsi="Times New Roman"/>
          <w:i/>
          <w:sz w:val="20"/>
        </w:rPr>
        <w:t>Gambar 2. Visualisasi hasil evaluasi: (a) metrik retrieval per K, (b) metrik prediksi weighted similarity, (c) distribusi vonis dalam dataset</w:t>
      </w:r>
    </w:p>
    <w:p>
      <w:pPr>
        <w:spacing w:before="120" w:after="80" w:line="240" w:lineRule="exact"/>
        <w:jc w:val="left"/>
      </w:pPr>
      <w:r>
        <w:rPr>
          <w:rFonts w:ascii="Times New Roman" w:hAnsi="Times New Roman"/>
          <w:b/>
          <w:sz w:val="20"/>
        </w:rPr>
        <w:t>V. DISKUSI</w:t>
      </w:r>
    </w:p>
    <w:p>
      <w:pPr>
        <w:spacing w:before="120" w:after="80" w:line="240" w:lineRule="exact"/>
        <w:jc w:val="left"/>
      </w:pPr>
      <w:r>
        <w:rPr>
          <w:rFonts w:ascii="Times New Roman" w:hAnsi="Times New Roman"/>
          <w:b/>
          <w:sz w:val="20"/>
        </w:rPr>
        <w:t>A. Analisis Performa Retrieval</w:t>
      </w:r>
    </w:p>
    <w:p>
      <w:pPr>
        <w:spacing w:before="0" w:after="80" w:line="240" w:lineRule="exact"/>
        <w:jc w:val="both"/>
      </w:pPr>
      <w:r>
        <w:rPr>
          <w:rFonts w:ascii="Times New Roman" w:hAnsi="Times New Roman"/>
          <w:b w:val="0"/>
          <w:i w:val="0"/>
          <w:sz w:val="24"/>
        </w:rPr>
        <w:t>Performa retrieval yang rendah (MRR = 0,0 pada K=1 dan K=3) disebabkan beberapa faktor. Pertama, dari 7 kasus testing hanya 3 yang memiliki ground truth relevan berdasarkan kecocokan pasal — pendekatan yang terlalu simplistis karena relevansi antar kasus hukum tidak hanya ditentukan oleh kesamaan pasal [10]. Kedua, pembatasan panjang teks (300 karakter per komponen) menyebabkan hilangnya informasi penting. Ketiga, ukuran training set yang kecil (28 kasus) membatasi kemungkinan menemukan kasus relevan.</w:t>
      </w:r>
    </w:p>
    <w:p>
      <w:pPr>
        <w:spacing w:before="120" w:after="80" w:line="240" w:lineRule="exact"/>
        <w:jc w:val="left"/>
      </w:pPr>
      <w:r>
        <w:rPr>
          <w:rFonts w:ascii="Times New Roman" w:hAnsi="Times New Roman"/>
          <w:b/>
          <w:sz w:val="20"/>
        </w:rPr>
        <w:t>B. Analisis Performa Prediksi</w:t>
      </w:r>
    </w:p>
    <w:p>
      <w:pPr>
        <w:spacing w:before="0" w:after="80" w:line="240" w:lineRule="exact"/>
        <w:jc w:val="both"/>
      </w:pPr>
      <w:r>
        <w:rPr>
          <w:rFonts w:ascii="Times New Roman" w:hAnsi="Times New Roman"/>
          <w:b w:val="0"/>
          <w:i w:val="0"/>
          <w:sz w:val="24"/>
        </w:rPr>
        <w:t>Akurasi 71,43% menunjukkan bahwa sistem mampu memprediksi vonis dengan tingkat kebenaran yang moderat. Namun, sistem gagal total mengidentifikasi kelas BEBAS (recall = 0,00) akibat class imbalance — hanya 2 dari 7 kasus testing berlabel BEBAS sementara 5 berlabel PENJARA_LAIN [15]. Weighted similarity voting cenderung memprediksi kategori mayoritas yang mendominasi training set.</w:t>
      </w:r>
    </w:p>
    <w:p>
      <w:pPr>
        <w:spacing w:before="120" w:after="80" w:line="240" w:lineRule="exact"/>
        <w:jc w:val="left"/>
      </w:pPr>
      <w:r>
        <w:rPr>
          <w:rFonts w:ascii="Times New Roman" w:hAnsi="Times New Roman"/>
          <w:b/>
          <w:sz w:val="20"/>
        </w:rPr>
        <w:t>C. Analisis Kegagalan</w:t>
      </w:r>
    </w:p>
    <w:p>
      <w:pPr>
        <w:spacing w:before="0" w:after="80" w:line="240" w:lineRule="exact"/>
        <w:jc w:val="both"/>
      </w:pPr>
      <w:r>
        <w:rPr>
          <w:rFonts w:ascii="Times New Roman" w:hAnsi="Times New Roman"/>
          <w:b w:val="0"/>
          <w:i w:val="0"/>
          <w:sz w:val="24"/>
        </w:rPr>
        <w:t>Dua kasus gagal diprediksi (case_014 dan case_025) keduanya merupakan kasus dengan vonis pembebasan. Case_014 (Putusan 191/PID.B/2012/PN.TRK) dibebaskan karena alasan yuridis yang tidak tercermin secara semantik dalam komponen teks embedding. Case_025 (Putusan 2418/PID.B/2005/PN.SBY) melibatkan rektor universitas yang dilepaskan dari segala tuntutan dengan skor similaritas yang lebih rendah (0,7620), mengindikasikan konteks yang cukup unik.</w:t>
      </w:r>
    </w:p>
    <w:p>
      <w:pPr>
        <w:spacing w:before="120" w:after="80" w:line="240" w:lineRule="exact"/>
        <w:jc w:val="left"/>
      </w:pPr>
      <w:r>
        <w:rPr>
          <w:rFonts w:ascii="Times New Roman" w:hAnsi="Times New Roman"/>
          <w:b/>
          <w:sz w:val="20"/>
        </w:rPr>
        <w:t>D. Keterbatasan Tahap Revise dan Retain</w:t>
      </w:r>
    </w:p>
    <w:p>
      <w:pPr>
        <w:spacing w:before="0" w:after="80" w:line="240" w:lineRule="exact"/>
        <w:jc w:val="both"/>
      </w:pPr>
      <w:r>
        <w:rPr>
          <w:rFonts w:ascii="Times New Roman" w:hAnsi="Times New Roman"/>
          <w:b w:val="0"/>
          <w:i w:val="0"/>
          <w:sz w:val="24"/>
        </w:rPr>
        <w:t>Dalam siklus CBR klasik [1], tahap Revise dan Retain merupakan komponen penting. Implementasi saat ini belum mengimplementasikan mekanisme adaptasi solusi secara otomatis (Revise) maupun penyimpanan kasus baru ke dalam case base (Retain). Penelitian selanjutnya dapat mengeksplorasi pendekatan hybrid yang mengintegrasikan umpan balik pakar hukum dalam tahap revise [3].</w:t>
      </w:r>
    </w:p>
    <w:p>
      <w:pPr>
        <w:spacing w:before="120" w:after="80" w:line="240" w:lineRule="exact"/>
        <w:jc w:val="left"/>
      </w:pPr>
      <w:r>
        <w:rPr>
          <w:rFonts w:ascii="Times New Roman" w:hAnsi="Times New Roman"/>
          <w:b/>
          <w:sz w:val="20"/>
        </w:rPr>
        <w:t>E. Kualitas Data dan Dampaknya</w:t>
      </w:r>
    </w:p>
    <w:p>
      <w:pPr>
        <w:spacing w:before="0" w:after="80" w:line="240" w:lineRule="exact"/>
        <w:jc w:val="both"/>
      </w:pPr>
      <w:r>
        <w:rPr>
          <w:rFonts w:ascii="Times New Roman" w:hAnsi="Times New Roman"/>
          <w:b w:val="0"/>
          <w:i w:val="0"/>
          <w:sz w:val="24"/>
        </w:rPr>
        <w:t>Tingkat ekstraksi vonis yang hanya 17,1% (6 dari 35 kasus) merupakan masalah kritis yang berpotensi mengintroduksi noise signifikan dalam evaluasi. Penyebabnya adalah variasi formulasi kalimat vonis dalam putusan Mahkamah Agung yang tidak mengikuti format standar konsisten [9].</w:t>
      </w:r>
    </w:p>
    <w:p>
      <w:pPr>
        <w:spacing w:before="120" w:after="80" w:line="240" w:lineRule="exact"/>
        <w:jc w:val="left"/>
      </w:pPr>
      <w:r>
        <w:rPr>
          <w:rFonts w:ascii="Times New Roman" w:hAnsi="Times New Roman"/>
          <w:b/>
          <w:sz w:val="20"/>
        </w:rPr>
        <w:t>F. Rekomendasi Perbaikan</w:t>
      </w:r>
    </w:p>
    <w:p>
      <w:pPr>
        <w:spacing w:before="0" w:after="80" w:line="240" w:lineRule="exact"/>
        <w:jc w:val="both"/>
      </w:pPr>
      <w:r>
        <w:rPr>
          <w:rFonts w:ascii="Times New Roman" w:hAnsi="Times New Roman"/>
          <w:b w:val="0"/>
          <w:i w:val="0"/>
          <w:sz w:val="24"/>
        </w:rPr>
        <w:t>1. Perbaikan preprocessing: Memperkaya pola regex dengan variasi formulasi seperti 'dipidana', 'dijatuhi pidana', dan 'dihukum penjara'.</w:t>
      </w:r>
    </w:p>
    <w:p>
      <w:pPr>
        <w:spacing w:before="0" w:after="80" w:line="240" w:lineRule="exact"/>
        <w:jc w:val="both"/>
      </w:pPr>
      <w:r>
        <w:rPr>
          <w:rFonts w:ascii="Times New Roman" w:hAnsi="Times New Roman"/>
          <w:b w:val="0"/>
          <w:i w:val="0"/>
          <w:sz w:val="24"/>
        </w:rPr>
        <w:t>2. Augmentasi dataset: Meningkatkan jumlah dokumen menjadi minimal 100 untuk distribusi kelas yang lebih seimbang.</w:t>
      </w:r>
    </w:p>
    <w:p>
      <w:pPr>
        <w:spacing w:before="0" w:after="80" w:line="240" w:lineRule="exact"/>
        <w:jc w:val="both"/>
      </w:pPr>
      <w:r>
        <w:rPr>
          <w:rFonts w:ascii="Times New Roman" w:hAnsi="Times New Roman"/>
          <w:b w:val="0"/>
          <w:i w:val="0"/>
          <w:sz w:val="24"/>
        </w:rPr>
        <w:t>3. Fine-tuning model: Melakukan fine-tuning IndoBERT pada korpus dokumen hukum Indonesia [14].</w:t>
      </w:r>
    </w:p>
    <w:p>
      <w:pPr>
        <w:spacing w:before="0" w:after="80" w:line="240" w:lineRule="exact"/>
        <w:jc w:val="both"/>
      </w:pPr>
      <w:r>
        <w:rPr>
          <w:rFonts w:ascii="Times New Roman" w:hAnsi="Times New Roman"/>
          <w:b w:val="0"/>
          <w:i w:val="0"/>
          <w:sz w:val="24"/>
        </w:rPr>
        <w:t>4. Hybrid retrieval: Mengkombinasikan IndoBERT embedding dengan BM25 untuk meningkatkan akurasi retrieval [13].</w:t>
      </w:r>
    </w:p>
    <w:p>
      <w:pPr>
        <w:spacing w:before="0" w:after="80" w:line="240" w:lineRule="exact"/>
        <w:jc w:val="both"/>
      </w:pPr>
      <w:r>
        <w:rPr>
          <w:rFonts w:ascii="Times New Roman" w:hAnsi="Times New Roman"/>
          <w:b w:val="0"/>
          <w:i w:val="0"/>
          <w:sz w:val="24"/>
        </w:rPr>
        <w:t>5. Constraint-based retrieval: Menambahkan hard constraint berupa kecocokan pasal sebagai filter awal.</w:t>
      </w:r>
    </w:p>
    <w:p>
      <w:pPr>
        <w:spacing w:before="0" w:after="80" w:line="240" w:lineRule="exact"/>
        <w:jc w:val="both"/>
      </w:pPr>
      <w:r>
        <w:rPr>
          <w:rFonts w:ascii="Times New Roman" w:hAnsi="Times New Roman"/>
          <w:b w:val="0"/>
          <w:i w:val="0"/>
          <w:sz w:val="24"/>
        </w:rPr>
        <w:t>6. Threshold confidence: Menerapkan ambang batas kepercayaan untuk menandai prediksi yang tidak yakin.</w:t>
      </w:r>
    </w:p>
    <w:p>
      <w:pPr>
        <w:spacing w:before="120" w:after="80" w:line="240" w:lineRule="exact"/>
        <w:jc w:val="left"/>
      </w:pPr>
      <w:r>
        <w:rPr>
          <w:rFonts w:ascii="Times New Roman" w:hAnsi="Times New Roman"/>
          <w:b/>
          <w:sz w:val="20"/>
        </w:rPr>
        <w:t>VI. KESIMPULAN</w:t>
      </w:r>
    </w:p>
    <w:p>
      <w:pPr>
        <w:spacing w:before="0" w:after="80" w:line="240" w:lineRule="exact"/>
        <w:jc w:val="both"/>
      </w:pPr>
      <w:r>
        <w:rPr>
          <w:rFonts w:ascii="Times New Roman" w:hAnsi="Times New Roman"/>
          <w:b w:val="0"/>
          <w:i w:val="0"/>
          <w:sz w:val="24"/>
        </w:rPr>
        <w:t>Penelitian ini telah berhasil mengimplementasikan sistem Case-Based Reasoning (CBR) berbasis IndoBERT untuk analisis putusan pidana pemalsuan dari Mahkamah Agung Republik Indonesia. Sistem dikembangkan melalui lima tahap: pembangunan case base dari 35 dokumen PDF, representasi kasus terstruktur melalui ekstraksi regex, case retrieval menggunakan embedding IndoBERT 768 dimensi dengan cosine similarity, prediksi vonis melalui weighted similarity voting, dan evaluasi komprehensif.</w:t>
      </w:r>
    </w:p>
    <w:p>
      <w:pPr>
        <w:spacing w:before="0" w:after="80" w:line="240" w:lineRule="exact"/>
        <w:jc w:val="both"/>
      </w:pPr>
      <w:r>
        <w:rPr>
          <w:rFonts w:ascii="Times New Roman" w:hAnsi="Times New Roman"/>
          <w:b w:val="0"/>
          <w:i w:val="0"/>
          <w:sz w:val="24"/>
        </w:rPr>
        <w:t>Hasil evaluasi menunjukkan akurasi prediksi 71,43% dengan F1-Score 0,5952 (weighted). Sistem mampu memprediksi vonis penjara dengan recall sempurna (1,00) namun gagal mengidentifikasi kasus pembebasan (recall = 0,00 untuk BEBAS). Performa retrieval masih rendah (MRR = 0,0667 pada K=5) dipengaruhi keterbatasan ground truth dan ukuran dataset.</w:t>
      </w:r>
    </w:p>
    <w:p>
      <w:pPr>
        <w:spacing w:before="0" w:after="80" w:line="240" w:lineRule="exact"/>
        <w:jc w:val="both"/>
      </w:pPr>
      <w:r>
        <w:rPr>
          <w:rFonts w:ascii="Times New Roman" w:hAnsi="Times New Roman"/>
          <w:b w:val="0"/>
          <w:i w:val="0"/>
          <w:sz w:val="24"/>
        </w:rPr>
        <w:t>Keterbatasan utama meliputi: (1) ukuran dataset kecil (35 dokumen), (2) rendahnya tingkat ekstraksi vonis (17,1%), (3) ketidakseimbangan distribusi kelas, dan (4) belum sepenuhnya mengimplementasikan tahap Revise dan Retain. Penelitian selanjutnya disarankan memperbesar dataset, melakukan fine-tuning IndoBERT pada domain hukum, mengimplementasikan hybrid retrieval (BM25 + embedding), serta mengeksplorasi adaptasi solusi otomatis.</w:t>
      </w:r>
    </w:p>
    <w:p>
      <w:pPr>
        <w:spacing w:before="120" w:after="80" w:line="240" w:lineRule="exact"/>
        <w:jc w:val="left"/>
      </w:pPr>
      <w:r>
        <w:rPr>
          <w:rFonts w:ascii="Times New Roman" w:hAnsi="Times New Roman"/>
          <w:b/>
          <w:sz w:val="20"/>
        </w:rPr>
        <w:t>DAFTAR PUSTAKA</w:t>
      </w:r>
    </w:p>
    <w:p>
      <w:pPr>
        <w:spacing w:after="40"/>
        <w:ind w:hanging="360" w:left="360"/>
        <w:jc w:val="both"/>
      </w:pPr>
      <w:r>
        <w:rPr>
          <w:rFonts w:ascii="Times New Roman" w:hAnsi="Times New Roman"/>
          <w:sz w:val="20"/>
        </w:rPr>
        <w:t>[1] A. Aamodt and E. Plaza, "Case-Based Reasoning: Foundational Issues, Methodological Variations, and System Approaches," AI Communications, vol. 7, no. 1, pp. 39–59, 1994.</w:t>
      </w:r>
    </w:p>
    <w:p>
      <w:pPr>
        <w:spacing w:after="40"/>
        <w:ind w:hanging="360" w:left="360"/>
        <w:jc w:val="both"/>
      </w:pPr>
      <w:r>
        <w:rPr>
          <w:rFonts w:ascii="Times New Roman" w:hAnsi="Times New Roman"/>
          <w:sz w:val="20"/>
        </w:rPr>
        <w:t>[2] J. L. Kolodner, Case-Based Reasoning. San Mateo, CA: Morgan Kaufmann, 1993.</w:t>
      </w:r>
    </w:p>
    <w:p>
      <w:pPr>
        <w:spacing w:after="40"/>
        <w:ind w:hanging="360" w:left="360"/>
        <w:jc w:val="both"/>
      </w:pPr>
      <w:r>
        <w:rPr>
          <w:rFonts w:ascii="Times New Roman" w:hAnsi="Times New Roman"/>
          <w:sz w:val="20"/>
        </w:rPr>
        <w:t>[3] R. L. de Mántaras, D. McSherry, D. Bridge, D. Leake, B. Smyth, S. Craw, B. Faltings, M. L. Maher, M. T. Cox, K. Forbus, M. Keane, A. Aamodt, and I. Watson, "Retrieval, Reuse, Revision, and Retention in Case-Based Reasoning," The Knowledge Engineering Review, vol. 20, no. 3, pp. 215–240, 2005.</w:t>
      </w:r>
    </w:p>
    <w:p>
      <w:pPr>
        <w:spacing w:after="40"/>
        <w:ind w:hanging="360" w:left="360"/>
        <w:jc w:val="both"/>
      </w:pPr>
      <w:r>
        <w:rPr>
          <w:rFonts w:ascii="Times New Roman" w:hAnsi="Times New Roman"/>
          <w:sz w:val="20"/>
        </w:rPr>
        <w:t>[4] J. Devlin, M.-W. Chang, K. Lee, and K. Toutanova, "BERT: Pre-training of Deep Bidirectional Transformers for Language Understanding," in Proc. of NAACL-HLT, Minneapolis, MN, 2019, pp. 4171–4186.</w:t>
      </w:r>
    </w:p>
    <w:p>
      <w:pPr>
        <w:spacing w:after="40"/>
        <w:ind w:hanging="360" w:left="360"/>
        <w:jc w:val="both"/>
      </w:pPr>
      <w:r>
        <w:rPr>
          <w:rFonts w:ascii="Times New Roman" w:hAnsi="Times New Roman"/>
          <w:sz w:val="20"/>
        </w:rPr>
        <w:t>[5] B. Wilie, K. Vincentio, G. I. Winata, S. Cahyawijaya, X. Li, Z. Y. Lim, S. Soleman, R. Mahendra, P. Fung, S. Bahar, and A. Purwarianti, "IndoNLU: Benchmark and Resources for Evaluating Indonesian Natural Language Understanding," in Proc. of AACL-IJCNLP, Suzhou, China, 2020, pp. 843–857.</w:t>
      </w:r>
    </w:p>
    <w:p>
      <w:pPr>
        <w:spacing w:after="40"/>
        <w:ind w:hanging="360" w:left="360"/>
        <w:jc w:val="both"/>
      </w:pPr>
      <w:r>
        <w:rPr>
          <w:rFonts w:ascii="Times New Roman" w:hAnsi="Times New Roman"/>
          <w:sz w:val="20"/>
        </w:rPr>
        <w:t>[6] N. Reimers and I. Gurevych, "Sentence-BERT: Sentence Embeddings using Siamese BERT-Networks," in Proc. of EMNLP-IJCNLP, Hong Kong, China, 2019, pp. 3982–3992.</w:t>
      </w:r>
    </w:p>
    <w:p>
      <w:pPr>
        <w:spacing w:after="40"/>
        <w:ind w:hanging="360" w:left="360"/>
        <w:jc w:val="both"/>
      </w:pPr>
      <w:r>
        <w:rPr>
          <w:rFonts w:ascii="Times New Roman" w:hAnsi="Times New Roman"/>
          <w:sz w:val="20"/>
        </w:rPr>
        <w:t>[7] F. Koto, A. Rahimi, J. H. Lau, and T. Baldwin, "IndoLEM and IndoBERT: A Benchmark Dataset and Pre-trained Language Model for Indonesian NLP," in Proc. of COLING, Barcelona, Spain, 2020, pp. 757–770.</w:t>
      </w:r>
    </w:p>
    <w:p>
      <w:pPr>
        <w:spacing w:after="40"/>
        <w:ind w:hanging="360" w:left="360"/>
        <w:jc w:val="both"/>
      </w:pPr>
      <w:r>
        <w:rPr>
          <w:rFonts w:ascii="Times New Roman" w:hAnsi="Times New Roman"/>
          <w:sz w:val="20"/>
        </w:rPr>
        <w:t>[8] J. Collenette, K. Atkinson, and T. Bench-Capon, "Explainable AI Tools for Legal Reasoning about Cases: A Study on the European Court of Human Rights," Artificial Intelligence, vol. 317, pp. 103861, 2023.</w:t>
      </w:r>
    </w:p>
    <w:p>
      <w:pPr>
        <w:spacing w:after="40"/>
        <w:ind w:hanging="360" w:left="360"/>
        <w:jc w:val="both"/>
      </w:pPr>
      <w:r>
        <w:rPr>
          <w:rFonts w:ascii="Times New Roman" w:hAnsi="Times New Roman"/>
          <w:sz w:val="20"/>
        </w:rPr>
        <w:t>[9] J. Cui, X. Shen, and S. Wen, "A Survey on Legal Judgment Prediction: Datasets, Metrics, Models and Challenges," IEEE Access, vol. 11, pp. 102050–102071, 2023.</w:t>
      </w:r>
    </w:p>
    <w:p>
      <w:pPr>
        <w:spacing w:after="40"/>
        <w:ind w:hanging="360" w:left="360"/>
        <w:jc w:val="both"/>
      </w:pPr>
      <w:r>
        <w:rPr>
          <w:rFonts w:ascii="Times New Roman" w:hAnsi="Times New Roman"/>
          <w:sz w:val="20"/>
        </w:rPr>
        <w:t>[10] F. Ariai, J. Mackenzie, and G. Demartini, "Natural Language Processing for the Legal Domain: A Survey of Tasks, Datasets, Models, and Challenges," ACM Computing Surveys, vol. 58, no. 6, pp. 1–37, 2025.</w:t>
      </w:r>
    </w:p>
    <w:p>
      <w:pPr>
        <w:spacing w:after="40"/>
        <w:ind w:hanging="360" w:left="360"/>
        <w:jc w:val="both"/>
      </w:pPr>
      <w:r>
        <w:rPr>
          <w:rFonts w:ascii="Times New Roman" w:hAnsi="Times New Roman"/>
          <w:sz w:val="20"/>
        </w:rPr>
        <w:t>[11] A. P. Kemala and H. A. Shiddiqi, "Analysis of Indonesian Language Dataset for Tax Court Cases: Multiclass Classification of Court Verdicts," Jurnal Riset Informatika, vol. 5, no. 3, pp. 419–424, 2023.</w:t>
      </w:r>
    </w:p>
    <w:p>
      <w:pPr>
        <w:spacing w:after="40"/>
        <w:ind w:hanging="360" w:left="360"/>
        <w:jc w:val="both"/>
      </w:pPr>
      <w:r>
        <w:rPr>
          <w:rFonts w:ascii="Times New Roman" w:hAnsi="Times New Roman"/>
          <w:sz w:val="20"/>
        </w:rPr>
        <w:t>[12] E. Yulianti, N. Bhary, J. Abdurrohman, F. W. Dwitilas, E. Q. Nuranti, and H. S. Husin, "Named Entity Recognition on Indonesian Legal Documents: A Dataset and Study Using Transformer-Based Models," International Journal of Electrical and Computer Engineering (IJECE), vol. 14, no. 5, pp. 5489–5501, 2024.</w:t>
      </w:r>
    </w:p>
    <w:p>
      <w:pPr>
        <w:spacing w:after="40"/>
        <w:ind w:hanging="360" w:left="360"/>
        <w:jc w:val="both"/>
      </w:pPr>
      <w:r>
        <w:rPr>
          <w:rFonts w:ascii="Times New Roman" w:hAnsi="Times New Roman"/>
          <w:sz w:val="20"/>
        </w:rPr>
        <w:t>[13] C. D. Manning, P. Raghavan, and H. Schütze, Introduction to Information Retrieval. Cambridge: Cambridge University Press, 2008.</w:t>
      </w:r>
    </w:p>
    <w:p>
      <w:pPr>
        <w:spacing w:after="40"/>
        <w:ind w:hanging="360" w:left="360"/>
        <w:jc w:val="both"/>
      </w:pPr>
      <w:r>
        <w:rPr>
          <w:rFonts w:ascii="Times New Roman" w:hAnsi="Times New Roman"/>
          <w:sz w:val="20"/>
        </w:rPr>
        <w:t>[14] M. A. Ibrahim, A. T. Handoyo, and M. S. Anggreainy, "Hybrid Deep Learning for Legal Text Analysis: Predicting Punishment Durations in Indonesian Court Rulings," arXiv preprint, arXiv:2410.20104, 2024.</w:t>
      </w:r>
    </w:p>
    <w:p>
      <w:pPr>
        <w:spacing w:after="40"/>
        <w:ind w:hanging="360" w:left="360"/>
        <w:jc w:val="both"/>
      </w:pPr>
      <w:r>
        <w:rPr>
          <w:rFonts w:ascii="Times New Roman" w:hAnsi="Times New Roman"/>
          <w:sz w:val="20"/>
        </w:rPr>
        <w:t>[15] H. He and E. A. Garcia, "Learning from Imbalanced Data," IEEE Transactions on Knowledge and Data Engineering, vol. 21, no. 9, pp. 1263–1284, 2009.</w:t>
      </w:r>
    </w:p>
    <w:sectPr w:rsidR="00FC693F" w:rsidRPr="0006063C" w:rsidSect="00034616">
      <w:pgSz w:w="11906" w:h="16838"/>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