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71F6C6">
      <w:pPr>
        <w:spacing w:before="1300"/>
        <w:jc w:val="center"/>
      </w:pPr>
      <w:r>
        <w:rPr>
          <w:rFonts w:ascii="Times New Roman" w:hAnsi="Times New Roman"/>
          <w:b/>
          <w:sz w:val="38"/>
        </w:rPr>
        <w:t>ST-GraphAD: Spatio-Temporal Graph Neural Network</w:t>
      </w:r>
      <w:r>
        <w:rPr>
          <w:rFonts w:ascii="Times New Roman" w:hAnsi="Times New Roman"/>
          <w:b/>
          <w:sz w:val="38"/>
        </w:rPr>
        <w:br w:type="textWrapping"/>
      </w:r>
      <w:r>
        <w:rPr>
          <w:rFonts w:ascii="Times New Roman" w:hAnsi="Times New Roman"/>
          <w:b/>
          <w:sz w:val="38"/>
        </w:rPr>
        <w:t>for Network Intrusion Detection on UNSW-NB15</w:t>
      </w:r>
    </w:p>
    <w:p w14:paraId="7C490D1F">
      <w:pPr>
        <w:spacing w:before="300"/>
        <w:jc w:val="center"/>
      </w:pPr>
      <w:r>
        <w:rPr>
          <w:b/>
          <w:sz w:val="25"/>
        </w:rPr>
        <w:t>Ayan Bhaumik</w:t>
      </w:r>
    </w:p>
    <w:p w14:paraId="62B8694C">
      <w:pPr>
        <w:jc w:val="center"/>
      </w:pPr>
      <w:r>
        <w:t>Independent Researcher</w:t>
      </w:r>
      <w:r>
        <w:br w:type="textWrapping"/>
      </w:r>
      <w:r>
        <w:t>mrayanbhaumik@gmail.com  |  connect@ayanbhaumik.in</w:t>
      </w:r>
    </w:p>
    <w:p w14:paraId="55019E8B">
      <w:bookmarkStart w:id="0" w:name="_GoBack"/>
      <w:bookmarkEnd w:id="0"/>
      <w:r>
        <w:br w:type="page"/>
      </w:r>
    </w:p>
    <w:p w14:paraId="49AC3AD6">
      <w:pPr>
        <w:pStyle w:val="2"/>
      </w:pPr>
      <w:r>
        <w:t>Abstract</w:t>
      </w:r>
    </w:p>
    <w:p w14:paraId="600524CC">
      <w:pPr>
        <w:jc w:val="both"/>
      </w:pPr>
      <w:r>
        <w:t>Network intrusion detection systems must identify malicious behavior whose evidence may be distributed across communicating entities and evolve over time. Conventional flow-based methods commonly treat network records as independent samples, while static graph neural networks model relational structure without explicitly encoding temporal evolution. We present ST-GraphAD, a spatio-temporal graph neural network for node-level intrusion detection on UNSW-NB15. Because the commonly distributed CSV release does not expose explicit source and destination IP addresses, flows are converted into dynamic attributed graphs using documented pseudo-node identifiers derived from protocol, service, and role information. A shared three-layer graph convolutional network encodes the spatial structure of each graph snapshot, and a two-layer, four-head temporal self-attention module models dependencies across sequences of five snapshots. Model selection and early stopping use node-level validation AUC-ROC rather than the degenerate graph-level metric. Under the corrected protocol, the official training CSV is split 85/15 into training and validation partitions, preprocessing transformations are fitted on the training partition only, and the official test CSV is held out for final evaluation. Across five random seeds, ST-GraphAD achieves 0.657 ± 0.078 node-level AUC-ROC and 0.858 ± 0.021 F1-score, compared with 0.612 ± 0.030 AUC and 0.836 ± 0.013 F1 for a static GCN baseline. The mean AUC advantage is 0.045 absolute, while the recall advantage is 0.050 absolute. ST-GraphAD exhibits higher run-to-run variance, so the observed improvement is not presented as statistically established. Graph-level evaluation remains degenerate under majority-vote labeling and is therefore treated only as a diagnostic. The paper documents the graph-construction approximation, experimental protocol, computational cost, and remaining limitations.</w:t>
      </w:r>
    </w:p>
    <w:p w14:paraId="5309DF6C">
      <w:r>
        <w:rPr>
          <w:b/>
        </w:rPr>
        <w:t>Index Terms—</w:t>
      </w:r>
      <w:r>
        <w:t xml:space="preserve"> network intrusion detection; graph neural networks; spatio-temporal modeling; temporal attention; UNSW-NB15; node-level anomaly detection.</w:t>
      </w:r>
    </w:p>
    <w:p w14:paraId="26884001">
      <w:pPr>
        <w:pStyle w:val="2"/>
      </w:pPr>
      <w:r>
        <w:t>1. Introduction</w:t>
      </w:r>
    </w:p>
    <w:p w14:paraId="05BDFA8F">
      <w:pPr>
        <w:pStyle w:val="3"/>
      </w:pPr>
      <w:r>
        <w:t>1.1 Background</w:t>
      </w:r>
    </w:p>
    <w:p w14:paraId="642F6AC4">
      <w:pPr>
        <w:jc w:val="both"/>
      </w:pPr>
      <w:r>
        <w:t>Network intrusion detection remains a foundational cybersecurity capability. Attack campaigns can unfold through multiple stages, including reconnaissance, exploitation, lateral movement, command-and-control, and exfiltration. These stages may leave related traces in the communication structure of a network as well as in successive traffic observations. A model that evaluates only isolated flow vectors therefore discards potentially informative context.</w:t>
      </w:r>
    </w:p>
    <w:p w14:paraId="5EA81734">
      <w:pPr>
        <w:jc w:val="both"/>
      </w:pPr>
      <w:r>
        <w:t>Graph neural networks provide a natural framework for relational traffic analysis. In a communication graph, nodes represent entities and edges represent interactions. A graph convolutional encoder can aggregate neighborhood information and thereby encode local structural context. Static graph models, however, process snapshots independently and cannot directly represent how a node's neighborhood or behavioral context changes across observation windows.</w:t>
      </w:r>
    </w:p>
    <w:p w14:paraId="34312690">
      <w:pPr>
        <w:pStyle w:val="3"/>
      </w:pPr>
      <w:r>
        <w:t>1.2 Research Gap</w:t>
      </w:r>
    </w:p>
    <w:p w14:paraId="04396D97">
      <w:pPr>
        <w:jc w:val="both"/>
      </w:pPr>
      <w:r>
        <w:t>The study addresses three practical gaps: (i) reproducible conversion of the UNSW-NB15 CSV representation into graphs without pretending that missing IP fields are available; (ii) controlled comparison of a spatial-only GCN with a spatio-temporal GNN on identical partitions and sequence units; and (iii) an evaluation protocol that uses node-level metrics for model selection rather than relying on a highly imbalanced graph-level majority-vote target.</w:t>
      </w:r>
    </w:p>
    <w:p w14:paraId="27B64C24">
      <w:pPr>
        <w:pStyle w:val="3"/>
      </w:pPr>
      <w:r>
        <w:t>1.3 Contributions</w:t>
      </w:r>
    </w:p>
    <w:p w14:paraId="4E3CDA61">
      <w:pPr>
        <w:pStyle w:val="23"/>
        <w:jc w:val="left"/>
      </w:pPr>
      <w:r>
        <w:t>A documented flow-to-graph pipeline using explicit pseudo-node construction for the UNSW-NB15 CSV representation.</w:t>
      </w:r>
    </w:p>
    <w:p w14:paraId="54D12C23">
      <w:pPr>
        <w:pStyle w:val="23"/>
        <w:jc w:val="left"/>
      </w:pPr>
      <w:r>
        <w:t>ST-GraphAD, a three-layer GCN followed by a two-layer, four-head temporal self-attention encoder over five graph snapshots.</w:t>
      </w:r>
    </w:p>
    <w:p w14:paraId="746CBE5D">
      <w:pPr>
        <w:pStyle w:val="23"/>
        <w:jc w:val="left"/>
      </w:pPr>
      <w:r>
        <w:t>A corrected 85/15 train/validation split, training-only preprocessing, and official-test holdout.</w:t>
      </w:r>
    </w:p>
    <w:p w14:paraId="7A45DE87">
      <w:pPr>
        <w:pStyle w:val="23"/>
        <w:jc w:val="left"/>
      </w:pPr>
      <w:r>
        <w:t>Five-seed node-level evaluation with mean ± standard deviation, using node-level validation AUC for checkpoint selection and early stopping.</w:t>
      </w:r>
    </w:p>
    <w:p w14:paraId="7CD9B268">
      <w:pPr>
        <w:pStyle w:val="23"/>
        <w:jc w:val="left"/>
      </w:pPr>
      <w:r>
        <w:t>Transparent reporting of graph-level metric degeneracy, computational cost, and the methodological limitations that remain.</w:t>
      </w:r>
    </w:p>
    <w:p w14:paraId="162B5CCE">
      <w:pPr>
        <w:pStyle w:val="2"/>
      </w:pPr>
      <w:r>
        <w:t>2. Related Work</w:t>
      </w:r>
    </w:p>
    <w:p w14:paraId="6A1F6CAB">
      <w:pPr>
        <w:pStyle w:val="3"/>
      </w:pPr>
      <w:r>
        <w:t>2.1 Network Intrusion Detection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613EA6D4">
        <w:trPr>
          <w:jc w:val="center"/>
        </w:trPr>
        <w:tc>
          <w:tcPr>
            <w:tcW w:w="3312" w:type="dxa"/>
            <w:shd w:val="clear" w:color="auto" w:fill="D9E2F3"/>
            <w:vAlign w:val="center"/>
          </w:tcPr>
          <w:p w14:paraId="46F69F97">
            <w:pPr>
              <w:spacing w:after="0"/>
            </w:pPr>
            <w:r>
              <w:rPr>
                <w:rFonts w:ascii="Times New Roman" w:hAnsi="Times New Roman"/>
                <w:b/>
                <w:sz w:val="17"/>
              </w:rPr>
              <w:t>Paradigm</w:t>
            </w:r>
          </w:p>
        </w:tc>
        <w:tc>
          <w:tcPr>
            <w:tcW w:w="3312" w:type="dxa"/>
            <w:shd w:val="clear" w:color="auto" w:fill="D9E2F3"/>
            <w:vAlign w:val="center"/>
          </w:tcPr>
          <w:p w14:paraId="39660D9B">
            <w:pPr>
              <w:spacing w:after="0"/>
            </w:pPr>
            <w:r>
              <w:rPr>
                <w:rFonts w:ascii="Times New Roman" w:hAnsi="Times New Roman"/>
                <w:b/>
                <w:sz w:val="17"/>
              </w:rPr>
              <w:t>Representative methods</w:t>
            </w:r>
          </w:p>
        </w:tc>
        <w:tc>
          <w:tcPr>
            <w:tcW w:w="3312" w:type="dxa"/>
            <w:shd w:val="clear" w:color="auto" w:fill="D9E2F3"/>
            <w:vAlign w:val="center"/>
          </w:tcPr>
          <w:p w14:paraId="11B70605">
            <w:pPr>
              <w:spacing w:after="0"/>
            </w:pPr>
            <w:r>
              <w:rPr>
                <w:rFonts w:ascii="Times New Roman" w:hAnsi="Times New Roman"/>
                <w:b/>
                <w:sz w:val="17"/>
              </w:rPr>
              <w:t>Limitation in the present context</w:t>
            </w:r>
          </w:p>
        </w:tc>
      </w:tr>
      <w:tr w14:paraId="65E83795">
        <w:trPr>
          <w:jc w:val="center"/>
        </w:trPr>
        <w:tc>
          <w:tcPr>
            <w:tcW w:w="3312" w:type="dxa"/>
            <w:vAlign w:val="center"/>
          </w:tcPr>
          <w:p w14:paraId="67674E94">
            <w:pPr>
              <w:spacing w:after="0"/>
            </w:pPr>
            <w:r>
              <w:rPr>
                <w:rFonts w:ascii="Times New Roman" w:hAnsi="Times New Roman"/>
                <w:b w:val="0"/>
                <w:sz w:val="17"/>
              </w:rPr>
              <w:t>Signature-based</w:t>
            </w:r>
          </w:p>
        </w:tc>
        <w:tc>
          <w:tcPr>
            <w:tcW w:w="3312" w:type="dxa"/>
            <w:vAlign w:val="center"/>
          </w:tcPr>
          <w:p w14:paraId="2A04545B">
            <w:pPr>
              <w:spacing w:after="0"/>
            </w:pPr>
            <w:r>
              <w:rPr>
                <w:rFonts w:ascii="Times New Roman" w:hAnsi="Times New Roman"/>
                <w:b w:val="0"/>
                <w:sz w:val="17"/>
              </w:rPr>
              <w:t>Snort, Suricata, Zeek</w:t>
            </w:r>
          </w:p>
        </w:tc>
        <w:tc>
          <w:tcPr>
            <w:tcW w:w="3312" w:type="dxa"/>
            <w:vAlign w:val="center"/>
          </w:tcPr>
          <w:p w14:paraId="5C27E791">
            <w:pPr>
              <w:spacing w:after="0"/>
            </w:pPr>
            <w:r>
              <w:rPr>
                <w:rFonts w:ascii="Times New Roman" w:hAnsi="Times New Roman"/>
                <w:b w:val="0"/>
                <w:sz w:val="17"/>
              </w:rPr>
              <w:t>Limited coverage of previously unseen patterns</w:t>
            </w:r>
          </w:p>
        </w:tc>
      </w:tr>
      <w:tr w14:paraId="5B48BCBB">
        <w:trPr>
          <w:jc w:val="center"/>
        </w:trPr>
        <w:tc>
          <w:tcPr>
            <w:tcW w:w="3312" w:type="dxa"/>
            <w:vAlign w:val="center"/>
          </w:tcPr>
          <w:p w14:paraId="4E23B33D">
            <w:pPr>
              <w:spacing w:after="0"/>
            </w:pPr>
            <w:r>
              <w:rPr>
                <w:rFonts w:ascii="Times New Roman" w:hAnsi="Times New Roman"/>
                <w:b w:val="0"/>
                <w:sz w:val="17"/>
              </w:rPr>
              <w:t>Classical ML</w:t>
            </w:r>
          </w:p>
        </w:tc>
        <w:tc>
          <w:tcPr>
            <w:tcW w:w="3312" w:type="dxa"/>
            <w:vAlign w:val="center"/>
          </w:tcPr>
          <w:p w14:paraId="27A7BB1D">
            <w:pPr>
              <w:spacing w:after="0"/>
            </w:pPr>
            <w:r>
              <w:rPr>
                <w:rFonts w:ascii="Times New Roman" w:hAnsi="Times New Roman"/>
                <w:b w:val="0"/>
                <w:sz w:val="17"/>
              </w:rPr>
              <w:t>Random Forest, XGBoost, Autoencoders</w:t>
            </w:r>
          </w:p>
        </w:tc>
        <w:tc>
          <w:tcPr>
            <w:tcW w:w="3312" w:type="dxa"/>
            <w:vAlign w:val="center"/>
          </w:tcPr>
          <w:p w14:paraId="0DFA2466">
            <w:pPr>
              <w:spacing w:after="0"/>
            </w:pPr>
            <w:r>
              <w:rPr>
                <w:rFonts w:ascii="Times New Roman" w:hAnsi="Times New Roman"/>
                <w:b w:val="0"/>
                <w:sz w:val="17"/>
              </w:rPr>
              <w:t>Primarily flow-centric representations</w:t>
            </w:r>
          </w:p>
        </w:tc>
      </w:tr>
      <w:tr w14:paraId="5B22BDBF">
        <w:trPr>
          <w:jc w:val="center"/>
        </w:trPr>
        <w:tc>
          <w:tcPr>
            <w:tcW w:w="3312" w:type="dxa"/>
            <w:vAlign w:val="center"/>
          </w:tcPr>
          <w:p w14:paraId="15158DCA">
            <w:pPr>
              <w:spacing w:after="0"/>
            </w:pPr>
            <w:r>
              <w:rPr>
                <w:rFonts w:ascii="Times New Roman" w:hAnsi="Times New Roman"/>
                <w:b w:val="0"/>
                <w:sz w:val="17"/>
              </w:rPr>
              <w:t>Deep learning</w:t>
            </w:r>
          </w:p>
        </w:tc>
        <w:tc>
          <w:tcPr>
            <w:tcW w:w="3312" w:type="dxa"/>
            <w:vAlign w:val="center"/>
          </w:tcPr>
          <w:p w14:paraId="50D86450">
            <w:pPr>
              <w:spacing w:after="0"/>
            </w:pPr>
            <w:r>
              <w:rPr>
                <w:rFonts w:ascii="Times New Roman" w:hAnsi="Times New Roman"/>
                <w:b w:val="0"/>
                <w:sz w:val="17"/>
              </w:rPr>
              <w:t>CNN, LSTM, Transformer</w:t>
            </w:r>
          </w:p>
        </w:tc>
        <w:tc>
          <w:tcPr>
            <w:tcW w:w="3312" w:type="dxa"/>
            <w:vAlign w:val="center"/>
          </w:tcPr>
          <w:p w14:paraId="21C30E09">
            <w:pPr>
              <w:spacing w:after="0"/>
            </w:pPr>
            <w:r>
              <w:rPr>
                <w:rFonts w:ascii="Times New Roman" w:hAnsi="Times New Roman"/>
                <w:b w:val="0"/>
                <w:sz w:val="17"/>
              </w:rPr>
              <w:t>Often lacks explicit interaction topology</w:t>
            </w:r>
          </w:p>
        </w:tc>
      </w:tr>
      <w:tr w14:paraId="7D19FB89">
        <w:trPr>
          <w:jc w:val="center"/>
        </w:trPr>
        <w:tc>
          <w:tcPr>
            <w:tcW w:w="3312" w:type="dxa"/>
            <w:vAlign w:val="center"/>
          </w:tcPr>
          <w:p w14:paraId="27226818">
            <w:pPr>
              <w:spacing w:after="0"/>
            </w:pPr>
            <w:r>
              <w:rPr>
                <w:rFonts w:ascii="Times New Roman" w:hAnsi="Times New Roman"/>
                <w:b w:val="0"/>
                <w:sz w:val="17"/>
              </w:rPr>
              <w:t>Static GNN</w:t>
            </w:r>
          </w:p>
        </w:tc>
        <w:tc>
          <w:tcPr>
            <w:tcW w:w="3312" w:type="dxa"/>
            <w:vAlign w:val="center"/>
          </w:tcPr>
          <w:p w14:paraId="59306450">
            <w:pPr>
              <w:spacing w:after="0"/>
            </w:pPr>
            <w:r>
              <w:rPr>
                <w:rFonts w:ascii="Times New Roman" w:hAnsi="Times New Roman"/>
                <w:b w:val="0"/>
                <w:sz w:val="17"/>
              </w:rPr>
              <w:t>GCN, GAT, GraphSAGE</w:t>
            </w:r>
          </w:p>
        </w:tc>
        <w:tc>
          <w:tcPr>
            <w:tcW w:w="3312" w:type="dxa"/>
            <w:vAlign w:val="center"/>
          </w:tcPr>
          <w:p w14:paraId="147FCB06">
            <w:pPr>
              <w:spacing w:after="0"/>
            </w:pPr>
            <w:r>
              <w:rPr>
                <w:rFonts w:ascii="Times New Roman" w:hAnsi="Times New Roman"/>
                <w:b w:val="0"/>
                <w:sz w:val="17"/>
              </w:rPr>
              <w:t>Does not directly model temporal evolution</w:t>
            </w:r>
          </w:p>
        </w:tc>
      </w:tr>
    </w:tbl>
    <w:p w14:paraId="5DCB7066">
      <w:pPr>
        <w:pStyle w:val="164"/>
        <w:jc w:val="center"/>
      </w:pPr>
      <w:r>
        <w:t>Table 1. NIDS paradigms relevant to the proposed approach.</w:t>
      </w:r>
    </w:p>
    <w:p w14:paraId="76DF7421">
      <w:pPr>
        <w:pStyle w:val="3"/>
      </w:pPr>
      <w:r>
        <w:t>2.2 Graph and Temporal GNNs</w:t>
      </w:r>
    </w:p>
    <w:p w14:paraId="6DDBF47E">
      <w:pPr>
        <w:jc w:val="both"/>
      </w:pPr>
      <w:r>
        <w:t>GraphSAGE established inductive neighborhood aggregation, while GAT introduced attention-based graph message passing. Temporal graph approaches such as TGAT and TGN extend graph representation learning into the temporal domain. ST-GraphAD follows a discrete-time architecture because the available dataset representation is naturally partitioned into graph snapshots, although the resulting temporal ordering is only a proxy for real time.</w:t>
      </w:r>
    </w:p>
    <w:p w14:paraId="4FF83537">
      <w:pPr>
        <w:pStyle w:val="3"/>
      </w:pPr>
      <w:r>
        <w:t>2.3 UNSW-NB15 Benchmark Context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2484"/>
        <w:gridCol w:w="2484"/>
        <w:gridCol w:w="2484"/>
      </w:tblGrid>
      <w:tr w14:paraId="02D2D257">
        <w:trPr>
          <w:jc w:val="center"/>
        </w:trPr>
        <w:tc>
          <w:tcPr>
            <w:tcW w:w="2484" w:type="dxa"/>
            <w:shd w:val="clear" w:color="auto" w:fill="D9E2F3"/>
            <w:vAlign w:val="center"/>
          </w:tcPr>
          <w:p w14:paraId="2134B91F">
            <w:pPr>
              <w:spacing w:after="0"/>
            </w:pPr>
            <w:r>
              <w:rPr>
                <w:rFonts w:ascii="Times New Roman" w:hAnsi="Times New Roman"/>
                <w:b/>
                <w:sz w:val="17"/>
              </w:rPr>
              <w:t>Model</w:t>
            </w:r>
          </w:p>
        </w:tc>
        <w:tc>
          <w:tcPr>
            <w:tcW w:w="2484" w:type="dxa"/>
            <w:shd w:val="clear" w:color="auto" w:fill="D9E2F3"/>
            <w:vAlign w:val="center"/>
          </w:tcPr>
          <w:p w14:paraId="585D732F">
            <w:pPr>
              <w:spacing w:after="0"/>
            </w:pPr>
            <w:r>
              <w:rPr>
                <w:rFonts w:ascii="Times New Roman" w:hAnsi="Times New Roman"/>
                <w:b/>
                <w:sz w:val="17"/>
              </w:rPr>
              <w:t>AUC</w:t>
            </w:r>
          </w:p>
        </w:tc>
        <w:tc>
          <w:tcPr>
            <w:tcW w:w="2484" w:type="dxa"/>
            <w:shd w:val="clear" w:color="auto" w:fill="D9E2F3"/>
            <w:vAlign w:val="center"/>
          </w:tcPr>
          <w:p w14:paraId="40F8104E">
            <w:pPr>
              <w:spacing w:after="0"/>
            </w:pPr>
            <w:r>
              <w:rPr>
                <w:rFonts w:ascii="Times New Roman" w:hAnsi="Times New Roman"/>
                <w:b/>
                <w:sz w:val="17"/>
              </w:rPr>
              <w:t>F1</w:t>
            </w:r>
          </w:p>
        </w:tc>
        <w:tc>
          <w:tcPr>
            <w:tcW w:w="2484" w:type="dxa"/>
            <w:shd w:val="clear" w:color="auto" w:fill="D9E2F3"/>
            <w:vAlign w:val="center"/>
          </w:tcPr>
          <w:p w14:paraId="671BB753">
            <w:pPr>
              <w:spacing w:after="0"/>
            </w:pPr>
            <w:r>
              <w:rPr>
                <w:rFonts w:ascii="Times New Roman" w:hAnsi="Times New Roman"/>
                <w:b/>
                <w:sz w:val="17"/>
              </w:rPr>
              <w:t>Interpretation</w:t>
            </w:r>
          </w:p>
        </w:tc>
      </w:tr>
      <w:tr w14:paraId="5629DFF6">
        <w:trPr>
          <w:jc w:val="center"/>
        </w:trPr>
        <w:tc>
          <w:tcPr>
            <w:tcW w:w="2484" w:type="dxa"/>
            <w:vAlign w:val="center"/>
          </w:tcPr>
          <w:p w14:paraId="467A5389">
            <w:pPr>
              <w:spacing w:after="0"/>
            </w:pPr>
            <w:r>
              <w:rPr>
                <w:rFonts w:ascii="Times New Roman" w:hAnsi="Times New Roman"/>
                <w:b w:val="0"/>
                <w:sz w:val="17"/>
              </w:rPr>
              <w:t>Random Forest</w:t>
            </w:r>
          </w:p>
        </w:tc>
        <w:tc>
          <w:tcPr>
            <w:tcW w:w="2484" w:type="dxa"/>
            <w:vAlign w:val="center"/>
          </w:tcPr>
          <w:p w14:paraId="38A72ADB">
            <w:pPr>
              <w:spacing w:after="0"/>
            </w:pPr>
            <w:r>
              <w:rPr>
                <w:rFonts w:ascii="Times New Roman" w:hAnsi="Times New Roman"/>
                <w:b w:val="0"/>
                <w:sz w:val="17"/>
              </w:rPr>
              <w:t>0.89</w:t>
            </w:r>
          </w:p>
        </w:tc>
        <w:tc>
          <w:tcPr>
            <w:tcW w:w="2484" w:type="dxa"/>
            <w:vAlign w:val="center"/>
          </w:tcPr>
          <w:p w14:paraId="5C89311C">
            <w:pPr>
              <w:spacing w:after="0"/>
            </w:pPr>
            <w:r>
              <w:rPr>
                <w:rFonts w:ascii="Times New Roman" w:hAnsi="Times New Roman"/>
                <w:b w:val="0"/>
                <w:sz w:val="17"/>
              </w:rPr>
              <w:t>0.85</w:t>
            </w:r>
          </w:p>
        </w:tc>
        <w:tc>
          <w:tcPr>
            <w:tcW w:w="2484" w:type="dxa"/>
            <w:vAlign w:val="center"/>
          </w:tcPr>
          <w:p w14:paraId="46617A0D">
            <w:pPr>
              <w:spacing w:after="0"/>
            </w:pPr>
            <w:r>
              <w:rPr>
                <w:rFonts w:ascii="Times New Roman" w:hAnsi="Times New Roman"/>
                <w:b w:val="0"/>
                <w:sz w:val="17"/>
              </w:rPr>
              <w:t>Prior flow-level result</w:t>
            </w:r>
          </w:p>
        </w:tc>
      </w:tr>
      <w:tr w14:paraId="510FAD94">
        <w:trPr>
          <w:jc w:val="center"/>
        </w:trPr>
        <w:tc>
          <w:tcPr>
            <w:tcW w:w="2484" w:type="dxa"/>
            <w:vAlign w:val="center"/>
          </w:tcPr>
          <w:p w14:paraId="7CC056F1">
            <w:pPr>
              <w:spacing w:after="0"/>
            </w:pPr>
            <w:r>
              <w:rPr>
                <w:rFonts w:ascii="Times New Roman" w:hAnsi="Times New Roman"/>
                <w:b w:val="0"/>
                <w:sz w:val="17"/>
              </w:rPr>
              <w:t>XGBoost</w:t>
            </w:r>
          </w:p>
        </w:tc>
        <w:tc>
          <w:tcPr>
            <w:tcW w:w="2484" w:type="dxa"/>
            <w:vAlign w:val="center"/>
          </w:tcPr>
          <w:p w14:paraId="7D244CC2">
            <w:pPr>
              <w:spacing w:after="0"/>
            </w:pPr>
            <w:r>
              <w:rPr>
                <w:rFonts w:ascii="Times New Roman" w:hAnsi="Times New Roman"/>
                <w:b w:val="0"/>
                <w:sz w:val="17"/>
              </w:rPr>
              <w:t>0.91</w:t>
            </w:r>
          </w:p>
        </w:tc>
        <w:tc>
          <w:tcPr>
            <w:tcW w:w="2484" w:type="dxa"/>
            <w:vAlign w:val="center"/>
          </w:tcPr>
          <w:p w14:paraId="6C9037A0">
            <w:pPr>
              <w:spacing w:after="0"/>
            </w:pPr>
            <w:r>
              <w:rPr>
                <w:rFonts w:ascii="Times New Roman" w:hAnsi="Times New Roman"/>
                <w:b w:val="0"/>
                <w:sz w:val="17"/>
              </w:rPr>
              <w:t>0.87</w:t>
            </w:r>
          </w:p>
        </w:tc>
        <w:tc>
          <w:tcPr>
            <w:tcW w:w="2484" w:type="dxa"/>
            <w:vAlign w:val="center"/>
          </w:tcPr>
          <w:p w14:paraId="07D146DA">
            <w:pPr>
              <w:spacing w:after="0"/>
            </w:pPr>
            <w:r>
              <w:rPr>
                <w:rFonts w:ascii="Times New Roman" w:hAnsi="Times New Roman"/>
                <w:b w:val="0"/>
                <w:sz w:val="17"/>
              </w:rPr>
              <w:t>Prior flow-level result</w:t>
            </w:r>
          </w:p>
        </w:tc>
      </w:tr>
      <w:tr w14:paraId="20E0E902">
        <w:trPr>
          <w:jc w:val="center"/>
        </w:trPr>
        <w:tc>
          <w:tcPr>
            <w:tcW w:w="2484" w:type="dxa"/>
            <w:vAlign w:val="center"/>
          </w:tcPr>
          <w:p w14:paraId="66BA8060">
            <w:pPr>
              <w:spacing w:after="0"/>
            </w:pPr>
            <w:r>
              <w:rPr>
                <w:rFonts w:ascii="Times New Roman" w:hAnsi="Times New Roman"/>
                <w:b w:val="0"/>
                <w:sz w:val="17"/>
              </w:rPr>
              <w:t>LSTM</w:t>
            </w:r>
          </w:p>
        </w:tc>
        <w:tc>
          <w:tcPr>
            <w:tcW w:w="2484" w:type="dxa"/>
            <w:vAlign w:val="center"/>
          </w:tcPr>
          <w:p w14:paraId="6138A179">
            <w:pPr>
              <w:spacing w:after="0"/>
            </w:pPr>
            <w:r>
              <w:rPr>
                <w:rFonts w:ascii="Times New Roman" w:hAnsi="Times New Roman"/>
                <w:b w:val="0"/>
                <w:sz w:val="17"/>
              </w:rPr>
              <w:t>0.88</w:t>
            </w:r>
          </w:p>
        </w:tc>
        <w:tc>
          <w:tcPr>
            <w:tcW w:w="2484" w:type="dxa"/>
            <w:vAlign w:val="center"/>
          </w:tcPr>
          <w:p w14:paraId="4DC87CB4">
            <w:pPr>
              <w:spacing w:after="0"/>
            </w:pPr>
            <w:r>
              <w:rPr>
                <w:rFonts w:ascii="Times New Roman" w:hAnsi="Times New Roman"/>
                <w:b w:val="0"/>
                <w:sz w:val="17"/>
              </w:rPr>
              <w:t>0.84</w:t>
            </w:r>
          </w:p>
        </w:tc>
        <w:tc>
          <w:tcPr>
            <w:tcW w:w="2484" w:type="dxa"/>
            <w:vAlign w:val="center"/>
          </w:tcPr>
          <w:p w14:paraId="3AC9E2CB">
            <w:pPr>
              <w:spacing w:after="0"/>
            </w:pPr>
            <w:r>
              <w:rPr>
                <w:rFonts w:ascii="Times New Roman" w:hAnsi="Times New Roman"/>
                <w:b w:val="0"/>
                <w:sz w:val="17"/>
              </w:rPr>
              <w:t>Prior sequential-flow result</w:t>
            </w:r>
          </w:p>
        </w:tc>
      </w:tr>
      <w:tr w14:paraId="7D8B125C">
        <w:trPr>
          <w:jc w:val="center"/>
        </w:trPr>
        <w:tc>
          <w:tcPr>
            <w:tcW w:w="2484" w:type="dxa"/>
            <w:vAlign w:val="center"/>
          </w:tcPr>
          <w:p w14:paraId="38B45098">
            <w:pPr>
              <w:spacing w:after="0"/>
            </w:pPr>
            <w:r>
              <w:rPr>
                <w:rFonts w:ascii="Times New Roman" w:hAnsi="Times New Roman"/>
                <w:b w:val="0"/>
                <w:sz w:val="17"/>
              </w:rPr>
              <w:t>GCN (static)</w:t>
            </w:r>
          </w:p>
        </w:tc>
        <w:tc>
          <w:tcPr>
            <w:tcW w:w="2484" w:type="dxa"/>
            <w:vAlign w:val="center"/>
          </w:tcPr>
          <w:p w14:paraId="76FC255F">
            <w:pPr>
              <w:spacing w:after="0"/>
            </w:pPr>
            <w:r>
              <w:rPr>
                <w:rFonts w:ascii="Times New Roman" w:hAnsi="Times New Roman"/>
                <w:b w:val="0"/>
                <w:sz w:val="17"/>
              </w:rPr>
              <w:t>0.85</w:t>
            </w:r>
          </w:p>
        </w:tc>
        <w:tc>
          <w:tcPr>
            <w:tcW w:w="2484" w:type="dxa"/>
            <w:vAlign w:val="center"/>
          </w:tcPr>
          <w:p w14:paraId="489F92BC">
            <w:pPr>
              <w:spacing w:after="0"/>
            </w:pPr>
            <w:r>
              <w:rPr>
                <w:rFonts w:ascii="Times New Roman" w:hAnsi="Times New Roman"/>
                <w:b w:val="0"/>
                <w:sz w:val="17"/>
              </w:rPr>
              <w:t>0.82</w:t>
            </w:r>
          </w:p>
        </w:tc>
        <w:tc>
          <w:tcPr>
            <w:tcW w:w="2484" w:type="dxa"/>
            <w:vAlign w:val="center"/>
          </w:tcPr>
          <w:p w14:paraId="349610D5">
            <w:pPr>
              <w:spacing w:after="0"/>
            </w:pPr>
            <w:r>
              <w:rPr>
                <w:rFonts w:ascii="Times New Roman" w:hAnsi="Times New Roman"/>
                <w:b w:val="0"/>
                <w:sz w:val="17"/>
              </w:rPr>
              <w:t>Prior static-graph result</w:t>
            </w:r>
          </w:p>
        </w:tc>
      </w:tr>
      <w:tr w14:paraId="70CACDBB">
        <w:trPr>
          <w:jc w:val="center"/>
        </w:trPr>
        <w:tc>
          <w:tcPr>
            <w:tcW w:w="2484" w:type="dxa"/>
            <w:vAlign w:val="center"/>
          </w:tcPr>
          <w:p w14:paraId="0E51DFAC">
            <w:pPr>
              <w:spacing w:after="0"/>
            </w:pPr>
            <w:r>
              <w:rPr>
                <w:rFonts w:ascii="Times New Roman" w:hAnsi="Times New Roman"/>
                <w:b w:val="0"/>
                <w:sz w:val="17"/>
              </w:rPr>
              <w:t>ST-GraphAD (this study)</w:t>
            </w:r>
          </w:p>
        </w:tc>
        <w:tc>
          <w:tcPr>
            <w:tcW w:w="2484" w:type="dxa"/>
            <w:vAlign w:val="center"/>
          </w:tcPr>
          <w:p w14:paraId="0428F436">
            <w:pPr>
              <w:spacing w:after="0"/>
            </w:pPr>
            <w:r>
              <w:rPr>
                <w:rFonts w:ascii="Times New Roman" w:hAnsi="Times New Roman"/>
                <w:b w:val="0"/>
                <w:sz w:val="17"/>
              </w:rPr>
              <w:t>0.657 ± 0.078</w:t>
            </w:r>
          </w:p>
        </w:tc>
        <w:tc>
          <w:tcPr>
            <w:tcW w:w="2484" w:type="dxa"/>
            <w:vAlign w:val="center"/>
          </w:tcPr>
          <w:p w14:paraId="7A1647D7">
            <w:pPr>
              <w:spacing w:after="0"/>
            </w:pPr>
            <w:r>
              <w:rPr>
                <w:rFonts w:ascii="Times New Roman" w:hAnsi="Times New Roman"/>
                <w:b w:val="0"/>
                <w:sz w:val="17"/>
              </w:rPr>
              <w:t>0.858 ± 0.021</w:t>
            </w:r>
          </w:p>
        </w:tc>
        <w:tc>
          <w:tcPr>
            <w:tcW w:w="2484" w:type="dxa"/>
            <w:vAlign w:val="center"/>
          </w:tcPr>
          <w:p w14:paraId="0CF31397">
            <w:pPr>
              <w:spacing w:after="0"/>
            </w:pPr>
            <w:r>
              <w:rPr>
                <w:rFonts w:ascii="Times New Roman" w:hAnsi="Times New Roman"/>
                <w:b w:val="0"/>
                <w:sz w:val="17"/>
              </w:rPr>
              <w:t>Corrected five-seed node-level result</w:t>
            </w:r>
          </w:p>
        </w:tc>
      </w:tr>
    </w:tbl>
    <w:p w14:paraId="12D9C27B">
      <w:pPr>
        <w:pStyle w:val="164"/>
        <w:jc w:val="center"/>
      </w:pPr>
      <w:r>
        <w:t>Table 2. Literature/context comparison. Prior values use different tasks and protocols and are not directly comparable to the present node-level evaluation.</w:t>
      </w:r>
    </w:p>
    <w:p w14:paraId="0071EFEC">
      <w:pPr>
        <w:pStyle w:val="2"/>
      </w:pPr>
      <w:r>
        <w:t>3. Dataset and Problem Formulation</w:t>
      </w:r>
    </w:p>
    <w:p w14:paraId="58263EA6">
      <w:pPr>
        <w:pStyle w:val="3"/>
      </w:pPr>
      <w:r>
        <w:t>3.1 UNSW-NB15</w:t>
      </w:r>
    </w:p>
    <w:p w14:paraId="0345F889">
      <w:pPr>
        <w:jc w:val="both"/>
      </w:pPr>
      <w:r>
        <w:t>The UNSW-NB15 benchmark contains network-flow records covering nine attack categories: Generic, Exploits, Fuzzers, DoS, Reconnaissance, Analysis, Backdoors, Shellcode, and Worms. The release used in this study contains 175,341 training flows and 82,332 official test flows.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656"/>
        <w:gridCol w:w="1656"/>
        <w:gridCol w:w="1656"/>
        <w:gridCol w:w="1656"/>
        <w:gridCol w:w="1656"/>
      </w:tblGrid>
      <w:tr w14:paraId="6B9A28BC">
        <w:trPr>
          <w:jc w:val="center"/>
        </w:trPr>
        <w:tc>
          <w:tcPr>
            <w:tcW w:w="1656" w:type="dxa"/>
            <w:shd w:val="clear" w:color="auto" w:fill="D9E2F3"/>
            <w:vAlign w:val="center"/>
          </w:tcPr>
          <w:p w14:paraId="67D65C7C">
            <w:pPr>
              <w:spacing w:after="0"/>
            </w:pPr>
            <w:r>
              <w:rPr>
                <w:rFonts w:ascii="Times New Roman" w:hAnsi="Times New Roman"/>
                <w:b/>
                <w:sz w:val="17"/>
              </w:rPr>
              <w:t>Partition</w:t>
            </w:r>
          </w:p>
        </w:tc>
        <w:tc>
          <w:tcPr>
            <w:tcW w:w="1656" w:type="dxa"/>
            <w:shd w:val="clear" w:color="auto" w:fill="D9E2F3"/>
            <w:vAlign w:val="center"/>
          </w:tcPr>
          <w:p w14:paraId="59E89B36">
            <w:pPr>
              <w:spacing w:after="0"/>
            </w:pPr>
            <w:r>
              <w:rPr>
                <w:rFonts w:ascii="Times New Roman" w:hAnsi="Times New Roman"/>
                <w:b/>
                <w:sz w:val="17"/>
              </w:rPr>
              <w:t>Source</w:t>
            </w:r>
          </w:p>
        </w:tc>
        <w:tc>
          <w:tcPr>
            <w:tcW w:w="1656" w:type="dxa"/>
            <w:shd w:val="clear" w:color="auto" w:fill="D9E2F3"/>
            <w:vAlign w:val="center"/>
          </w:tcPr>
          <w:p w14:paraId="4DF58FB5">
            <w:pPr>
              <w:spacing w:after="0"/>
            </w:pPr>
            <w:r>
              <w:rPr>
                <w:rFonts w:ascii="Times New Roman" w:hAnsi="Times New Roman"/>
                <w:b/>
                <w:sz w:val="17"/>
              </w:rPr>
              <w:t>Flows</w:t>
            </w:r>
          </w:p>
        </w:tc>
        <w:tc>
          <w:tcPr>
            <w:tcW w:w="1656" w:type="dxa"/>
            <w:shd w:val="clear" w:color="auto" w:fill="D9E2F3"/>
            <w:vAlign w:val="center"/>
          </w:tcPr>
          <w:p w14:paraId="16549E0E">
            <w:pPr>
              <w:spacing w:after="0"/>
            </w:pPr>
            <w:r>
              <w:rPr>
                <w:rFonts w:ascii="Times New Roman" w:hAnsi="Times New Roman"/>
                <w:b/>
                <w:sz w:val="17"/>
              </w:rPr>
              <w:t>Temporal graphs</w:t>
            </w:r>
          </w:p>
        </w:tc>
        <w:tc>
          <w:tcPr>
            <w:tcW w:w="1656" w:type="dxa"/>
            <w:shd w:val="clear" w:color="auto" w:fill="D9E2F3"/>
            <w:vAlign w:val="center"/>
          </w:tcPr>
          <w:p w14:paraId="40BC687E">
            <w:pPr>
              <w:spacing w:after="0"/>
            </w:pPr>
            <w:r>
              <w:rPr>
                <w:rFonts w:ascii="Times New Roman" w:hAnsi="Times New Roman"/>
                <w:b/>
                <w:sz w:val="17"/>
              </w:rPr>
              <w:t>Nodes</w:t>
            </w:r>
          </w:p>
        </w:tc>
        <w:tc>
          <w:tcPr>
            <w:tcW w:w="1656" w:type="dxa"/>
            <w:shd w:val="clear" w:color="auto" w:fill="D9E2F3"/>
            <w:vAlign w:val="center"/>
          </w:tcPr>
          <w:p w14:paraId="016B53AE">
            <w:pPr>
              <w:spacing w:after="0"/>
            </w:pPr>
            <w:r>
              <w:rPr>
                <w:rFonts w:ascii="Times New Roman" w:hAnsi="Times New Roman"/>
                <w:b/>
                <w:sz w:val="17"/>
              </w:rPr>
              <w:t>Edges</w:t>
            </w:r>
          </w:p>
        </w:tc>
      </w:tr>
      <w:tr w14:paraId="634C6C52">
        <w:trPr>
          <w:jc w:val="center"/>
        </w:trPr>
        <w:tc>
          <w:tcPr>
            <w:tcW w:w="1656" w:type="dxa"/>
            <w:vAlign w:val="center"/>
          </w:tcPr>
          <w:p w14:paraId="7152997F">
            <w:pPr>
              <w:spacing w:after="0"/>
            </w:pPr>
            <w:r>
              <w:rPr>
                <w:rFonts w:ascii="Times New Roman" w:hAnsi="Times New Roman"/>
                <w:b w:val="0"/>
                <w:sz w:val="17"/>
              </w:rPr>
              <w:t>Training</w:t>
            </w:r>
          </w:p>
        </w:tc>
        <w:tc>
          <w:tcPr>
            <w:tcW w:w="1656" w:type="dxa"/>
            <w:vAlign w:val="center"/>
          </w:tcPr>
          <w:p w14:paraId="68A7BA78">
            <w:pPr>
              <w:spacing w:after="0"/>
            </w:pPr>
            <w:r>
              <w:rPr>
                <w:rFonts w:ascii="Times New Roman" w:hAnsi="Times New Roman"/>
                <w:b w:val="0"/>
                <w:sz w:val="17"/>
              </w:rPr>
              <w:t>Training CSV, 85%</w:t>
            </w:r>
          </w:p>
        </w:tc>
        <w:tc>
          <w:tcPr>
            <w:tcW w:w="1656" w:type="dxa"/>
            <w:vAlign w:val="center"/>
          </w:tcPr>
          <w:p w14:paraId="487353BF">
            <w:pPr>
              <w:spacing w:after="0"/>
            </w:pPr>
            <w:r>
              <w:rPr>
                <w:rFonts w:ascii="Times New Roman" w:hAnsi="Times New Roman"/>
                <w:b w:val="0"/>
                <w:sz w:val="17"/>
              </w:rPr>
              <w:t>149,039</w:t>
            </w:r>
          </w:p>
        </w:tc>
        <w:tc>
          <w:tcPr>
            <w:tcW w:w="1656" w:type="dxa"/>
            <w:vAlign w:val="center"/>
          </w:tcPr>
          <w:p w14:paraId="521EE280">
            <w:pPr>
              <w:spacing w:after="0"/>
            </w:pPr>
            <w:r>
              <w:rPr>
                <w:rFonts w:ascii="Times New Roman" w:hAnsi="Times New Roman"/>
                <w:b w:val="0"/>
                <w:sz w:val="17"/>
              </w:rPr>
              <w:t>150</w:t>
            </w:r>
          </w:p>
        </w:tc>
        <w:tc>
          <w:tcPr>
            <w:tcW w:w="1656" w:type="dxa"/>
            <w:vAlign w:val="center"/>
          </w:tcPr>
          <w:p w14:paraId="15A8CDFF">
            <w:pPr>
              <w:spacing w:after="0"/>
            </w:pPr>
            <w:r>
              <w:rPr>
                <w:rFonts w:ascii="Times New Roman" w:hAnsi="Times New Roman"/>
                <w:b w:val="0"/>
                <w:sz w:val="17"/>
              </w:rPr>
              <w:t>178</w:t>
            </w:r>
          </w:p>
        </w:tc>
        <w:tc>
          <w:tcPr>
            <w:tcW w:w="1656" w:type="dxa"/>
            <w:vAlign w:val="center"/>
          </w:tcPr>
          <w:p w14:paraId="5F4670E2">
            <w:pPr>
              <w:spacing w:after="0"/>
            </w:pPr>
            <w:r>
              <w:rPr>
                <w:rFonts w:ascii="Times New Roman" w:hAnsi="Times New Roman"/>
                <w:b w:val="0"/>
                <w:sz w:val="17"/>
              </w:rPr>
              <w:t>298,078</w:t>
            </w:r>
          </w:p>
        </w:tc>
      </w:tr>
      <w:tr w14:paraId="2BA0BD5A">
        <w:trPr>
          <w:jc w:val="center"/>
        </w:trPr>
        <w:tc>
          <w:tcPr>
            <w:tcW w:w="1656" w:type="dxa"/>
            <w:vAlign w:val="center"/>
          </w:tcPr>
          <w:p w14:paraId="6EF695A8">
            <w:pPr>
              <w:spacing w:after="0"/>
            </w:pPr>
            <w:r>
              <w:rPr>
                <w:rFonts w:ascii="Times New Roman" w:hAnsi="Times New Roman"/>
                <w:b w:val="0"/>
                <w:sz w:val="17"/>
              </w:rPr>
              <w:t>Validation</w:t>
            </w:r>
          </w:p>
        </w:tc>
        <w:tc>
          <w:tcPr>
            <w:tcW w:w="1656" w:type="dxa"/>
            <w:vAlign w:val="center"/>
          </w:tcPr>
          <w:p w14:paraId="0FFD38F9">
            <w:pPr>
              <w:spacing w:after="0"/>
            </w:pPr>
            <w:r>
              <w:rPr>
                <w:rFonts w:ascii="Times New Roman" w:hAnsi="Times New Roman"/>
                <w:b w:val="0"/>
                <w:sz w:val="17"/>
              </w:rPr>
              <w:t>Training CSV, 15%</w:t>
            </w:r>
          </w:p>
        </w:tc>
        <w:tc>
          <w:tcPr>
            <w:tcW w:w="1656" w:type="dxa"/>
            <w:vAlign w:val="center"/>
          </w:tcPr>
          <w:p w14:paraId="55372221">
            <w:pPr>
              <w:spacing w:after="0"/>
            </w:pPr>
            <w:r>
              <w:rPr>
                <w:rFonts w:ascii="Times New Roman" w:hAnsi="Times New Roman"/>
                <w:b w:val="0"/>
                <w:sz w:val="17"/>
              </w:rPr>
              <w:t>26,302</w:t>
            </w:r>
          </w:p>
        </w:tc>
        <w:tc>
          <w:tcPr>
            <w:tcW w:w="1656" w:type="dxa"/>
            <w:vAlign w:val="center"/>
          </w:tcPr>
          <w:p w14:paraId="08F47E86">
            <w:pPr>
              <w:spacing w:after="0"/>
            </w:pPr>
            <w:r>
              <w:rPr>
                <w:rFonts w:ascii="Times New Roman" w:hAnsi="Times New Roman"/>
                <w:b w:val="0"/>
                <w:sz w:val="17"/>
              </w:rPr>
              <w:t>27</w:t>
            </w:r>
          </w:p>
        </w:tc>
        <w:tc>
          <w:tcPr>
            <w:tcW w:w="1656" w:type="dxa"/>
            <w:vAlign w:val="center"/>
          </w:tcPr>
          <w:p w14:paraId="1DDF6AF5">
            <w:pPr>
              <w:spacing w:after="0"/>
            </w:pPr>
            <w:r>
              <w:rPr>
                <w:rFonts w:ascii="Times New Roman" w:hAnsi="Times New Roman"/>
                <w:b w:val="0"/>
                <w:sz w:val="17"/>
              </w:rPr>
              <w:t>174</w:t>
            </w:r>
          </w:p>
        </w:tc>
        <w:tc>
          <w:tcPr>
            <w:tcW w:w="1656" w:type="dxa"/>
            <w:vAlign w:val="center"/>
          </w:tcPr>
          <w:p w14:paraId="666F9DD7">
            <w:pPr>
              <w:spacing w:after="0"/>
            </w:pPr>
            <w:r>
              <w:rPr>
                <w:rFonts w:ascii="Times New Roman" w:hAnsi="Times New Roman"/>
                <w:b w:val="0"/>
                <w:sz w:val="17"/>
              </w:rPr>
              <w:t>52,604</w:t>
            </w:r>
          </w:p>
        </w:tc>
      </w:tr>
      <w:tr w14:paraId="7085342E">
        <w:trPr>
          <w:jc w:val="center"/>
        </w:trPr>
        <w:tc>
          <w:tcPr>
            <w:tcW w:w="1656" w:type="dxa"/>
            <w:vAlign w:val="center"/>
          </w:tcPr>
          <w:p w14:paraId="1214BD6A">
            <w:pPr>
              <w:spacing w:after="0"/>
            </w:pPr>
            <w:r>
              <w:rPr>
                <w:rFonts w:ascii="Times New Roman" w:hAnsi="Times New Roman"/>
                <w:b w:val="0"/>
                <w:sz w:val="17"/>
              </w:rPr>
              <w:t>Official test</w:t>
            </w:r>
          </w:p>
        </w:tc>
        <w:tc>
          <w:tcPr>
            <w:tcW w:w="1656" w:type="dxa"/>
            <w:vAlign w:val="center"/>
          </w:tcPr>
          <w:p w14:paraId="28B0578C">
            <w:pPr>
              <w:spacing w:after="0"/>
            </w:pPr>
            <w:r>
              <w:rPr>
                <w:rFonts w:ascii="Times New Roman" w:hAnsi="Times New Roman"/>
                <w:b w:val="0"/>
                <w:sz w:val="17"/>
              </w:rPr>
              <w:t>Testing CSV, 100%</w:t>
            </w:r>
          </w:p>
        </w:tc>
        <w:tc>
          <w:tcPr>
            <w:tcW w:w="1656" w:type="dxa"/>
            <w:vAlign w:val="center"/>
          </w:tcPr>
          <w:p w14:paraId="0773F759">
            <w:pPr>
              <w:spacing w:after="0"/>
            </w:pPr>
            <w:r>
              <w:rPr>
                <w:rFonts w:ascii="Times New Roman" w:hAnsi="Times New Roman"/>
                <w:b w:val="0"/>
                <w:sz w:val="17"/>
              </w:rPr>
              <w:t>82,332</w:t>
            </w:r>
          </w:p>
        </w:tc>
        <w:tc>
          <w:tcPr>
            <w:tcW w:w="1656" w:type="dxa"/>
            <w:vAlign w:val="center"/>
          </w:tcPr>
          <w:p w14:paraId="3CEDDB29">
            <w:pPr>
              <w:spacing w:after="0"/>
            </w:pPr>
            <w:r>
              <w:rPr>
                <w:rFonts w:ascii="Times New Roman" w:hAnsi="Times New Roman"/>
                <w:b w:val="0"/>
                <w:sz w:val="17"/>
              </w:rPr>
              <w:t>83</w:t>
            </w:r>
          </w:p>
        </w:tc>
        <w:tc>
          <w:tcPr>
            <w:tcW w:w="1656" w:type="dxa"/>
            <w:vAlign w:val="center"/>
          </w:tcPr>
          <w:p w14:paraId="532476E6">
            <w:pPr>
              <w:spacing w:after="0"/>
            </w:pPr>
            <w:r>
              <w:rPr>
                <w:rFonts w:ascii="Times New Roman" w:hAnsi="Times New Roman"/>
                <w:b w:val="0"/>
                <w:sz w:val="17"/>
              </w:rPr>
              <w:t>172</w:t>
            </w:r>
          </w:p>
        </w:tc>
        <w:tc>
          <w:tcPr>
            <w:tcW w:w="1656" w:type="dxa"/>
            <w:vAlign w:val="center"/>
          </w:tcPr>
          <w:p w14:paraId="5D628937">
            <w:pPr>
              <w:spacing w:after="0"/>
            </w:pPr>
            <w:r>
              <w:rPr>
                <w:rFonts w:ascii="Times New Roman" w:hAnsi="Times New Roman"/>
                <w:b w:val="0"/>
                <w:sz w:val="17"/>
              </w:rPr>
              <w:t>164,664</w:t>
            </w:r>
          </w:p>
        </w:tc>
      </w:tr>
    </w:tbl>
    <w:p w14:paraId="125B1261">
      <w:pPr>
        <w:pStyle w:val="164"/>
        <w:jc w:val="center"/>
      </w:pPr>
      <w:r>
        <w:t>Table 3. Dataset and graph statistics for the corrected protocol.</w:t>
      </w:r>
    </w:p>
    <w:p w14:paraId="7EDF91DA">
      <w:pPr>
        <w:pStyle w:val="3"/>
      </w:pPr>
      <w:r>
        <w:t>3.2 Preprocessing</w:t>
      </w:r>
    </w:p>
    <w:p w14:paraId="449CA409">
      <w:pPr>
        <w:jc w:val="both"/>
      </w:pPr>
      <w:r>
        <w:t>The training CSV is partitioned into training and validation subsets using stratification by the binary flow label. Categorical encoders and numerical scaling parameters are fitted on the training partition only and then applied unchanged to validation and official test data. Thus, the official test set is not used for fitting preprocessing transformations, model selection, checkpoint selection, or early stopping.</w:t>
      </w:r>
    </w:p>
    <w:p w14:paraId="3F6601E5">
      <w:pPr>
        <w:pStyle w:val="3"/>
        <w:jc w:val="both"/>
      </w:pPr>
      <w:r>
        <w:t>3.3 Graph Construction</w:t>
      </w:r>
    </w:p>
    <w:p w14:paraId="588D4CDE">
      <w:pPr>
        <w:jc w:val="both"/>
      </w:pPr>
      <w:r>
        <w:t>The CSV representation lacks explicit source and destination IP addresses. We therefore construct pseudo-nodes from categorical combinations: a source identifier is formed from protocol and service with a source-role suffix, while a destination identifier is formed from state and service with a destination-role suffix. Each flow contributes an edge between the corresponding pseudo-nodes.</w:t>
      </w:r>
    </w:p>
    <w:p w14:paraId="46C4D0A1">
      <w:pPr>
        <w:jc w:val="both"/>
      </w:pPr>
      <w:r>
        <w:t>This is a proxy graph rather than a reconstruction of the real network topology. Different real hosts can collapse into the same pseudo-node when their available categorical attributes coincide. The limitation is intrinsic to the CSV representation used in this study and is explicitly retained in the interpretation of the results.</w:t>
      </w:r>
    </w:p>
    <w:p w14:paraId="28F5BEA9">
      <w:pPr>
        <w:pStyle w:val="3"/>
      </w:pPr>
      <w:r>
        <w:t>3.4 Node Features and Labels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425E960B">
        <w:trPr>
          <w:jc w:val="center"/>
        </w:trPr>
        <w:tc>
          <w:tcPr>
            <w:tcW w:w="3312" w:type="dxa"/>
            <w:shd w:val="clear" w:color="auto" w:fill="D9E2F3"/>
            <w:vAlign w:val="center"/>
          </w:tcPr>
          <w:p w14:paraId="0157B685">
            <w:pPr>
              <w:spacing w:after="0"/>
            </w:pPr>
            <w:r>
              <w:rPr>
                <w:rFonts w:ascii="Times New Roman" w:hAnsi="Times New Roman"/>
                <w:b/>
                <w:sz w:val="17"/>
              </w:rPr>
              <w:t>Feature group</w:t>
            </w:r>
          </w:p>
        </w:tc>
        <w:tc>
          <w:tcPr>
            <w:tcW w:w="3312" w:type="dxa"/>
            <w:shd w:val="clear" w:color="auto" w:fill="D9E2F3"/>
            <w:vAlign w:val="center"/>
          </w:tcPr>
          <w:p w14:paraId="32BD9135">
            <w:pPr>
              <w:spacing w:after="0"/>
            </w:pPr>
            <w:r>
              <w:rPr>
                <w:rFonts w:ascii="Times New Roman" w:hAnsi="Times New Roman"/>
                <w:b/>
                <w:sz w:val="17"/>
              </w:rPr>
              <w:t>Aggregation</w:t>
            </w:r>
          </w:p>
        </w:tc>
        <w:tc>
          <w:tcPr>
            <w:tcW w:w="3312" w:type="dxa"/>
            <w:shd w:val="clear" w:color="auto" w:fill="D9E2F3"/>
            <w:vAlign w:val="center"/>
          </w:tcPr>
          <w:p w14:paraId="2D58BBCB">
            <w:pPr>
              <w:spacing w:after="0"/>
            </w:pPr>
            <w:r>
              <w:rPr>
                <w:rFonts w:ascii="Times New Roman" w:hAnsi="Times New Roman"/>
                <w:b/>
                <w:sz w:val="17"/>
              </w:rPr>
              <w:t>Dimension</w:t>
            </w:r>
          </w:p>
        </w:tc>
      </w:tr>
      <w:tr w14:paraId="0D35E340">
        <w:trPr>
          <w:jc w:val="center"/>
        </w:trPr>
        <w:tc>
          <w:tcPr>
            <w:tcW w:w="3312" w:type="dxa"/>
            <w:vAlign w:val="center"/>
          </w:tcPr>
          <w:p w14:paraId="6FE70E38">
            <w:pPr>
              <w:spacing w:after="0"/>
            </w:pPr>
            <w:r>
              <w:rPr>
                <w:rFonts w:ascii="Times New Roman" w:hAnsi="Times New Roman"/>
                <w:b w:val="0"/>
                <w:sz w:val="17"/>
              </w:rPr>
              <w:t>Source-side statistics</w:t>
            </w:r>
          </w:p>
        </w:tc>
        <w:tc>
          <w:tcPr>
            <w:tcW w:w="3312" w:type="dxa"/>
            <w:vAlign w:val="center"/>
          </w:tcPr>
          <w:p w14:paraId="3E289834">
            <w:pPr>
              <w:spacing w:after="0"/>
            </w:pPr>
            <w:r>
              <w:rPr>
                <w:rFonts w:ascii="Times New Roman" w:hAnsi="Times New Roman"/>
                <w:b w:val="0"/>
                <w:sz w:val="17"/>
              </w:rPr>
              <w:t>Mean bytes, packets, load, duration, TTL and loss features</w:t>
            </w:r>
          </w:p>
        </w:tc>
        <w:tc>
          <w:tcPr>
            <w:tcW w:w="3312" w:type="dxa"/>
            <w:vAlign w:val="center"/>
          </w:tcPr>
          <w:p w14:paraId="6166B299">
            <w:pPr>
              <w:spacing w:after="0"/>
            </w:pPr>
            <w:r>
              <w:rPr>
                <w:rFonts w:ascii="Times New Roman" w:hAnsi="Times New Roman"/>
                <w:b w:val="0"/>
                <w:sz w:val="17"/>
              </w:rPr>
              <w:t>11</w:t>
            </w:r>
          </w:p>
        </w:tc>
      </w:tr>
      <w:tr w14:paraId="540DE998">
        <w:trPr>
          <w:jc w:val="center"/>
        </w:trPr>
        <w:tc>
          <w:tcPr>
            <w:tcW w:w="3312" w:type="dxa"/>
            <w:vAlign w:val="center"/>
          </w:tcPr>
          <w:p w14:paraId="33F3213A">
            <w:pPr>
              <w:spacing w:after="0"/>
            </w:pPr>
            <w:r>
              <w:rPr>
                <w:rFonts w:ascii="Times New Roman" w:hAnsi="Times New Roman"/>
                <w:b w:val="0"/>
                <w:sz w:val="17"/>
              </w:rPr>
              <w:t>Destination-side statistics</w:t>
            </w:r>
          </w:p>
        </w:tc>
        <w:tc>
          <w:tcPr>
            <w:tcW w:w="3312" w:type="dxa"/>
            <w:vAlign w:val="center"/>
          </w:tcPr>
          <w:p w14:paraId="423A710A">
            <w:pPr>
              <w:spacing w:after="0"/>
            </w:pPr>
            <w:r>
              <w:rPr>
                <w:rFonts w:ascii="Times New Roman" w:hAnsi="Times New Roman"/>
                <w:b w:val="0"/>
                <w:sz w:val="17"/>
              </w:rPr>
              <w:t>Corresponding destination-side means</w:t>
            </w:r>
          </w:p>
        </w:tc>
        <w:tc>
          <w:tcPr>
            <w:tcW w:w="3312" w:type="dxa"/>
            <w:vAlign w:val="center"/>
          </w:tcPr>
          <w:p w14:paraId="230D7396">
            <w:pPr>
              <w:spacing w:after="0"/>
            </w:pPr>
            <w:r>
              <w:rPr>
                <w:rFonts w:ascii="Times New Roman" w:hAnsi="Times New Roman"/>
                <w:b w:val="0"/>
                <w:sz w:val="17"/>
              </w:rPr>
              <w:t>11</w:t>
            </w:r>
          </w:p>
        </w:tc>
      </w:tr>
      <w:tr w14:paraId="3A0DFB20">
        <w:trPr>
          <w:jc w:val="center"/>
        </w:trPr>
        <w:tc>
          <w:tcPr>
            <w:tcW w:w="3312" w:type="dxa"/>
            <w:vAlign w:val="center"/>
          </w:tcPr>
          <w:p w14:paraId="162E1D12">
            <w:pPr>
              <w:spacing w:after="0"/>
            </w:pPr>
            <w:r>
              <w:rPr>
                <w:rFonts w:ascii="Times New Roman" w:hAnsi="Times New Roman"/>
                <w:b w:val="0"/>
                <w:sz w:val="17"/>
              </w:rPr>
              <w:t>Source categorical modes</w:t>
            </w:r>
          </w:p>
        </w:tc>
        <w:tc>
          <w:tcPr>
            <w:tcW w:w="3312" w:type="dxa"/>
            <w:vAlign w:val="center"/>
          </w:tcPr>
          <w:p w14:paraId="6F7E9642">
            <w:pPr>
              <w:spacing w:after="0"/>
            </w:pPr>
            <w:r>
              <w:rPr>
                <w:rFonts w:ascii="Times New Roman" w:hAnsi="Times New Roman"/>
                <w:b w:val="0"/>
                <w:sz w:val="17"/>
              </w:rPr>
              <w:t>Protocol, state, service</w:t>
            </w:r>
          </w:p>
        </w:tc>
        <w:tc>
          <w:tcPr>
            <w:tcW w:w="3312" w:type="dxa"/>
            <w:vAlign w:val="center"/>
          </w:tcPr>
          <w:p w14:paraId="3A522EE4">
            <w:pPr>
              <w:spacing w:after="0"/>
            </w:pPr>
            <w:r>
              <w:rPr>
                <w:rFonts w:ascii="Times New Roman" w:hAnsi="Times New Roman"/>
                <w:b w:val="0"/>
                <w:sz w:val="17"/>
              </w:rPr>
              <w:t>3</w:t>
            </w:r>
          </w:p>
        </w:tc>
      </w:tr>
      <w:tr w14:paraId="04C238E2">
        <w:trPr>
          <w:jc w:val="center"/>
        </w:trPr>
        <w:tc>
          <w:tcPr>
            <w:tcW w:w="3312" w:type="dxa"/>
            <w:vAlign w:val="center"/>
          </w:tcPr>
          <w:p w14:paraId="0B8B7E57">
            <w:pPr>
              <w:spacing w:after="0"/>
            </w:pPr>
            <w:r>
              <w:rPr>
                <w:rFonts w:ascii="Times New Roman" w:hAnsi="Times New Roman"/>
                <w:b w:val="0"/>
                <w:sz w:val="17"/>
              </w:rPr>
              <w:t>Destination categorical modes</w:t>
            </w:r>
          </w:p>
        </w:tc>
        <w:tc>
          <w:tcPr>
            <w:tcW w:w="3312" w:type="dxa"/>
            <w:vAlign w:val="center"/>
          </w:tcPr>
          <w:p w14:paraId="02E7690A">
            <w:pPr>
              <w:spacing w:after="0"/>
            </w:pPr>
            <w:r>
              <w:rPr>
                <w:rFonts w:ascii="Times New Roman" w:hAnsi="Times New Roman"/>
                <w:b w:val="0"/>
                <w:sz w:val="17"/>
              </w:rPr>
              <w:t>Protocol, state, service</w:t>
            </w:r>
          </w:p>
        </w:tc>
        <w:tc>
          <w:tcPr>
            <w:tcW w:w="3312" w:type="dxa"/>
            <w:vAlign w:val="center"/>
          </w:tcPr>
          <w:p w14:paraId="1CB14902">
            <w:pPr>
              <w:spacing w:after="0"/>
            </w:pPr>
            <w:r>
              <w:rPr>
                <w:rFonts w:ascii="Times New Roman" w:hAnsi="Times New Roman"/>
                <w:b w:val="0"/>
                <w:sz w:val="17"/>
              </w:rPr>
              <w:t>3</w:t>
            </w:r>
          </w:p>
        </w:tc>
      </w:tr>
      <w:tr w14:paraId="225D61EB">
        <w:trPr>
          <w:jc w:val="center"/>
        </w:trPr>
        <w:tc>
          <w:tcPr>
            <w:tcW w:w="3312" w:type="dxa"/>
            <w:vAlign w:val="center"/>
          </w:tcPr>
          <w:p w14:paraId="61734E9A">
            <w:pPr>
              <w:spacing w:after="0"/>
            </w:pPr>
            <w:r>
              <w:rPr>
                <w:rFonts w:ascii="Times New Roman" w:hAnsi="Times New Roman"/>
                <w:b w:val="0"/>
                <w:sz w:val="17"/>
              </w:rPr>
              <w:t>Total</w:t>
            </w:r>
          </w:p>
        </w:tc>
        <w:tc>
          <w:tcPr>
            <w:tcW w:w="3312" w:type="dxa"/>
            <w:vAlign w:val="center"/>
          </w:tcPr>
          <w:p w14:paraId="0C21DAAA">
            <w:pPr>
              <w:spacing w:after="0"/>
            </w:pPr>
            <w:r>
              <w:rPr>
                <w:rFonts w:ascii="Times New Roman" w:hAnsi="Times New Roman"/>
                <w:b w:val="0"/>
                <w:sz w:val="17"/>
              </w:rPr>
              <w:t>Node feature vector</w:t>
            </w:r>
          </w:p>
        </w:tc>
        <w:tc>
          <w:tcPr>
            <w:tcW w:w="3312" w:type="dxa"/>
            <w:vAlign w:val="center"/>
          </w:tcPr>
          <w:p w14:paraId="7BA04DE3">
            <w:pPr>
              <w:spacing w:after="0"/>
            </w:pPr>
            <w:r>
              <w:rPr>
                <w:rFonts w:ascii="Times New Roman" w:hAnsi="Times New Roman"/>
                <w:b w:val="0"/>
                <w:sz w:val="17"/>
              </w:rPr>
              <w:t>28</w:t>
            </w:r>
          </w:p>
        </w:tc>
      </w:tr>
    </w:tbl>
    <w:p w14:paraId="49D11314">
      <w:pPr>
        <w:pStyle w:val="164"/>
        <w:jc w:val="center"/>
      </w:pPr>
      <w:r>
        <w:t>Table 4. Node-feature composition.</w:t>
      </w:r>
    </w:p>
    <w:p w14:paraId="15F90B95">
      <w:r>
        <w:t>A node is labeled as an attack node when at least one incident source-side or destination-side flow is labeled as an attack. This simple rule is reproducible, but it may over-label a node when only one incident flow is malicious.</w:t>
      </w:r>
    </w:p>
    <w:p w14:paraId="0054B9BD">
      <w:pPr>
        <w:pStyle w:val="3"/>
      </w:pPr>
      <w:r>
        <w:t>3.5 Temporal Graph Construction</w:t>
      </w:r>
    </w:p>
    <w:p w14:paraId="18D15BF9">
      <w:pPr>
        <w:jc w:val="both"/>
      </w:pPr>
      <w:r>
        <w:t>Flows are ordered according to their row order in the CSV because a reliable event timestamp is not available in the working representation. Consecutive blocks of 1,000 flows form graph snapshots, and five consecutive snapshots form the input sequence for ST-GraphAD. The temporal axis is therefore pseudo-temporal rather than a record of real elapsed time.</w:t>
      </w:r>
    </w:p>
    <w:p w14:paraId="07755C7F">
      <w:pPr>
        <w:pStyle w:val="2"/>
      </w:pPr>
      <w:r>
        <w:t>4. Proposed ST-GraphAD</w:t>
      </w:r>
    </w:p>
    <w:p w14:paraId="7BC8FEA5">
      <w:pPr>
        <w:pStyle w:val="3"/>
      </w:pPr>
      <w:r>
        <w:t>4.1 Architecture</w:t>
      </w:r>
    </w:p>
    <w:p w14:paraId="1D07FF9E">
      <w:pPr>
        <w:jc w:val="both"/>
      </w:pPr>
      <w:r>
        <w:t>ST-GraphAD first applies a shared three-layer GCN to each graph snapshot. The resulting 128-dimensional node embeddings are then arranged across the five-snapshot sequence, padded to a common node dimension, and passed through a two-layer, four-head temporal self-attention module with positional encoding. The final-window temporal embeddings are passed to the node-level classifier; a graph-level head is retained as a secondary diagnostic.</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8"/>
        <w:gridCol w:w="4968"/>
      </w:tblGrid>
      <w:tr w14:paraId="45C6063B">
        <w:trPr>
          <w:jc w:val="center"/>
        </w:trPr>
        <w:tc>
          <w:tcPr>
            <w:tcW w:w="4968" w:type="dxa"/>
            <w:shd w:val="clear" w:color="auto" w:fill="D9E2F3"/>
            <w:vAlign w:val="center"/>
          </w:tcPr>
          <w:p w14:paraId="06AC3446">
            <w:pPr>
              <w:spacing w:after="0"/>
            </w:pPr>
            <w:r>
              <w:rPr>
                <w:rFonts w:ascii="Times New Roman" w:hAnsi="Times New Roman"/>
                <w:b/>
                <w:sz w:val="17"/>
              </w:rPr>
              <w:t>Component</w:t>
            </w:r>
          </w:p>
        </w:tc>
        <w:tc>
          <w:tcPr>
            <w:tcW w:w="4968" w:type="dxa"/>
            <w:shd w:val="clear" w:color="auto" w:fill="D9E2F3"/>
            <w:vAlign w:val="center"/>
          </w:tcPr>
          <w:p w14:paraId="640D5D15">
            <w:pPr>
              <w:spacing w:after="0"/>
            </w:pPr>
            <w:r>
              <w:rPr>
                <w:rFonts w:ascii="Times New Roman" w:hAnsi="Times New Roman"/>
                <w:b/>
                <w:sz w:val="17"/>
              </w:rPr>
              <w:t>Configuration</w:t>
            </w:r>
          </w:p>
        </w:tc>
      </w:tr>
      <w:tr w14:paraId="13FCAED3">
        <w:trPr>
          <w:jc w:val="center"/>
        </w:trPr>
        <w:tc>
          <w:tcPr>
            <w:tcW w:w="4968" w:type="dxa"/>
            <w:vAlign w:val="center"/>
          </w:tcPr>
          <w:p w14:paraId="03BB325E">
            <w:pPr>
              <w:spacing w:after="0"/>
            </w:pPr>
            <w:r>
              <w:rPr>
                <w:rFonts w:ascii="Times New Roman" w:hAnsi="Times New Roman"/>
                <w:b w:val="0"/>
                <w:sz w:val="17"/>
              </w:rPr>
              <w:t>GCN spatial encoder</w:t>
            </w:r>
          </w:p>
        </w:tc>
        <w:tc>
          <w:tcPr>
            <w:tcW w:w="4968" w:type="dxa"/>
            <w:vAlign w:val="center"/>
          </w:tcPr>
          <w:p w14:paraId="1C36DB07">
            <w:pPr>
              <w:spacing w:after="0"/>
            </w:pPr>
            <w:r>
              <w:rPr>
                <w:rFonts w:ascii="Times New Roman" w:hAnsi="Times New Roman"/>
                <w:b w:val="0"/>
                <w:sz w:val="17"/>
              </w:rPr>
              <w:t>3 layers; hidden dimension 128</w:t>
            </w:r>
          </w:p>
        </w:tc>
      </w:tr>
      <w:tr w14:paraId="6D28ED7D">
        <w:trPr>
          <w:jc w:val="center"/>
        </w:trPr>
        <w:tc>
          <w:tcPr>
            <w:tcW w:w="4968" w:type="dxa"/>
            <w:vAlign w:val="center"/>
          </w:tcPr>
          <w:p w14:paraId="1CD78CD2">
            <w:pPr>
              <w:spacing w:after="0"/>
            </w:pPr>
            <w:r>
              <w:rPr>
                <w:rFonts w:ascii="Times New Roman" w:hAnsi="Times New Roman"/>
                <w:b w:val="0"/>
                <w:sz w:val="17"/>
              </w:rPr>
              <w:t>Temporal encoder</w:t>
            </w:r>
          </w:p>
        </w:tc>
        <w:tc>
          <w:tcPr>
            <w:tcW w:w="4968" w:type="dxa"/>
            <w:vAlign w:val="center"/>
          </w:tcPr>
          <w:p w14:paraId="02B4166D">
            <w:pPr>
              <w:spacing w:after="0"/>
            </w:pPr>
            <w:r>
              <w:rPr>
                <w:rFonts w:ascii="Times New Roman" w:hAnsi="Times New Roman"/>
                <w:b w:val="0"/>
                <w:sz w:val="17"/>
              </w:rPr>
              <w:t>2 self-attention layers; 4 heads</w:t>
            </w:r>
          </w:p>
        </w:tc>
      </w:tr>
      <w:tr w14:paraId="0F29FDAB">
        <w:trPr>
          <w:jc w:val="center"/>
        </w:trPr>
        <w:tc>
          <w:tcPr>
            <w:tcW w:w="4968" w:type="dxa"/>
            <w:vAlign w:val="center"/>
          </w:tcPr>
          <w:p w14:paraId="6C522A51">
            <w:pPr>
              <w:spacing w:after="0"/>
            </w:pPr>
            <w:r>
              <w:rPr>
                <w:rFonts w:ascii="Times New Roman" w:hAnsi="Times New Roman"/>
                <w:b w:val="0"/>
                <w:sz w:val="17"/>
              </w:rPr>
              <w:t>Temporal sequence</w:t>
            </w:r>
          </w:p>
        </w:tc>
        <w:tc>
          <w:tcPr>
            <w:tcW w:w="4968" w:type="dxa"/>
            <w:vAlign w:val="center"/>
          </w:tcPr>
          <w:p w14:paraId="71AF7B21">
            <w:pPr>
              <w:spacing w:after="0"/>
            </w:pPr>
            <w:r>
              <w:rPr>
                <w:rFonts w:ascii="Times New Roman" w:hAnsi="Times New Roman"/>
                <w:b w:val="0"/>
                <w:sz w:val="17"/>
              </w:rPr>
              <w:t>5 graph snapshots</w:t>
            </w:r>
          </w:p>
        </w:tc>
      </w:tr>
      <w:tr w14:paraId="3DCBF381">
        <w:trPr>
          <w:jc w:val="center"/>
        </w:trPr>
        <w:tc>
          <w:tcPr>
            <w:tcW w:w="4968" w:type="dxa"/>
            <w:vAlign w:val="center"/>
          </w:tcPr>
          <w:p w14:paraId="30B043AC">
            <w:pPr>
              <w:spacing w:after="0"/>
            </w:pPr>
            <w:r>
              <w:rPr>
                <w:rFonts w:ascii="Times New Roman" w:hAnsi="Times New Roman"/>
                <w:b w:val="0"/>
                <w:sz w:val="17"/>
              </w:rPr>
              <w:t>Positional encoding</w:t>
            </w:r>
          </w:p>
        </w:tc>
        <w:tc>
          <w:tcPr>
            <w:tcW w:w="4968" w:type="dxa"/>
            <w:vAlign w:val="center"/>
          </w:tcPr>
          <w:p w14:paraId="1F93A6AF">
            <w:pPr>
              <w:spacing w:after="0"/>
            </w:pPr>
            <w:r>
              <w:rPr>
                <w:rFonts w:ascii="Times New Roman" w:hAnsi="Times New Roman"/>
                <w:b w:val="0"/>
                <w:sz w:val="17"/>
              </w:rPr>
              <w:t>Sinusoidal</w:t>
            </w:r>
          </w:p>
        </w:tc>
      </w:tr>
      <w:tr w14:paraId="5600447A">
        <w:trPr>
          <w:jc w:val="center"/>
        </w:trPr>
        <w:tc>
          <w:tcPr>
            <w:tcW w:w="4968" w:type="dxa"/>
            <w:vAlign w:val="center"/>
          </w:tcPr>
          <w:p w14:paraId="7248E53A">
            <w:pPr>
              <w:spacing w:after="0"/>
            </w:pPr>
            <w:r>
              <w:rPr>
                <w:rFonts w:ascii="Times New Roman" w:hAnsi="Times New Roman"/>
                <w:b w:val="0"/>
                <w:sz w:val="17"/>
              </w:rPr>
              <w:t>Node classifier</w:t>
            </w:r>
          </w:p>
        </w:tc>
        <w:tc>
          <w:tcPr>
            <w:tcW w:w="4968" w:type="dxa"/>
            <w:vAlign w:val="center"/>
          </w:tcPr>
          <w:p w14:paraId="0E40691C">
            <w:pPr>
              <w:spacing w:after="0"/>
            </w:pPr>
            <w:r>
              <w:rPr>
                <w:rFonts w:ascii="Times New Roman" w:hAnsi="Times New Roman"/>
                <w:b w:val="0"/>
                <w:sz w:val="17"/>
              </w:rPr>
              <w:t>128 → 64 → 2</w:t>
            </w:r>
          </w:p>
        </w:tc>
      </w:tr>
      <w:tr w14:paraId="49717E62">
        <w:trPr>
          <w:jc w:val="center"/>
        </w:trPr>
        <w:tc>
          <w:tcPr>
            <w:tcW w:w="4968" w:type="dxa"/>
            <w:vAlign w:val="center"/>
          </w:tcPr>
          <w:p w14:paraId="591510B2">
            <w:pPr>
              <w:spacing w:after="0"/>
            </w:pPr>
            <w:r>
              <w:rPr>
                <w:rFonts w:ascii="Times New Roman" w:hAnsi="Times New Roman"/>
                <w:b w:val="0"/>
                <w:sz w:val="17"/>
              </w:rPr>
              <w:t>Graph classifier</w:t>
            </w:r>
          </w:p>
        </w:tc>
        <w:tc>
          <w:tcPr>
            <w:tcW w:w="4968" w:type="dxa"/>
            <w:vAlign w:val="center"/>
          </w:tcPr>
          <w:p w14:paraId="30C76B06">
            <w:pPr>
              <w:spacing w:after="0"/>
            </w:pPr>
            <w:r>
              <w:rPr>
                <w:rFonts w:ascii="Times New Roman" w:hAnsi="Times New Roman"/>
                <w:b w:val="0"/>
                <w:sz w:val="17"/>
              </w:rPr>
              <w:t>Mean pool → 64 → 2</w:t>
            </w:r>
          </w:p>
        </w:tc>
      </w:tr>
      <w:tr w14:paraId="538A4CCF">
        <w:trPr>
          <w:jc w:val="center"/>
        </w:trPr>
        <w:tc>
          <w:tcPr>
            <w:tcW w:w="4968" w:type="dxa"/>
            <w:vAlign w:val="center"/>
          </w:tcPr>
          <w:p w14:paraId="454D1C55">
            <w:pPr>
              <w:spacing w:after="0"/>
            </w:pPr>
            <w:r>
              <w:rPr>
                <w:rFonts w:ascii="Times New Roman" w:hAnsi="Times New Roman"/>
                <w:b w:val="0"/>
                <w:sz w:val="17"/>
              </w:rPr>
              <w:t>Dropout</w:t>
            </w:r>
          </w:p>
        </w:tc>
        <w:tc>
          <w:tcPr>
            <w:tcW w:w="4968" w:type="dxa"/>
            <w:vAlign w:val="center"/>
          </w:tcPr>
          <w:p w14:paraId="2CBC55D6">
            <w:pPr>
              <w:spacing w:after="0"/>
            </w:pPr>
            <w:r>
              <w:rPr>
                <w:rFonts w:ascii="Times New Roman" w:hAnsi="Times New Roman"/>
                <w:b w:val="0"/>
                <w:sz w:val="17"/>
              </w:rPr>
              <w:t>0.5</w:t>
            </w:r>
          </w:p>
        </w:tc>
      </w:tr>
    </w:tbl>
    <w:p w14:paraId="43DABE33">
      <w:pPr>
        <w:pStyle w:val="164"/>
        <w:jc w:val="center"/>
      </w:pPr>
      <w:r>
        <w:t>Table 5. ST-GraphAD architecture.</w:t>
      </w:r>
    </w:p>
    <w:p w14:paraId="2F2B5595">
      <w:pPr>
        <w:pStyle w:val="3"/>
      </w:pPr>
      <w:r>
        <w:t>4.2 Spatial Encoder</w:t>
      </w:r>
    </w:p>
    <w:p w14:paraId="376E2709">
      <w:pPr>
        <w:jc w:val="center"/>
      </w:pPr>
      <w:r>
        <w:rPr>
          <w:b/>
        </w:rPr>
        <w:t>H^(l+1) = σ(D~^(-1/2) A~ D~^(-1/2) H^(l) W^(l))</w:t>
      </w:r>
    </w:p>
    <w:p w14:paraId="7DF8EE17">
      <w:pPr>
        <w:jc w:val="both"/>
      </w:pPr>
      <w:r>
        <w:t>where A~ = A + I adds self-loops, D~ is the degree matrix of A~, and σ is the ReLU activation. Batch normalization and dropout are used between GCN layers.</w:t>
      </w:r>
    </w:p>
    <w:p w14:paraId="477EB7DC">
      <w:pPr>
        <w:pStyle w:val="3"/>
        <w:jc w:val="both"/>
      </w:pPr>
      <w:r>
        <w:t>4.3 Temporal Attention</w:t>
      </w:r>
    </w:p>
    <w:p w14:paraId="0804FE2F">
      <w:pPr>
        <w:jc w:val="both"/>
      </w:pPr>
      <w:r>
        <w:t>For each temporal sequence, node embeddings are padded to the maximum node count and accompanied by a validity mask. Sinusoidal positional encoding supplies temporal order. Each attention block computes:</w:t>
      </w:r>
    </w:p>
    <w:p w14:paraId="5F3BC03D">
      <w:pPr>
        <w:jc w:val="center"/>
      </w:pPr>
      <w:r>
        <w:rPr>
          <w:b/>
        </w:rPr>
        <w:t>Attention(Q,K,V) = softmax(QK^T / √d_k)V</w:t>
      </w:r>
    </w:p>
    <w:p w14:paraId="3D8A0916">
      <w:pPr>
        <w:jc w:val="both"/>
      </w:pPr>
      <w:r>
        <w:t>Residual connections and layer normalization are applied after the attention blocks. Only the valid nodes in the final snapshot are passed to the detection head.</w:t>
      </w:r>
    </w:p>
    <w:p w14:paraId="31B3FD0F">
      <w:pPr>
        <w:pStyle w:val="3"/>
      </w:pPr>
      <w:r>
        <w:t>4.4 Training Objective</w:t>
      </w:r>
    </w:p>
    <w:p w14:paraId="3A906271">
      <w:pPr>
        <w:jc w:val="center"/>
      </w:pPr>
      <w:r>
        <w:rPr>
          <w:b/>
        </w:rPr>
        <w:t>L = L_graph + λ L_node,  λ = 0.5</w:t>
      </w:r>
    </w:p>
    <w:p w14:paraId="03C59EA7">
      <w:pPr>
        <w:jc w:val="both"/>
      </w:pPr>
      <w:r>
        <w:t>The model is optimized with Adam (learning rate 10^-3, weight decay 5×10^-4). ReduceLROnPlateau and early stopping monitor validation node-level AUC-ROC. Graph-level AUC is never used for model selection.</w:t>
      </w:r>
    </w:p>
    <w:p w14:paraId="77FBBD25">
      <w:pPr>
        <w:pStyle w:val="2"/>
      </w:pPr>
      <w:r>
        <w:t>5. Experimental Setup</w:t>
      </w:r>
    </w:p>
    <w:p w14:paraId="7AEA3CD0">
      <w:pPr>
        <w:pStyle w:val="3"/>
      </w:pPr>
      <w:r>
        <w:t>5.1 Baseline and Fair Comparison</w:t>
      </w:r>
    </w:p>
    <w:p w14:paraId="6B959746">
      <w:pPr>
        <w:jc w:val="both"/>
      </w:pPr>
      <w:r>
        <w:t>The GCN-only baseline uses the same spatial encoder and node classification head but omits temporal attention. Both models are trained from the same graph partitions and sequence units so that the principal architectural difference is the temporal modeling component.</w:t>
      </w:r>
    </w:p>
    <w:p w14:paraId="64CA6859">
      <w:pPr>
        <w:pStyle w:val="3"/>
      </w:pPr>
      <w:r>
        <w:t>5.2 Final Configuration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8"/>
        <w:gridCol w:w="4968"/>
      </w:tblGrid>
      <w:tr w14:paraId="08F663A6">
        <w:trPr>
          <w:jc w:val="center"/>
        </w:trPr>
        <w:tc>
          <w:tcPr>
            <w:tcW w:w="4968" w:type="dxa"/>
            <w:shd w:val="clear" w:color="auto" w:fill="D9E2F3"/>
            <w:vAlign w:val="center"/>
          </w:tcPr>
          <w:p w14:paraId="5CFD3708">
            <w:pPr>
              <w:spacing w:after="0"/>
            </w:pPr>
            <w:r>
              <w:rPr>
                <w:rFonts w:ascii="Times New Roman" w:hAnsi="Times New Roman"/>
                <w:b/>
                <w:sz w:val="17"/>
              </w:rPr>
              <w:t>Parameter</w:t>
            </w:r>
          </w:p>
        </w:tc>
        <w:tc>
          <w:tcPr>
            <w:tcW w:w="4968" w:type="dxa"/>
            <w:shd w:val="clear" w:color="auto" w:fill="D9E2F3"/>
            <w:vAlign w:val="center"/>
          </w:tcPr>
          <w:p w14:paraId="4DFC7055">
            <w:pPr>
              <w:spacing w:after="0"/>
            </w:pPr>
            <w:r>
              <w:rPr>
                <w:rFonts w:ascii="Times New Roman" w:hAnsi="Times New Roman"/>
                <w:b/>
                <w:sz w:val="17"/>
              </w:rPr>
              <w:t>Value</w:t>
            </w:r>
          </w:p>
        </w:tc>
      </w:tr>
      <w:tr w14:paraId="675A323E">
        <w:trPr>
          <w:jc w:val="center"/>
        </w:trPr>
        <w:tc>
          <w:tcPr>
            <w:tcW w:w="4968" w:type="dxa"/>
            <w:vAlign w:val="center"/>
          </w:tcPr>
          <w:p w14:paraId="4C09E426">
            <w:pPr>
              <w:spacing w:after="0"/>
            </w:pPr>
            <w:r>
              <w:rPr>
                <w:rFonts w:ascii="Times New Roman" w:hAnsi="Times New Roman"/>
                <w:b w:val="0"/>
                <w:sz w:val="17"/>
              </w:rPr>
              <w:t>Hidden channels</w:t>
            </w:r>
          </w:p>
        </w:tc>
        <w:tc>
          <w:tcPr>
            <w:tcW w:w="4968" w:type="dxa"/>
            <w:vAlign w:val="center"/>
          </w:tcPr>
          <w:p w14:paraId="65322F0A">
            <w:pPr>
              <w:spacing w:after="0"/>
            </w:pPr>
            <w:r>
              <w:rPr>
                <w:rFonts w:ascii="Times New Roman" w:hAnsi="Times New Roman"/>
                <w:b w:val="0"/>
                <w:sz w:val="17"/>
              </w:rPr>
              <w:t>128</w:t>
            </w:r>
          </w:p>
        </w:tc>
      </w:tr>
      <w:tr w14:paraId="3D60B73B">
        <w:trPr>
          <w:jc w:val="center"/>
        </w:trPr>
        <w:tc>
          <w:tcPr>
            <w:tcW w:w="4968" w:type="dxa"/>
            <w:vAlign w:val="center"/>
          </w:tcPr>
          <w:p w14:paraId="02543CD6">
            <w:pPr>
              <w:spacing w:after="0"/>
            </w:pPr>
            <w:r>
              <w:rPr>
                <w:rFonts w:ascii="Times New Roman" w:hAnsi="Times New Roman"/>
                <w:b w:val="0"/>
                <w:sz w:val="17"/>
              </w:rPr>
              <w:t>GCN layers</w:t>
            </w:r>
          </w:p>
        </w:tc>
        <w:tc>
          <w:tcPr>
            <w:tcW w:w="4968" w:type="dxa"/>
            <w:vAlign w:val="center"/>
          </w:tcPr>
          <w:p w14:paraId="4BE7D9A0">
            <w:pPr>
              <w:spacing w:after="0"/>
            </w:pPr>
            <w:r>
              <w:rPr>
                <w:rFonts w:ascii="Times New Roman" w:hAnsi="Times New Roman"/>
                <w:b w:val="0"/>
                <w:sz w:val="17"/>
              </w:rPr>
              <w:t>3</w:t>
            </w:r>
          </w:p>
        </w:tc>
      </w:tr>
      <w:tr w14:paraId="70854A5A">
        <w:trPr>
          <w:jc w:val="center"/>
        </w:trPr>
        <w:tc>
          <w:tcPr>
            <w:tcW w:w="4968" w:type="dxa"/>
            <w:vAlign w:val="center"/>
          </w:tcPr>
          <w:p w14:paraId="37F64B47">
            <w:pPr>
              <w:spacing w:after="0"/>
            </w:pPr>
            <w:r>
              <w:rPr>
                <w:rFonts w:ascii="Times New Roman" w:hAnsi="Times New Roman"/>
                <w:b w:val="0"/>
                <w:sz w:val="17"/>
              </w:rPr>
              <w:t>Temporal attention layers</w:t>
            </w:r>
          </w:p>
        </w:tc>
        <w:tc>
          <w:tcPr>
            <w:tcW w:w="4968" w:type="dxa"/>
            <w:vAlign w:val="center"/>
          </w:tcPr>
          <w:p w14:paraId="59C237B9">
            <w:pPr>
              <w:spacing w:after="0"/>
            </w:pPr>
            <w:r>
              <w:rPr>
                <w:rFonts w:ascii="Times New Roman" w:hAnsi="Times New Roman"/>
                <w:b w:val="0"/>
                <w:sz w:val="17"/>
              </w:rPr>
              <w:t>2</w:t>
            </w:r>
          </w:p>
        </w:tc>
      </w:tr>
      <w:tr w14:paraId="5B4D1037">
        <w:trPr>
          <w:jc w:val="center"/>
        </w:trPr>
        <w:tc>
          <w:tcPr>
            <w:tcW w:w="4968" w:type="dxa"/>
            <w:vAlign w:val="center"/>
          </w:tcPr>
          <w:p w14:paraId="00BE6A1D">
            <w:pPr>
              <w:spacing w:after="0"/>
            </w:pPr>
            <w:r>
              <w:rPr>
                <w:rFonts w:ascii="Times New Roman" w:hAnsi="Times New Roman"/>
                <w:b w:val="0"/>
                <w:sz w:val="17"/>
              </w:rPr>
              <w:t>Attention heads</w:t>
            </w:r>
          </w:p>
        </w:tc>
        <w:tc>
          <w:tcPr>
            <w:tcW w:w="4968" w:type="dxa"/>
            <w:vAlign w:val="center"/>
          </w:tcPr>
          <w:p w14:paraId="063AD4BC">
            <w:pPr>
              <w:spacing w:after="0"/>
            </w:pPr>
            <w:r>
              <w:rPr>
                <w:rFonts w:ascii="Times New Roman" w:hAnsi="Times New Roman"/>
                <w:b w:val="0"/>
                <w:sz w:val="17"/>
              </w:rPr>
              <w:t>4</w:t>
            </w:r>
          </w:p>
        </w:tc>
      </w:tr>
      <w:tr w14:paraId="267DBF44">
        <w:trPr>
          <w:jc w:val="center"/>
        </w:trPr>
        <w:tc>
          <w:tcPr>
            <w:tcW w:w="4968" w:type="dxa"/>
            <w:vAlign w:val="center"/>
          </w:tcPr>
          <w:p w14:paraId="1614E51E">
            <w:pPr>
              <w:spacing w:after="0"/>
            </w:pPr>
            <w:r>
              <w:rPr>
                <w:rFonts w:ascii="Times New Roman" w:hAnsi="Times New Roman"/>
                <w:b w:val="0"/>
                <w:sz w:val="17"/>
              </w:rPr>
              <w:t>Dropout</w:t>
            </w:r>
          </w:p>
        </w:tc>
        <w:tc>
          <w:tcPr>
            <w:tcW w:w="4968" w:type="dxa"/>
            <w:vAlign w:val="center"/>
          </w:tcPr>
          <w:p w14:paraId="69BB2499">
            <w:pPr>
              <w:spacing w:after="0"/>
            </w:pPr>
            <w:r>
              <w:rPr>
                <w:rFonts w:ascii="Times New Roman" w:hAnsi="Times New Roman"/>
                <w:b w:val="0"/>
                <w:sz w:val="17"/>
              </w:rPr>
              <w:t>0.5</w:t>
            </w:r>
          </w:p>
        </w:tc>
      </w:tr>
      <w:tr w14:paraId="60403927">
        <w:trPr>
          <w:jc w:val="center"/>
        </w:trPr>
        <w:tc>
          <w:tcPr>
            <w:tcW w:w="4968" w:type="dxa"/>
            <w:vAlign w:val="center"/>
          </w:tcPr>
          <w:p w14:paraId="7C610350">
            <w:pPr>
              <w:spacing w:after="0"/>
            </w:pPr>
            <w:r>
              <w:rPr>
                <w:rFonts w:ascii="Times New Roman" w:hAnsi="Times New Roman"/>
                <w:b w:val="0"/>
                <w:sz w:val="17"/>
              </w:rPr>
              <w:t>Learning rate</w:t>
            </w:r>
          </w:p>
        </w:tc>
        <w:tc>
          <w:tcPr>
            <w:tcW w:w="4968" w:type="dxa"/>
            <w:vAlign w:val="center"/>
          </w:tcPr>
          <w:p w14:paraId="11C83B22">
            <w:pPr>
              <w:spacing w:after="0"/>
            </w:pPr>
            <w:r>
              <w:rPr>
                <w:rFonts w:ascii="Times New Roman" w:hAnsi="Times New Roman"/>
                <w:b w:val="0"/>
                <w:sz w:val="17"/>
              </w:rPr>
              <w:t>1×10^-3</w:t>
            </w:r>
          </w:p>
        </w:tc>
      </w:tr>
      <w:tr w14:paraId="5CF711CD">
        <w:trPr>
          <w:jc w:val="center"/>
        </w:trPr>
        <w:tc>
          <w:tcPr>
            <w:tcW w:w="4968" w:type="dxa"/>
            <w:vAlign w:val="center"/>
          </w:tcPr>
          <w:p w14:paraId="2EBF65A9">
            <w:pPr>
              <w:spacing w:after="0"/>
            </w:pPr>
            <w:r>
              <w:rPr>
                <w:rFonts w:ascii="Times New Roman" w:hAnsi="Times New Roman"/>
                <w:b w:val="0"/>
                <w:sz w:val="17"/>
              </w:rPr>
              <w:t>Weight decay</w:t>
            </w:r>
          </w:p>
        </w:tc>
        <w:tc>
          <w:tcPr>
            <w:tcW w:w="4968" w:type="dxa"/>
            <w:vAlign w:val="center"/>
          </w:tcPr>
          <w:p w14:paraId="46B9F12A">
            <w:pPr>
              <w:spacing w:after="0"/>
            </w:pPr>
            <w:r>
              <w:rPr>
                <w:rFonts w:ascii="Times New Roman" w:hAnsi="Times New Roman"/>
                <w:b w:val="0"/>
                <w:sz w:val="17"/>
              </w:rPr>
              <w:t>5×10^-4</w:t>
            </w:r>
          </w:p>
        </w:tc>
      </w:tr>
      <w:tr w14:paraId="10CEED33">
        <w:trPr>
          <w:jc w:val="center"/>
        </w:trPr>
        <w:tc>
          <w:tcPr>
            <w:tcW w:w="4968" w:type="dxa"/>
            <w:vAlign w:val="center"/>
          </w:tcPr>
          <w:p w14:paraId="11D71CC2">
            <w:pPr>
              <w:spacing w:after="0"/>
            </w:pPr>
            <w:r>
              <w:rPr>
                <w:rFonts w:ascii="Times New Roman" w:hAnsi="Times New Roman"/>
                <w:b w:val="0"/>
                <w:sz w:val="17"/>
              </w:rPr>
              <w:t>Max epochs</w:t>
            </w:r>
          </w:p>
        </w:tc>
        <w:tc>
          <w:tcPr>
            <w:tcW w:w="4968" w:type="dxa"/>
            <w:vAlign w:val="center"/>
          </w:tcPr>
          <w:p w14:paraId="0834B55A">
            <w:pPr>
              <w:spacing w:after="0"/>
            </w:pPr>
            <w:r>
              <w:rPr>
                <w:rFonts w:ascii="Times New Roman" w:hAnsi="Times New Roman"/>
                <w:b w:val="0"/>
                <w:sz w:val="17"/>
              </w:rPr>
              <w:t>50</w:t>
            </w:r>
          </w:p>
        </w:tc>
      </w:tr>
      <w:tr w14:paraId="2D8C7B43">
        <w:trPr>
          <w:jc w:val="center"/>
        </w:trPr>
        <w:tc>
          <w:tcPr>
            <w:tcW w:w="4968" w:type="dxa"/>
            <w:vAlign w:val="center"/>
          </w:tcPr>
          <w:p w14:paraId="57C89B34">
            <w:pPr>
              <w:spacing w:after="0"/>
            </w:pPr>
            <w:r>
              <w:rPr>
                <w:rFonts w:ascii="Times New Roman" w:hAnsi="Times New Roman"/>
                <w:b w:val="0"/>
                <w:sz w:val="17"/>
              </w:rPr>
              <w:t>Early stopping patience</w:t>
            </w:r>
          </w:p>
        </w:tc>
        <w:tc>
          <w:tcPr>
            <w:tcW w:w="4968" w:type="dxa"/>
            <w:vAlign w:val="center"/>
          </w:tcPr>
          <w:p w14:paraId="00C0FE0A">
            <w:pPr>
              <w:spacing w:after="0"/>
            </w:pPr>
            <w:r>
              <w:rPr>
                <w:rFonts w:ascii="Times New Roman" w:hAnsi="Times New Roman"/>
                <w:b w:val="0"/>
                <w:sz w:val="17"/>
              </w:rPr>
              <w:t>10</w:t>
            </w:r>
          </w:p>
        </w:tc>
      </w:tr>
      <w:tr w14:paraId="135E75B0">
        <w:trPr>
          <w:jc w:val="center"/>
        </w:trPr>
        <w:tc>
          <w:tcPr>
            <w:tcW w:w="4968" w:type="dxa"/>
            <w:vAlign w:val="center"/>
          </w:tcPr>
          <w:p w14:paraId="0E32C2FA">
            <w:pPr>
              <w:spacing w:after="0"/>
            </w:pPr>
            <w:r>
              <w:rPr>
                <w:rFonts w:ascii="Times New Roman" w:hAnsi="Times New Roman"/>
                <w:b w:val="0"/>
                <w:sz w:val="17"/>
              </w:rPr>
              <w:t>Sequence length</w:t>
            </w:r>
          </w:p>
        </w:tc>
        <w:tc>
          <w:tcPr>
            <w:tcW w:w="4968" w:type="dxa"/>
            <w:vAlign w:val="center"/>
          </w:tcPr>
          <w:p w14:paraId="28428225">
            <w:pPr>
              <w:spacing w:after="0"/>
            </w:pPr>
            <w:r>
              <w:rPr>
                <w:rFonts w:ascii="Times New Roman" w:hAnsi="Times New Roman"/>
                <w:b w:val="0"/>
                <w:sz w:val="17"/>
              </w:rPr>
              <w:t>5</w:t>
            </w:r>
          </w:p>
        </w:tc>
      </w:tr>
      <w:tr w14:paraId="7DA12F6E">
        <w:trPr>
          <w:jc w:val="center"/>
        </w:trPr>
        <w:tc>
          <w:tcPr>
            <w:tcW w:w="4968" w:type="dxa"/>
            <w:vAlign w:val="center"/>
          </w:tcPr>
          <w:p w14:paraId="6F5BD82D">
            <w:pPr>
              <w:spacing w:after="0"/>
            </w:pPr>
            <w:r>
              <w:rPr>
                <w:rFonts w:ascii="Times New Roman" w:hAnsi="Times New Roman"/>
                <w:b w:val="0"/>
                <w:sz w:val="17"/>
              </w:rPr>
              <w:t>Max sequences/epoch</w:t>
            </w:r>
          </w:p>
        </w:tc>
        <w:tc>
          <w:tcPr>
            <w:tcW w:w="4968" w:type="dxa"/>
            <w:vAlign w:val="center"/>
          </w:tcPr>
          <w:p w14:paraId="3B413650">
            <w:pPr>
              <w:spacing w:after="0"/>
            </w:pPr>
            <w:r>
              <w:rPr>
                <w:rFonts w:ascii="Times New Roman" w:hAnsi="Times New Roman"/>
                <w:b w:val="0"/>
                <w:sz w:val="17"/>
              </w:rPr>
              <w:t>200</w:t>
            </w:r>
          </w:p>
        </w:tc>
      </w:tr>
      <w:tr w14:paraId="20C0B717">
        <w:trPr>
          <w:jc w:val="center"/>
        </w:trPr>
        <w:tc>
          <w:tcPr>
            <w:tcW w:w="4968" w:type="dxa"/>
            <w:vAlign w:val="center"/>
          </w:tcPr>
          <w:p w14:paraId="5A2857F2">
            <w:pPr>
              <w:spacing w:after="0"/>
            </w:pPr>
            <w:r>
              <w:rPr>
                <w:rFonts w:ascii="Times New Roman" w:hAnsi="Times New Roman"/>
                <w:b w:val="0"/>
                <w:sz w:val="17"/>
              </w:rPr>
              <w:t>Seeds</w:t>
            </w:r>
          </w:p>
        </w:tc>
        <w:tc>
          <w:tcPr>
            <w:tcW w:w="4968" w:type="dxa"/>
            <w:vAlign w:val="center"/>
          </w:tcPr>
          <w:p w14:paraId="1B9AAD66">
            <w:pPr>
              <w:spacing w:after="0"/>
            </w:pPr>
            <w:r>
              <w:rPr>
                <w:rFonts w:ascii="Times New Roman" w:hAnsi="Times New Roman"/>
                <w:b w:val="0"/>
                <w:sz w:val="17"/>
              </w:rPr>
              <w:t>42, 123, 456, 789, 999</w:t>
            </w:r>
          </w:p>
        </w:tc>
      </w:tr>
      <w:tr w14:paraId="6AA9C075">
        <w:trPr>
          <w:jc w:val="center"/>
        </w:trPr>
        <w:tc>
          <w:tcPr>
            <w:tcW w:w="4968" w:type="dxa"/>
            <w:vAlign w:val="center"/>
          </w:tcPr>
          <w:p w14:paraId="0B71D372">
            <w:pPr>
              <w:spacing w:after="0"/>
            </w:pPr>
            <w:r>
              <w:rPr>
                <w:rFonts w:ascii="Times New Roman" w:hAnsi="Times New Roman"/>
                <w:b w:val="0"/>
                <w:sz w:val="17"/>
              </w:rPr>
              <w:t>Device</w:t>
            </w:r>
          </w:p>
        </w:tc>
        <w:tc>
          <w:tcPr>
            <w:tcW w:w="4968" w:type="dxa"/>
            <w:vAlign w:val="center"/>
          </w:tcPr>
          <w:p w14:paraId="1BE8461B">
            <w:pPr>
              <w:spacing w:after="0"/>
            </w:pPr>
            <w:r>
              <w:rPr>
                <w:rFonts w:ascii="Times New Roman" w:hAnsi="Times New Roman"/>
                <w:b w:val="0"/>
                <w:sz w:val="17"/>
              </w:rPr>
              <w:t>CPU, Apple M4, 16 GB RAM</w:t>
            </w:r>
          </w:p>
        </w:tc>
      </w:tr>
    </w:tbl>
    <w:p w14:paraId="05B18AD1">
      <w:pPr>
        <w:pStyle w:val="164"/>
        <w:jc w:val="center"/>
      </w:pPr>
      <w:r>
        <w:t>Table 6. Authoritative Configuration C.</w:t>
      </w:r>
    </w:p>
    <w:p w14:paraId="39963042">
      <w:pPr>
        <w:pStyle w:val="3"/>
        <w:jc w:val="both"/>
      </w:pPr>
      <w:r>
        <w:t>5.3 Evaluation Metrics</w:t>
      </w:r>
    </w:p>
    <w:p w14:paraId="2B7EA4CA">
      <w:pPr>
        <w:jc w:val="both"/>
      </w:pPr>
      <w:r>
        <w:t>The primary evaluation task is node-level binary anomaly detection. We report AUC-ROC, F1, precision, and recall aggregated over the official test sequences. The secondary graph-level metric is reported only to document the failure mode of the majority-vote graph-label formulation.</w:t>
      </w:r>
    </w:p>
    <w:p w14:paraId="618C0BF5">
      <w:pPr>
        <w:pStyle w:val="3"/>
        <w:jc w:val="both"/>
      </w:pPr>
      <w:r>
        <w:t>5.4 Reproducibility Protocol</w:t>
      </w:r>
    </w:p>
    <w:p w14:paraId="3C76C77C">
      <w:pPr>
        <w:jc w:val="both"/>
      </w:pPr>
      <w:r>
        <w:t>The final study uses five independent random seeds. The principal table reports mean ± standard deviation across the five seeds. A single seed-42 result is retained only as a traceability reference; it is not merged with or substituted for the multi-seed aggregate.</w:t>
      </w:r>
    </w:p>
    <w:p w14:paraId="645F1236">
      <w:pPr>
        <w:pStyle w:val="2"/>
      </w:pPr>
      <w:r>
        <w:t>6. Results</w:t>
      </w:r>
    </w:p>
    <w:p w14:paraId="3BFE9EE4">
      <w:pPr>
        <w:pStyle w:val="3"/>
      </w:pPr>
      <w:r>
        <w:t>6.1 Principal Five-Seed Results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7"/>
        <w:gridCol w:w="1987"/>
        <w:gridCol w:w="1987"/>
        <w:gridCol w:w="1987"/>
        <w:gridCol w:w="1987"/>
      </w:tblGrid>
      <w:tr w14:paraId="078FA999">
        <w:trPr>
          <w:jc w:val="center"/>
        </w:trPr>
        <w:tc>
          <w:tcPr>
            <w:tcW w:w="1987" w:type="dxa"/>
            <w:shd w:val="clear" w:color="auto" w:fill="D9E2F3"/>
            <w:vAlign w:val="center"/>
          </w:tcPr>
          <w:p w14:paraId="732BBEDE">
            <w:pPr>
              <w:spacing w:after="0"/>
            </w:pPr>
            <w:r>
              <w:rPr>
                <w:rFonts w:ascii="Times New Roman" w:hAnsi="Times New Roman"/>
                <w:b/>
                <w:sz w:val="17"/>
              </w:rPr>
              <w:t>Model</w:t>
            </w:r>
          </w:p>
        </w:tc>
        <w:tc>
          <w:tcPr>
            <w:tcW w:w="1987" w:type="dxa"/>
            <w:shd w:val="clear" w:color="auto" w:fill="D9E2F3"/>
            <w:vAlign w:val="center"/>
          </w:tcPr>
          <w:p w14:paraId="3F0ADF39">
            <w:pPr>
              <w:spacing w:after="0"/>
            </w:pPr>
            <w:r>
              <w:rPr>
                <w:rFonts w:ascii="Times New Roman" w:hAnsi="Times New Roman"/>
                <w:b/>
                <w:sz w:val="17"/>
              </w:rPr>
              <w:t>AUC-ROC</w:t>
            </w:r>
          </w:p>
        </w:tc>
        <w:tc>
          <w:tcPr>
            <w:tcW w:w="1987" w:type="dxa"/>
            <w:shd w:val="clear" w:color="auto" w:fill="D9E2F3"/>
            <w:vAlign w:val="center"/>
          </w:tcPr>
          <w:p w14:paraId="50D2A5D2">
            <w:pPr>
              <w:spacing w:after="0"/>
            </w:pPr>
            <w:r>
              <w:rPr>
                <w:rFonts w:ascii="Times New Roman" w:hAnsi="Times New Roman"/>
                <w:b/>
                <w:sz w:val="17"/>
              </w:rPr>
              <w:t>F1</w:t>
            </w:r>
          </w:p>
        </w:tc>
        <w:tc>
          <w:tcPr>
            <w:tcW w:w="1987" w:type="dxa"/>
            <w:shd w:val="clear" w:color="auto" w:fill="D9E2F3"/>
            <w:vAlign w:val="center"/>
          </w:tcPr>
          <w:p w14:paraId="47136B3A">
            <w:pPr>
              <w:spacing w:after="0"/>
            </w:pPr>
            <w:r>
              <w:rPr>
                <w:rFonts w:ascii="Times New Roman" w:hAnsi="Times New Roman"/>
                <w:b/>
                <w:sz w:val="17"/>
              </w:rPr>
              <w:t>Precision</w:t>
            </w:r>
          </w:p>
        </w:tc>
        <w:tc>
          <w:tcPr>
            <w:tcW w:w="1987" w:type="dxa"/>
            <w:shd w:val="clear" w:color="auto" w:fill="D9E2F3"/>
            <w:vAlign w:val="center"/>
          </w:tcPr>
          <w:p w14:paraId="65AF4555">
            <w:pPr>
              <w:spacing w:after="0"/>
            </w:pPr>
            <w:r>
              <w:rPr>
                <w:rFonts w:ascii="Times New Roman" w:hAnsi="Times New Roman"/>
                <w:b/>
                <w:sz w:val="17"/>
              </w:rPr>
              <w:t>Recall</w:t>
            </w:r>
          </w:p>
        </w:tc>
      </w:tr>
      <w:tr w14:paraId="3CB87207">
        <w:trPr>
          <w:jc w:val="center"/>
        </w:trPr>
        <w:tc>
          <w:tcPr>
            <w:tcW w:w="1987" w:type="dxa"/>
            <w:vAlign w:val="center"/>
          </w:tcPr>
          <w:p w14:paraId="1F3D7406">
            <w:pPr>
              <w:spacing w:after="0"/>
            </w:pPr>
            <w:r>
              <w:rPr>
                <w:rFonts w:ascii="Times New Roman" w:hAnsi="Times New Roman"/>
                <w:b w:val="0"/>
                <w:sz w:val="17"/>
              </w:rPr>
              <w:t>GCN-only</w:t>
            </w:r>
          </w:p>
        </w:tc>
        <w:tc>
          <w:tcPr>
            <w:tcW w:w="1987" w:type="dxa"/>
            <w:vAlign w:val="center"/>
          </w:tcPr>
          <w:p w14:paraId="45A82952">
            <w:pPr>
              <w:spacing w:after="0"/>
            </w:pPr>
            <w:r>
              <w:rPr>
                <w:rFonts w:ascii="Times New Roman" w:hAnsi="Times New Roman"/>
                <w:b w:val="0"/>
                <w:sz w:val="17"/>
              </w:rPr>
              <w:t>0.612 ± 0.030</w:t>
            </w:r>
          </w:p>
        </w:tc>
        <w:tc>
          <w:tcPr>
            <w:tcW w:w="1987" w:type="dxa"/>
            <w:vAlign w:val="center"/>
          </w:tcPr>
          <w:p w14:paraId="2AA68A46">
            <w:pPr>
              <w:spacing w:after="0"/>
            </w:pPr>
            <w:r>
              <w:rPr>
                <w:rFonts w:ascii="Times New Roman" w:hAnsi="Times New Roman"/>
                <w:b w:val="0"/>
                <w:sz w:val="17"/>
              </w:rPr>
              <w:t>0.836 ± 0.013</w:t>
            </w:r>
          </w:p>
        </w:tc>
        <w:tc>
          <w:tcPr>
            <w:tcW w:w="1987" w:type="dxa"/>
            <w:vAlign w:val="center"/>
          </w:tcPr>
          <w:p w14:paraId="21C6597A">
            <w:pPr>
              <w:spacing w:after="0"/>
            </w:pPr>
            <w:r>
              <w:rPr>
                <w:rFonts w:ascii="Times New Roman" w:hAnsi="Times New Roman"/>
                <w:b w:val="0"/>
                <w:sz w:val="17"/>
              </w:rPr>
              <w:t>0.789 ± 0.015</w:t>
            </w:r>
          </w:p>
        </w:tc>
        <w:tc>
          <w:tcPr>
            <w:tcW w:w="1987" w:type="dxa"/>
            <w:vAlign w:val="center"/>
          </w:tcPr>
          <w:p w14:paraId="6284778C">
            <w:pPr>
              <w:spacing w:after="0"/>
            </w:pPr>
            <w:r>
              <w:rPr>
                <w:rFonts w:ascii="Times New Roman" w:hAnsi="Times New Roman"/>
                <w:b w:val="0"/>
                <w:sz w:val="17"/>
              </w:rPr>
              <w:t>0.889 ± 0.023</w:t>
            </w:r>
          </w:p>
        </w:tc>
      </w:tr>
      <w:tr w14:paraId="55E811A7">
        <w:trPr>
          <w:jc w:val="center"/>
        </w:trPr>
        <w:tc>
          <w:tcPr>
            <w:tcW w:w="1987" w:type="dxa"/>
            <w:vAlign w:val="center"/>
          </w:tcPr>
          <w:p w14:paraId="508BE474">
            <w:pPr>
              <w:spacing w:after="0"/>
            </w:pPr>
            <w:r>
              <w:rPr>
                <w:rFonts w:ascii="Times New Roman" w:hAnsi="Times New Roman"/>
                <w:b w:val="0"/>
                <w:sz w:val="17"/>
              </w:rPr>
              <w:t>ST-GraphAD</w:t>
            </w:r>
          </w:p>
        </w:tc>
        <w:tc>
          <w:tcPr>
            <w:tcW w:w="1987" w:type="dxa"/>
            <w:vAlign w:val="center"/>
          </w:tcPr>
          <w:p w14:paraId="4489D772">
            <w:pPr>
              <w:spacing w:after="0"/>
            </w:pPr>
            <w:r>
              <w:rPr>
                <w:rFonts w:ascii="Times New Roman" w:hAnsi="Times New Roman"/>
                <w:b w:val="0"/>
                <w:sz w:val="17"/>
              </w:rPr>
              <w:t>0.657 ± 0.078</w:t>
            </w:r>
          </w:p>
        </w:tc>
        <w:tc>
          <w:tcPr>
            <w:tcW w:w="1987" w:type="dxa"/>
            <w:vAlign w:val="center"/>
          </w:tcPr>
          <w:p w14:paraId="79EDF84D">
            <w:pPr>
              <w:spacing w:after="0"/>
            </w:pPr>
            <w:r>
              <w:rPr>
                <w:rFonts w:ascii="Times New Roman" w:hAnsi="Times New Roman"/>
                <w:b w:val="0"/>
                <w:sz w:val="17"/>
              </w:rPr>
              <w:t>0.858 ± 0.021</w:t>
            </w:r>
          </w:p>
        </w:tc>
        <w:tc>
          <w:tcPr>
            <w:tcW w:w="1987" w:type="dxa"/>
            <w:vAlign w:val="center"/>
          </w:tcPr>
          <w:p w14:paraId="64F777DC">
            <w:pPr>
              <w:spacing w:after="0"/>
            </w:pPr>
            <w:r>
              <w:rPr>
                <w:rFonts w:ascii="Times New Roman" w:hAnsi="Times New Roman"/>
                <w:b w:val="0"/>
                <w:sz w:val="17"/>
              </w:rPr>
              <w:t>0.791 ± 0.022</w:t>
            </w:r>
          </w:p>
        </w:tc>
        <w:tc>
          <w:tcPr>
            <w:tcW w:w="1987" w:type="dxa"/>
            <w:vAlign w:val="center"/>
          </w:tcPr>
          <w:p w14:paraId="75B79684">
            <w:pPr>
              <w:spacing w:after="0"/>
            </w:pPr>
            <w:r>
              <w:rPr>
                <w:rFonts w:ascii="Times New Roman" w:hAnsi="Times New Roman"/>
                <w:b w:val="0"/>
                <w:sz w:val="17"/>
              </w:rPr>
              <w:t>0.939 ± 0.037</w:t>
            </w:r>
          </w:p>
        </w:tc>
      </w:tr>
    </w:tbl>
    <w:p w14:paraId="4191E575">
      <w:pPr>
        <w:pStyle w:val="164"/>
        <w:jc w:val="center"/>
      </w:pPr>
      <w:r>
        <w:t>Table 7. Principal five-seed node-level results on the official test set.</w:t>
      </w:r>
    </w:p>
    <w:p w14:paraId="6ED29206">
      <w:pPr>
        <w:jc w:val="both"/>
      </w:pPr>
      <w:r>
        <w:t>Relative to the GCN baseline, ST-GraphAD improves mean AUC-ROC by 0.045 absolute (4.5 percentage points), mean F1 by 0.022 absolute (2.2 percentage points), mean precision by 0.002 absolute (0.2 percentage points), and mean recall by 0.050 absolute (5.0 percentage points).</w:t>
      </w:r>
    </w:p>
    <w:p w14:paraId="1B8FC2F8">
      <w:pPr>
        <w:jc w:val="both"/>
      </w:pPr>
      <w:r>
        <w:t>The improvement should be interpreted cautiously. ST-GraphAD exhibits greater variance across seeds, with AUC standard deviation 0.078 versus 0.030 for GCN and recall standard deviation 0.037 versus 0.023. No statistical significance test was performed; consequently, the observed mean difference is not presented as a statistically established effect.</w:t>
      </w:r>
    </w:p>
    <w:p w14:paraId="5DF74E99">
      <w:pPr>
        <w:pStyle w:val="3"/>
      </w:pPr>
      <w:r>
        <w:t>6.2 Per-Seed Results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7"/>
        <w:gridCol w:w="1987"/>
        <w:gridCol w:w="1987"/>
        <w:gridCol w:w="1987"/>
        <w:gridCol w:w="1987"/>
      </w:tblGrid>
      <w:tr w14:paraId="47CFE38C">
        <w:trPr>
          <w:jc w:val="center"/>
        </w:trPr>
        <w:tc>
          <w:tcPr>
            <w:tcW w:w="1987" w:type="dxa"/>
            <w:shd w:val="clear" w:color="auto" w:fill="D9E2F3"/>
            <w:vAlign w:val="center"/>
          </w:tcPr>
          <w:p w14:paraId="00B4D7A5">
            <w:pPr>
              <w:spacing w:after="0"/>
            </w:pPr>
            <w:r>
              <w:rPr>
                <w:rFonts w:ascii="Times New Roman" w:hAnsi="Times New Roman"/>
                <w:b/>
                <w:sz w:val="17"/>
              </w:rPr>
              <w:t>Seed</w:t>
            </w:r>
          </w:p>
        </w:tc>
        <w:tc>
          <w:tcPr>
            <w:tcW w:w="1987" w:type="dxa"/>
            <w:shd w:val="clear" w:color="auto" w:fill="D9E2F3"/>
            <w:vAlign w:val="center"/>
          </w:tcPr>
          <w:p w14:paraId="6EF497FB">
            <w:pPr>
              <w:spacing w:after="0"/>
            </w:pPr>
            <w:r>
              <w:rPr>
                <w:rFonts w:ascii="Times New Roman" w:hAnsi="Times New Roman"/>
                <w:b/>
                <w:sz w:val="17"/>
              </w:rPr>
              <w:t>GCN AUC</w:t>
            </w:r>
          </w:p>
        </w:tc>
        <w:tc>
          <w:tcPr>
            <w:tcW w:w="1987" w:type="dxa"/>
            <w:shd w:val="clear" w:color="auto" w:fill="D9E2F3"/>
            <w:vAlign w:val="center"/>
          </w:tcPr>
          <w:p w14:paraId="455BDD07">
            <w:pPr>
              <w:spacing w:after="0"/>
            </w:pPr>
            <w:r>
              <w:rPr>
                <w:rFonts w:ascii="Times New Roman" w:hAnsi="Times New Roman"/>
                <w:b/>
                <w:sz w:val="17"/>
              </w:rPr>
              <w:t>GCN F1</w:t>
            </w:r>
          </w:p>
        </w:tc>
        <w:tc>
          <w:tcPr>
            <w:tcW w:w="1987" w:type="dxa"/>
            <w:shd w:val="clear" w:color="auto" w:fill="D9E2F3"/>
            <w:vAlign w:val="center"/>
          </w:tcPr>
          <w:p w14:paraId="07F52D8C">
            <w:pPr>
              <w:spacing w:after="0"/>
            </w:pPr>
            <w:r>
              <w:rPr>
                <w:rFonts w:ascii="Times New Roman" w:hAnsi="Times New Roman"/>
                <w:b/>
                <w:sz w:val="17"/>
              </w:rPr>
              <w:t>ST-GraphAD AUC</w:t>
            </w:r>
          </w:p>
        </w:tc>
        <w:tc>
          <w:tcPr>
            <w:tcW w:w="1987" w:type="dxa"/>
            <w:shd w:val="clear" w:color="auto" w:fill="D9E2F3"/>
            <w:vAlign w:val="center"/>
          </w:tcPr>
          <w:p w14:paraId="4E2D7AFB">
            <w:pPr>
              <w:spacing w:after="0"/>
            </w:pPr>
            <w:r>
              <w:rPr>
                <w:rFonts w:ascii="Times New Roman" w:hAnsi="Times New Roman"/>
                <w:b/>
                <w:sz w:val="17"/>
              </w:rPr>
              <w:t>ST-GraphAD F1</w:t>
            </w:r>
          </w:p>
        </w:tc>
      </w:tr>
      <w:tr w14:paraId="282E5601">
        <w:trPr>
          <w:jc w:val="center"/>
        </w:trPr>
        <w:tc>
          <w:tcPr>
            <w:tcW w:w="1987" w:type="dxa"/>
            <w:vAlign w:val="center"/>
          </w:tcPr>
          <w:p w14:paraId="4E07286D">
            <w:pPr>
              <w:spacing w:after="0"/>
            </w:pPr>
            <w:r>
              <w:rPr>
                <w:rFonts w:ascii="Times New Roman" w:hAnsi="Times New Roman"/>
                <w:b w:val="0"/>
                <w:sz w:val="17"/>
              </w:rPr>
              <w:t>42</w:t>
            </w:r>
          </w:p>
        </w:tc>
        <w:tc>
          <w:tcPr>
            <w:tcW w:w="1987" w:type="dxa"/>
            <w:vAlign w:val="center"/>
          </w:tcPr>
          <w:p w14:paraId="5FE3808F">
            <w:pPr>
              <w:spacing w:after="0"/>
            </w:pPr>
            <w:r>
              <w:rPr>
                <w:rFonts w:ascii="Times New Roman" w:hAnsi="Times New Roman"/>
                <w:b w:val="0"/>
                <w:sz w:val="17"/>
              </w:rPr>
              <w:t>0.5727</w:t>
            </w:r>
          </w:p>
        </w:tc>
        <w:tc>
          <w:tcPr>
            <w:tcW w:w="1987" w:type="dxa"/>
            <w:vAlign w:val="center"/>
          </w:tcPr>
          <w:p w14:paraId="0E886771">
            <w:pPr>
              <w:spacing w:after="0"/>
            </w:pPr>
            <w:r>
              <w:rPr>
                <w:rFonts w:ascii="Times New Roman" w:hAnsi="Times New Roman"/>
                <w:b w:val="0"/>
                <w:sz w:val="17"/>
              </w:rPr>
              <w:t>0.8424</w:t>
            </w:r>
          </w:p>
        </w:tc>
        <w:tc>
          <w:tcPr>
            <w:tcW w:w="1987" w:type="dxa"/>
            <w:vAlign w:val="center"/>
          </w:tcPr>
          <w:p w14:paraId="77A355DE">
            <w:pPr>
              <w:spacing w:after="0"/>
            </w:pPr>
            <w:r>
              <w:rPr>
                <w:rFonts w:ascii="Times New Roman" w:hAnsi="Times New Roman"/>
                <w:b w:val="0"/>
                <w:sz w:val="17"/>
              </w:rPr>
              <w:t>0.6782</w:t>
            </w:r>
          </w:p>
        </w:tc>
        <w:tc>
          <w:tcPr>
            <w:tcW w:w="1987" w:type="dxa"/>
            <w:vAlign w:val="center"/>
          </w:tcPr>
          <w:p w14:paraId="2AF4DB61">
            <w:pPr>
              <w:spacing w:after="0"/>
            </w:pPr>
            <w:r>
              <w:rPr>
                <w:rFonts w:ascii="Times New Roman" w:hAnsi="Times New Roman"/>
                <w:b w:val="0"/>
                <w:sz w:val="17"/>
              </w:rPr>
              <w:t>0.8288</w:t>
            </w:r>
          </w:p>
        </w:tc>
      </w:tr>
      <w:tr w14:paraId="524DED01">
        <w:trPr>
          <w:jc w:val="center"/>
        </w:trPr>
        <w:tc>
          <w:tcPr>
            <w:tcW w:w="1987" w:type="dxa"/>
            <w:vAlign w:val="center"/>
          </w:tcPr>
          <w:p w14:paraId="0B274B8F">
            <w:pPr>
              <w:spacing w:after="0"/>
            </w:pPr>
            <w:r>
              <w:rPr>
                <w:rFonts w:ascii="Times New Roman" w:hAnsi="Times New Roman"/>
                <w:b w:val="0"/>
                <w:sz w:val="17"/>
              </w:rPr>
              <w:t>123</w:t>
            </w:r>
          </w:p>
        </w:tc>
        <w:tc>
          <w:tcPr>
            <w:tcW w:w="1987" w:type="dxa"/>
            <w:vAlign w:val="center"/>
          </w:tcPr>
          <w:p w14:paraId="74610090">
            <w:pPr>
              <w:spacing w:after="0"/>
            </w:pPr>
            <w:r>
              <w:rPr>
                <w:rFonts w:ascii="Times New Roman" w:hAnsi="Times New Roman"/>
                <w:b w:val="0"/>
                <w:sz w:val="17"/>
              </w:rPr>
              <w:t>0.6250</w:t>
            </w:r>
          </w:p>
        </w:tc>
        <w:tc>
          <w:tcPr>
            <w:tcW w:w="1987" w:type="dxa"/>
            <w:vAlign w:val="center"/>
          </w:tcPr>
          <w:p w14:paraId="1B53BC21">
            <w:pPr>
              <w:spacing w:after="0"/>
            </w:pPr>
            <w:r>
              <w:rPr>
                <w:rFonts w:ascii="Times New Roman" w:hAnsi="Times New Roman"/>
                <w:b w:val="0"/>
                <w:sz w:val="17"/>
              </w:rPr>
              <w:t>0.8499</w:t>
            </w:r>
          </w:p>
        </w:tc>
        <w:tc>
          <w:tcPr>
            <w:tcW w:w="1987" w:type="dxa"/>
            <w:vAlign w:val="center"/>
          </w:tcPr>
          <w:p w14:paraId="66B518EA">
            <w:pPr>
              <w:spacing w:after="0"/>
            </w:pPr>
            <w:r>
              <w:rPr>
                <w:rFonts w:ascii="Times New Roman" w:hAnsi="Times New Roman"/>
                <w:b w:val="0"/>
                <w:sz w:val="17"/>
              </w:rPr>
              <w:t>0.5581</w:t>
            </w:r>
          </w:p>
        </w:tc>
        <w:tc>
          <w:tcPr>
            <w:tcW w:w="1987" w:type="dxa"/>
            <w:vAlign w:val="center"/>
          </w:tcPr>
          <w:p w14:paraId="33978C24">
            <w:pPr>
              <w:spacing w:after="0"/>
            </w:pPr>
            <w:r>
              <w:rPr>
                <w:rFonts w:ascii="Times New Roman" w:hAnsi="Times New Roman"/>
                <w:b w:val="0"/>
                <w:sz w:val="17"/>
              </w:rPr>
              <w:t>0.8632</w:t>
            </w:r>
          </w:p>
        </w:tc>
      </w:tr>
      <w:tr w14:paraId="459724FD">
        <w:trPr>
          <w:jc w:val="center"/>
        </w:trPr>
        <w:tc>
          <w:tcPr>
            <w:tcW w:w="1987" w:type="dxa"/>
            <w:vAlign w:val="center"/>
          </w:tcPr>
          <w:p w14:paraId="098EB12E">
            <w:pPr>
              <w:spacing w:after="0"/>
            </w:pPr>
            <w:r>
              <w:rPr>
                <w:rFonts w:ascii="Times New Roman" w:hAnsi="Times New Roman"/>
                <w:b w:val="0"/>
                <w:sz w:val="17"/>
              </w:rPr>
              <w:t>456</w:t>
            </w:r>
          </w:p>
        </w:tc>
        <w:tc>
          <w:tcPr>
            <w:tcW w:w="1987" w:type="dxa"/>
            <w:vAlign w:val="center"/>
          </w:tcPr>
          <w:p w14:paraId="5524F72C">
            <w:pPr>
              <w:spacing w:after="0"/>
            </w:pPr>
            <w:r>
              <w:rPr>
                <w:rFonts w:ascii="Times New Roman" w:hAnsi="Times New Roman"/>
                <w:b w:val="0"/>
                <w:sz w:val="17"/>
              </w:rPr>
              <w:t>0.6232</w:t>
            </w:r>
          </w:p>
        </w:tc>
        <w:tc>
          <w:tcPr>
            <w:tcW w:w="1987" w:type="dxa"/>
            <w:vAlign w:val="center"/>
          </w:tcPr>
          <w:p w14:paraId="3AF2F381">
            <w:pPr>
              <w:spacing w:after="0"/>
            </w:pPr>
            <w:r>
              <w:rPr>
                <w:rFonts w:ascii="Times New Roman" w:hAnsi="Times New Roman"/>
                <w:b w:val="0"/>
                <w:sz w:val="17"/>
              </w:rPr>
              <w:t>0.8216</w:t>
            </w:r>
          </w:p>
        </w:tc>
        <w:tc>
          <w:tcPr>
            <w:tcW w:w="1987" w:type="dxa"/>
            <w:vAlign w:val="center"/>
          </w:tcPr>
          <w:p w14:paraId="39C23002">
            <w:pPr>
              <w:spacing w:after="0"/>
            </w:pPr>
            <w:r>
              <w:rPr>
                <w:rFonts w:ascii="Times New Roman" w:hAnsi="Times New Roman"/>
                <w:b w:val="0"/>
                <w:sz w:val="17"/>
              </w:rPr>
              <w:t>0.5945</w:t>
            </w:r>
          </w:p>
        </w:tc>
        <w:tc>
          <w:tcPr>
            <w:tcW w:w="1987" w:type="dxa"/>
            <w:vAlign w:val="center"/>
          </w:tcPr>
          <w:p w14:paraId="3FC467A1">
            <w:pPr>
              <w:spacing w:after="0"/>
            </w:pPr>
            <w:r>
              <w:rPr>
                <w:rFonts w:ascii="Times New Roman" w:hAnsi="Times New Roman"/>
                <w:b w:val="0"/>
                <w:sz w:val="17"/>
              </w:rPr>
              <w:t>0.8453</w:t>
            </w:r>
          </w:p>
        </w:tc>
      </w:tr>
      <w:tr w14:paraId="1E5498C7">
        <w:trPr>
          <w:jc w:val="center"/>
        </w:trPr>
        <w:tc>
          <w:tcPr>
            <w:tcW w:w="1987" w:type="dxa"/>
            <w:vAlign w:val="center"/>
          </w:tcPr>
          <w:p w14:paraId="5C9CBE07">
            <w:pPr>
              <w:spacing w:after="0"/>
            </w:pPr>
            <w:r>
              <w:rPr>
                <w:rFonts w:ascii="Times New Roman" w:hAnsi="Times New Roman"/>
                <w:b w:val="0"/>
                <w:sz w:val="17"/>
              </w:rPr>
              <w:t>789</w:t>
            </w:r>
          </w:p>
        </w:tc>
        <w:tc>
          <w:tcPr>
            <w:tcW w:w="1987" w:type="dxa"/>
            <w:vAlign w:val="center"/>
          </w:tcPr>
          <w:p w14:paraId="5E16159B">
            <w:pPr>
              <w:spacing w:after="0"/>
            </w:pPr>
            <w:r>
              <w:rPr>
                <w:rFonts w:ascii="Times New Roman" w:hAnsi="Times New Roman"/>
                <w:b w:val="0"/>
                <w:sz w:val="17"/>
              </w:rPr>
              <w:t>0.5848</w:t>
            </w:r>
          </w:p>
        </w:tc>
        <w:tc>
          <w:tcPr>
            <w:tcW w:w="1987" w:type="dxa"/>
            <w:vAlign w:val="center"/>
          </w:tcPr>
          <w:p w14:paraId="5343A673">
            <w:pPr>
              <w:spacing w:after="0"/>
            </w:pPr>
            <w:r>
              <w:rPr>
                <w:rFonts w:ascii="Times New Roman" w:hAnsi="Times New Roman"/>
                <w:b w:val="0"/>
                <w:sz w:val="17"/>
              </w:rPr>
              <w:t>0.8186</w:t>
            </w:r>
          </w:p>
        </w:tc>
        <w:tc>
          <w:tcPr>
            <w:tcW w:w="1987" w:type="dxa"/>
            <w:vAlign w:val="center"/>
          </w:tcPr>
          <w:p w14:paraId="16E031F0">
            <w:pPr>
              <w:spacing w:after="0"/>
            </w:pPr>
            <w:r>
              <w:rPr>
                <w:rFonts w:ascii="Times New Roman" w:hAnsi="Times New Roman"/>
                <w:b w:val="0"/>
                <w:sz w:val="17"/>
              </w:rPr>
              <w:t>0.6703</w:t>
            </w:r>
          </w:p>
        </w:tc>
        <w:tc>
          <w:tcPr>
            <w:tcW w:w="1987" w:type="dxa"/>
            <w:vAlign w:val="center"/>
          </w:tcPr>
          <w:p w14:paraId="36BF0583">
            <w:pPr>
              <w:spacing w:after="0"/>
            </w:pPr>
            <w:r>
              <w:rPr>
                <w:rFonts w:ascii="Times New Roman" w:hAnsi="Times New Roman"/>
                <w:b w:val="0"/>
                <w:sz w:val="17"/>
              </w:rPr>
              <w:t>0.8590</w:t>
            </w:r>
          </w:p>
        </w:tc>
      </w:tr>
      <w:tr w14:paraId="37928357">
        <w:trPr>
          <w:jc w:val="center"/>
        </w:trPr>
        <w:tc>
          <w:tcPr>
            <w:tcW w:w="1987" w:type="dxa"/>
            <w:vAlign w:val="center"/>
          </w:tcPr>
          <w:p w14:paraId="5D6CCBF5">
            <w:pPr>
              <w:spacing w:after="0"/>
            </w:pPr>
            <w:r>
              <w:rPr>
                <w:rFonts w:ascii="Times New Roman" w:hAnsi="Times New Roman"/>
                <w:b w:val="0"/>
                <w:sz w:val="17"/>
              </w:rPr>
              <w:t>999</w:t>
            </w:r>
          </w:p>
        </w:tc>
        <w:tc>
          <w:tcPr>
            <w:tcW w:w="1987" w:type="dxa"/>
            <w:vAlign w:val="center"/>
          </w:tcPr>
          <w:p w14:paraId="41966A37">
            <w:pPr>
              <w:spacing w:after="0"/>
            </w:pPr>
            <w:r>
              <w:rPr>
                <w:rFonts w:ascii="Times New Roman" w:hAnsi="Times New Roman"/>
                <w:b w:val="0"/>
                <w:sz w:val="17"/>
              </w:rPr>
              <w:t>0.6547</w:t>
            </w:r>
          </w:p>
        </w:tc>
        <w:tc>
          <w:tcPr>
            <w:tcW w:w="1987" w:type="dxa"/>
            <w:vAlign w:val="center"/>
          </w:tcPr>
          <w:p w14:paraId="404FB4F2">
            <w:pPr>
              <w:spacing w:after="0"/>
            </w:pPr>
            <w:r>
              <w:rPr>
                <w:rFonts w:ascii="Times New Roman" w:hAnsi="Times New Roman"/>
                <w:b w:val="0"/>
                <w:sz w:val="17"/>
              </w:rPr>
              <w:t>0.8474</w:t>
            </w:r>
          </w:p>
        </w:tc>
        <w:tc>
          <w:tcPr>
            <w:tcW w:w="1987" w:type="dxa"/>
            <w:vAlign w:val="center"/>
          </w:tcPr>
          <w:p w14:paraId="592A7E91">
            <w:pPr>
              <w:spacing w:after="0"/>
            </w:pPr>
            <w:r>
              <w:rPr>
                <w:rFonts w:ascii="Times New Roman" w:hAnsi="Times New Roman"/>
                <w:b w:val="0"/>
                <w:sz w:val="17"/>
              </w:rPr>
              <w:t>0.7832</w:t>
            </w:r>
          </w:p>
        </w:tc>
        <w:tc>
          <w:tcPr>
            <w:tcW w:w="1987" w:type="dxa"/>
            <w:vAlign w:val="center"/>
          </w:tcPr>
          <w:p w14:paraId="19268A66">
            <w:pPr>
              <w:spacing w:after="0"/>
            </w:pPr>
            <w:r>
              <w:rPr>
                <w:rFonts w:ascii="Times New Roman" w:hAnsi="Times New Roman"/>
                <w:b w:val="0"/>
                <w:sz w:val="17"/>
              </w:rPr>
              <w:t>0.8932</w:t>
            </w:r>
          </w:p>
        </w:tc>
      </w:tr>
    </w:tbl>
    <w:p w14:paraId="3AC665D3">
      <w:pPr>
        <w:pStyle w:val="164"/>
        <w:jc w:val="center"/>
      </w:pPr>
      <w:r>
        <w:t>Table 8. Per-seed AUC and F1 values used to compute the principal aggregate.</w:t>
      </w:r>
    </w:p>
    <w:p w14:paraId="0E88365B">
      <w:pPr>
        <w:jc w:val="both"/>
      </w:pPr>
      <w:r>
        <w:t>The per-seed results show that ST-GraphAD does not outperform GCN on every seed. In particular, seed 123 produces lower ST-GraphAD AUC than GCN. This supports the variance caveat and argues against characterizing the method as uniformly superior.</w:t>
      </w:r>
    </w:p>
    <w:p w14:paraId="141DE55C">
      <w:pPr>
        <w:pStyle w:val="3"/>
        <w:jc w:val="both"/>
      </w:pPr>
      <w:r>
        <w:t>6.3 Training Dynamics</w:t>
      </w:r>
    </w:p>
    <w:p w14:paraId="417DB87C">
      <w:pPr>
        <w:jc w:val="both"/>
      </w:pPr>
      <w:r>
        <w:t>The corrected training curves show decreasing training loss for both models and meaningful node-level validation AUC/F1 trajectories. In the representative seed-42 run, the best validation AUC is approximately 0.979 for GCN and 0.994 for ST-GraphAD, with best checkpoints selected using node-level validation AUC.</w:t>
      </w:r>
    </w:p>
    <w:p w14:paraId="10723E2D">
      <w:pPr>
        <w:jc w:val="center"/>
      </w:pPr>
      <w:r>
        <w:drawing>
          <wp:inline distT="0" distB="0" distL="114300" distR="114300">
            <wp:extent cx="6080760" cy="2689860"/>
            <wp:effectExtent l="0" t="0" r="152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80760" cy="2690482"/>
                    </a:xfrm>
                    <a:prstGeom prst="rect">
                      <a:avLst/>
                    </a:prstGeom>
                  </pic:spPr>
                </pic:pic>
              </a:graphicData>
            </a:graphic>
          </wp:inline>
        </w:drawing>
      </w:r>
    </w:p>
    <w:p w14:paraId="69E683A0">
      <w:pPr>
        <w:pStyle w:val="164"/>
        <w:jc w:val="center"/>
      </w:pPr>
      <w:r>
        <w:t>Figure 1. Corrected training loss and node-level validation metrics. The graph-level AUC diagnostic is intentionally excluded from this final figure.</w:t>
      </w:r>
    </w:p>
    <w:p w14:paraId="145C509A">
      <w:r>
        <w:t>The validation curves should not be interpreted as test-set performance. They are used for checkpoint selection only; the official test set is evaluated after model selection.</w:t>
      </w:r>
    </w:p>
    <w:p w14:paraId="01396CE1">
      <w:pPr>
        <w:pStyle w:val="3"/>
      </w:pPr>
      <w:r>
        <w:t>6.4 Seed-42 Test Confusion Matrices</w:t>
      </w:r>
    </w:p>
    <w:p w14:paraId="691C9C3A">
      <w:pPr>
        <w:jc w:val="center"/>
      </w:pPr>
      <w:r>
        <w:drawing>
          <wp:inline distT="0" distB="0" distL="114300" distR="114300">
            <wp:extent cx="5029200" cy="3620770"/>
            <wp:effectExtent l="0" t="0" r="0" b="1143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029200" cy="3621024"/>
                    </a:xfrm>
                    <a:prstGeom prst="rect">
                      <a:avLst/>
                    </a:prstGeom>
                  </pic:spPr>
                </pic:pic>
              </a:graphicData>
            </a:graphic>
          </wp:inline>
        </w:drawing>
      </w:r>
    </w:p>
    <w:p w14:paraId="6E11119D">
      <w:pPr>
        <w:pStyle w:val="164"/>
        <w:jc w:val="center"/>
      </w:pPr>
      <w:r>
        <w:t>Figure 2. Authoritative ST-GraphAD seed-42 test confusion matrix from Configuration C.</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7"/>
        <w:gridCol w:w="1987"/>
        <w:gridCol w:w="1987"/>
        <w:gridCol w:w="1987"/>
        <w:gridCol w:w="1987"/>
      </w:tblGrid>
      <w:tr w14:paraId="17337C01">
        <w:trPr>
          <w:jc w:val="center"/>
        </w:trPr>
        <w:tc>
          <w:tcPr>
            <w:tcW w:w="1987" w:type="dxa"/>
            <w:shd w:val="clear" w:color="auto" w:fill="D9E2F3"/>
            <w:vAlign w:val="center"/>
          </w:tcPr>
          <w:p w14:paraId="081C7760">
            <w:pPr>
              <w:spacing w:after="0"/>
            </w:pPr>
            <w:r>
              <w:rPr>
                <w:rFonts w:ascii="Times New Roman" w:hAnsi="Times New Roman"/>
                <w:b/>
                <w:sz w:val="17"/>
              </w:rPr>
              <w:t>Model</w:t>
            </w:r>
          </w:p>
        </w:tc>
        <w:tc>
          <w:tcPr>
            <w:tcW w:w="1987" w:type="dxa"/>
            <w:shd w:val="clear" w:color="auto" w:fill="D9E2F3"/>
            <w:vAlign w:val="center"/>
          </w:tcPr>
          <w:p w14:paraId="07F8DC08">
            <w:pPr>
              <w:spacing w:after="0"/>
            </w:pPr>
            <w:r>
              <w:rPr>
                <w:rFonts w:ascii="Times New Roman" w:hAnsi="Times New Roman"/>
                <w:b/>
                <w:sz w:val="17"/>
              </w:rPr>
              <w:t>TN</w:t>
            </w:r>
          </w:p>
        </w:tc>
        <w:tc>
          <w:tcPr>
            <w:tcW w:w="1987" w:type="dxa"/>
            <w:shd w:val="clear" w:color="auto" w:fill="D9E2F3"/>
            <w:vAlign w:val="center"/>
          </w:tcPr>
          <w:p w14:paraId="3EB93F18">
            <w:pPr>
              <w:spacing w:after="0"/>
            </w:pPr>
            <w:r>
              <w:rPr>
                <w:rFonts w:ascii="Times New Roman" w:hAnsi="Times New Roman"/>
                <w:b/>
                <w:sz w:val="17"/>
              </w:rPr>
              <w:t>FP</w:t>
            </w:r>
          </w:p>
        </w:tc>
        <w:tc>
          <w:tcPr>
            <w:tcW w:w="1987" w:type="dxa"/>
            <w:shd w:val="clear" w:color="auto" w:fill="D9E2F3"/>
            <w:vAlign w:val="center"/>
          </w:tcPr>
          <w:p w14:paraId="49BCE62B">
            <w:pPr>
              <w:spacing w:after="0"/>
            </w:pPr>
            <w:r>
              <w:rPr>
                <w:rFonts w:ascii="Times New Roman" w:hAnsi="Times New Roman"/>
                <w:b/>
                <w:sz w:val="17"/>
              </w:rPr>
              <w:t>FN</w:t>
            </w:r>
          </w:p>
        </w:tc>
        <w:tc>
          <w:tcPr>
            <w:tcW w:w="1987" w:type="dxa"/>
            <w:shd w:val="clear" w:color="auto" w:fill="D9E2F3"/>
            <w:vAlign w:val="center"/>
          </w:tcPr>
          <w:p w14:paraId="1349C2E7">
            <w:pPr>
              <w:spacing w:after="0"/>
            </w:pPr>
            <w:r>
              <w:rPr>
                <w:rFonts w:ascii="Times New Roman" w:hAnsi="Times New Roman"/>
                <w:b/>
                <w:sz w:val="17"/>
              </w:rPr>
              <w:t>TP</w:t>
            </w:r>
          </w:p>
        </w:tc>
      </w:tr>
      <w:tr w14:paraId="68888C00">
        <w:trPr>
          <w:jc w:val="center"/>
        </w:trPr>
        <w:tc>
          <w:tcPr>
            <w:tcW w:w="1987" w:type="dxa"/>
            <w:vAlign w:val="center"/>
          </w:tcPr>
          <w:p w14:paraId="40B9A0EA">
            <w:pPr>
              <w:spacing w:after="0"/>
            </w:pPr>
            <w:r>
              <w:rPr>
                <w:rFonts w:ascii="Times New Roman" w:hAnsi="Times New Roman"/>
                <w:b w:val="0"/>
                <w:sz w:val="17"/>
              </w:rPr>
              <w:t>GCN-only, seed 42</w:t>
            </w:r>
          </w:p>
        </w:tc>
        <w:tc>
          <w:tcPr>
            <w:tcW w:w="1987" w:type="dxa"/>
            <w:vAlign w:val="center"/>
          </w:tcPr>
          <w:p w14:paraId="4D541D89">
            <w:pPr>
              <w:spacing w:after="0"/>
            </w:pPr>
            <w:r>
              <w:rPr>
                <w:rFonts w:ascii="Times New Roman" w:hAnsi="Times New Roman"/>
                <w:b w:val="0"/>
                <w:sz w:val="17"/>
              </w:rPr>
              <w:t>99</w:t>
            </w:r>
          </w:p>
        </w:tc>
        <w:tc>
          <w:tcPr>
            <w:tcW w:w="1987" w:type="dxa"/>
            <w:vAlign w:val="center"/>
          </w:tcPr>
          <w:p w14:paraId="335CE61E">
            <w:pPr>
              <w:spacing w:after="0"/>
            </w:pPr>
            <w:r>
              <w:rPr>
                <w:rFonts w:ascii="Times New Roman" w:hAnsi="Times New Roman"/>
                <w:b w:val="0"/>
                <w:sz w:val="17"/>
              </w:rPr>
              <w:t>438</w:t>
            </w:r>
          </w:p>
        </w:tc>
        <w:tc>
          <w:tcPr>
            <w:tcW w:w="1987" w:type="dxa"/>
            <w:vAlign w:val="center"/>
          </w:tcPr>
          <w:p w14:paraId="37C7FBEB">
            <w:pPr>
              <w:spacing w:after="0"/>
            </w:pPr>
            <w:r>
              <w:rPr>
                <w:rFonts w:ascii="Times New Roman" w:hAnsi="Times New Roman"/>
                <w:b w:val="0"/>
                <w:sz w:val="17"/>
              </w:rPr>
              <w:t>187</w:t>
            </w:r>
          </w:p>
        </w:tc>
        <w:tc>
          <w:tcPr>
            <w:tcW w:w="1987" w:type="dxa"/>
            <w:vAlign w:val="center"/>
          </w:tcPr>
          <w:p w14:paraId="530CF681">
            <w:pPr>
              <w:spacing w:after="0"/>
            </w:pPr>
            <w:r>
              <w:rPr>
                <w:rFonts w:ascii="Times New Roman" w:hAnsi="Times New Roman"/>
                <w:b w:val="0"/>
                <w:sz w:val="17"/>
              </w:rPr>
              <w:t>1365</w:t>
            </w:r>
          </w:p>
        </w:tc>
      </w:tr>
      <w:tr w14:paraId="52E60D94">
        <w:trPr>
          <w:jc w:val="center"/>
        </w:trPr>
        <w:tc>
          <w:tcPr>
            <w:tcW w:w="1987" w:type="dxa"/>
            <w:vAlign w:val="center"/>
          </w:tcPr>
          <w:p w14:paraId="20DFD598">
            <w:pPr>
              <w:spacing w:after="0"/>
            </w:pPr>
            <w:r>
              <w:rPr>
                <w:rFonts w:ascii="Times New Roman" w:hAnsi="Times New Roman"/>
                <w:b w:val="0"/>
                <w:sz w:val="17"/>
              </w:rPr>
              <w:t>ST-GraphAD, seed 42</w:t>
            </w:r>
          </w:p>
        </w:tc>
        <w:tc>
          <w:tcPr>
            <w:tcW w:w="1987" w:type="dxa"/>
            <w:vAlign w:val="center"/>
          </w:tcPr>
          <w:p w14:paraId="5E9F35AA">
            <w:pPr>
              <w:spacing w:after="0"/>
            </w:pPr>
            <w:r>
              <w:rPr>
                <w:rFonts w:ascii="Times New Roman" w:hAnsi="Times New Roman"/>
                <w:b w:val="0"/>
                <w:sz w:val="17"/>
              </w:rPr>
              <w:t>71</w:t>
            </w:r>
          </w:p>
        </w:tc>
        <w:tc>
          <w:tcPr>
            <w:tcW w:w="1987" w:type="dxa"/>
            <w:vAlign w:val="center"/>
          </w:tcPr>
          <w:p w14:paraId="7C22A5B4">
            <w:pPr>
              <w:spacing w:after="0"/>
            </w:pPr>
            <w:r>
              <w:rPr>
                <w:rFonts w:ascii="Times New Roman" w:hAnsi="Times New Roman"/>
                <w:b w:val="0"/>
                <w:sz w:val="17"/>
              </w:rPr>
              <w:t>466</w:t>
            </w:r>
          </w:p>
        </w:tc>
        <w:tc>
          <w:tcPr>
            <w:tcW w:w="1987" w:type="dxa"/>
            <w:vAlign w:val="center"/>
          </w:tcPr>
          <w:p w14:paraId="7EA3CDD3">
            <w:pPr>
              <w:spacing w:after="0"/>
            </w:pPr>
            <w:r>
              <w:rPr>
                <w:rFonts w:ascii="Times New Roman" w:hAnsi="Times New Roman"/>
                <w:b w:val="0"/>
                <w:sz w:val="17"/>
              </w:rPr>
              <w:t>177</w:t>
            </w:r>
          </w:p>
        </w:tc>
        <w:tc>
          <w:tcPr>
            <w:tcW w:w="1987" w:type="dxa"/>
            <w:vAlign w:val="center"/>
          </w:tcPr>
          <w:p w14:paraId="68BA6592">
            <w:pPr>
              <w:spacing w:after="0"/>
            </w:pPr>
            <w:r>
              <w:rPr>
                <w:rFonts w:ascii="Times New Roman" w:hAnsi="Times New Roman"/>
                <w:b w:val="0"/>
                <w:sz w:val="17"/>
              </w:rPr>
              <w:t>1375</w:t>
            </w:r>
          </w:p>
        </w:tc>
      </w:tr>
    </w:tbl>
    <w:p w14:paraId="5C6D51B3">
      <w:pPr>
        <w:pStyle w:val="164"/>
        <w:jc w:val="center"/>
      </w:pPr>
      <w:r>
        <w:t>Table 9. Seed-42 confusion matrices. These are reference diagnostics; confusion matrices vary by seed.</w:t>
      </w:r>
    </w:p>
    <w:p w14:paraId="068C5D01">
      <w:pPr>
        <w:pStyle w:val="3"/>
      </w:pPr>
      <w:r>
        <w:t>6.5 Graph-Level Evaluation</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7"/>
        <w:gridCol w:w="1987"/>
        <w:gridCol w:w="1987"/>
        <w:gridCol w:w="1987"/>
        <w:gridCol w:w="1987"/>
      </w:tblGrid>
      <w:tr w14:paraId="490F82A0">
        <w:trPr>
          <w:jc w:val="center"/>
        </w:trPr>
        <w:tc>
          <w:tcPr>
            <w:tcW w:w="1987" w:type="dxa"/>
            <w:shd w:val="clear" w:color="auto" w:fill="D9E2F3"/>
            <w:vAlign w:val="center"/>
          </w:tcPr>
          <w:p w14:paraId="51C5E3EA">
            <w:pPr>
              <w:spacing w:after="0"/>
            </w:pPr>
            <w:r>
              <w:rPr>
                <w:rFonts w:ascii="Times New Roman" w:hAnsi="Times New Roman"/>
                <w:b/>
                <w:sz w:val="17"/>
              </w:rPr>
              <w:t>Model</w:t>
            </w:r>
          </w:p>
        </w:tc>
        <w:tc>
          <w:tcPr>
            <w:tcW w:w="1987" w:type="dxa"/>
            <w:shd w:val="clear" w:color="auto" w:fill="D9E2F3"/>
            <w:vAlign w:val="center"/>
          </w:tcPr>
          <w:p w14:paraId="3ECEFF31">
            <w:pPr>
              <w:spacing w:after="0"/>
            </w:pPr>
            <w:r>
              <w:rPr>
                <w:rFonts w:ascii="Times New Roman" w:hAnsi="Times New Roman"/>
                <w:b/>
                <w:sz w:val="17"/>
              </w:rPr>
              <w:t>AUC-ROC</w:t>
            </w:r>
          </w:p>
        </w:tc>
        <w:tc>
          <w:tcPr>
            <w:tcW w:w="1987" w:type="dxa"/>
            <w:shd w:val="clear" w:color="auto" w:fill="D9E2F3"/>
            <w:vAlign w:val="center"/>
          </w:tcPr>
          <w:p w14:paraId="605654CF">
            <w:pPr>
              <w:spacing w:after="0"/>
            </w:pPr>
            <w:r>
              <w:rPr>
                <w:rFonts w:ascii="Times New Roman" w:hAnsi="Times New Roman"/>
                <w:b/>
                <w:sz w:val="17"/>
              </w:rPr>
              <w:t>F1</w:t>
            </w:r>
          </w:p>
        </w:tc>
        <w:tc>
          <w:tcPr>
            <w:tcW w:w="1987" w:type="dxa"/>
            <w:shd w:val="clear" w:color="auto" w:fill="D9E2F3"/>
            <w:vAlign w:val="center"/>
          </w:tcPr>
          <w:p w14:paraId="251D29C1">
            <w:pPr>
              <w:spacing w:after="0"/>
            </w:pPr>
            <w:r>
              <w:rPr>
                <w:rFonts w:ascii="Times New Roman" w:hAnsi="Times New Roman"/>
                <w:b/>
                <w:sz w:val="17"/>
              </w:rPr>
              <w:t>Precision</w:t>
            </w:r>
          </w:p>
        </w:tc>
        <w:tc>
          <w:tcPr>
            <w:tcW w:w="1987" w:type="dxa"/>
            <w:shd w:val="clear" w:color="auto" w:fill="D9E2F3"/>
            <w:vAlign w:val="center"/>
          </w:tcPr>
          <w:p w14:paraId="0E1128F6">
            <w:pPr>
              <w:spacing w:after="0"/>
            </w:pPr>
            <w:r>
              <w:rPr>
                <w:rFonts w:ascii="Times New Roman" w:hAnsi="Times New Roman"/>
                <w:b/>
                <w:sz w:val="17"/>
              </w:rPr>
              <w:t>Recall</w:t>
            </w:r>
          </w:p>
        </w:tc>
      </w:tr>
      <w:tr w14:paraId="7B7825E0">
        <w:trPr>
          <w:jc w:val="center"/>
        </w:trPr>
        <w:tc>
          <w:tcPr>
            <w:tcW w:w="1987" w:type="dxa"/>
            <w:vAlign w:val="center"/>
          </w:tcPr>
          <w:p w14:paraId="4024E61C">
            <w:pPr>
              <w:spacing w:after="0"/>
            </w:pPr>
            <w:r>
              <w:rPr>
                <w:rFonts w:ascii="Times New Roman" w:hAnsi="Times New Roman"/>
                <w:b w:val="0"/>
                <w:sz w:val="17"/>
              </w:rPr>
              <w:t>GCN-only</w:t>
            </w:r>
          </w:p>
        </w:tc>
        <w:tc>
          <w:tcPr>
            <w:tcW w:w="1987" w:type="dxa"/>
            <w:vAlign w:val="center"/>
          </w:tcPr>
          <w:p w14:paraId="05389456">
            <w:pPr>
              <w:spacing w:after="0"/>
            </w:pPr>
            <w:r>
              <w:rPr>
                <w:rFonts w:ascii="Times New Roman" w:hAnsi="Times New Roman"/>
                <w:b w:val="0"/>
                <w:sz w:val="17"/>
              </w:rPr>
              <w:t>0.00</w:t>
            </w:r>
          </w:p>
        </w:tc>
        <w:tc>
          <w:tcPr>
            <w:tcW w:w="1987" w:type="dxa"/>
            <w:vAlign w:val="center"/>
          </w:tcPr>
          <w:p w14:paraId="60DA993A">
            <w:pPr>
              <w:spacing w:after="0"/>
            </w:pPr>
            <w:r>
              <w:rPr>
                <w:rFonts w:ascii="Times New Roman" w:hAnsi="Times New Roman"/>
                <w:b w:val="0"/>
                <w:sz w:val="17"/>
              </w:rPr>
              <w:t>1.00</w:t>
            </w:r>
          </w:p>
        </w:tc>
        <w:tc>
          <w:tcPr>
            <w:tcW w:w="1987" w:type="dxa"/>
            <w:vAlign w:val="center"/>
          </w:tcPr>
          <w:p w14:paraId="7073D41E">
            <w:pPr>
              <w:spacing w:after="0"/>
            </w:pPr>
            <w:r>
              <w:rPr>
                <w:rFonts w:ascii="Times New Roman" w:hAnsi="Times New Roman"/>
                <w:b w:val="0"/>
                <w:sz w:val="17"/>
              </w:rPr>
              <w:t>1.00</w:t>
            </w:r>
          </w:p>
        </w:tc>
        <w:tc>
          <w:tcPr>
            <w:tcW w:w="1987" w:type="dxa"/>
            <w:vAlign w:val="center"/>
          </w:tcPr>
          <w:p w14:paraId="16C9ADC9">
            <w:pPr>
              <w:spacing w:after="0"/>
            </w:pPr>
            <w:r>
              <w:rPr>
                <w:rFonts w:ascii="Times New Roman" w:hAnsi="Times New Roman"/>
                <w:b w:val="0"/>
                <w:sz w:val="17"/>
              </w:rPr>
              <w:t>1.00</w:t>
            </w:r>
          </w:p>
        </w:tc>
      </w:tr>
      <w:tr w14:paraId="4F4EED87">
        <w:trPr>
          <w:jc w:val="center"/>
        </w:trPr>
        <w:tc>
          <w:tcPr>
            <w:tcW w:w="1987" w:type="dxa"/>
            <w:vAlign w:val="center"/>
          </w:tcPr>
          <w:p w14:paraId="67CC440A">
            <w:pPr>
              <w:spacing w:after="0"/>
            </w:pPr>
            <w:r>
              <w:rPr>
                <w:rFonts w:ascii="Times New Roman" w:hAnsi="Times New Roman"/>
                <w:b w:val="0"/>
                <w:sz w:val="17"/>
              </w:rPr>
              <w:t>ST-GraphAD</w:t>
            </w:r>
          </w:p>
        </w:tc>
        <w:tc>
          <w:tcPr>
            <w:tcW w:w="1987" w:type="dxa"/>
            <w:vAlign w:val="center"/>
          </w:tcPr>
          <w:p w14:paraId="526DA5A0">
            <w:pPr>
              <w:spacing w:after="0"/>
            </w:pPr>
            <w:r>
              <w:rPr>
                <w:rFonts w:ascii="Times New Roman" w:hAnsi="Times New Roman"/>
                <w:b w:val="0"/>
                <w:sz w:val="17"/>
              </w:rPr>
              <w:t>0.00</w:t>
            </w:r>
          </w:p>
        </w:tc>
        <w:tc>
          <w:tcPr>
            <w:tcW w:w="1987" w:type="dxa"/>
            <w:vAlign w:val="center"/>
          </w:tcPr>
          <w:p w14:paraId="6318D556">
            <w:pPr>
              <w:spacing w:after="0"/>
            </w:pPr>
            <w:r>
              <w:rPr>
                <w:rFonts w:ascii="Times New Roman" w:hAnsi="Times New Roman"/>
                <w:b w:val="0"/>
                <w:sz w:val="17"/>
              </w:rPr>
              <w:t>0.00</w:t>
            </w:r>
          </w:p>
        </w:tc>
        <w:tc>
          <w:tcPr>
            <w:tcW w:w="1987" w:type="dxa"/>
            <w:vAlign w:val="center"/>
          </w:tcPr>
          <w:p w14:paraId="112FC13A">
            <w:pPr>
              <w:spacing w:after="0"/>
            </w:pPr>
            <w:r>
              <w:rPr>
                <w:rFonts w:ascii="Times New Roman" w:hAnsi="Times New Roman"/>
                <w:b w:val="0"/>
                <w:sz w:val="17"/>
              </w:rPr>
              <w:t>0.00</w:t>
            </w:r>
          </w:p>
        </w:tc>
        <w:tc>
          <w:tcPr>
            <w:tcW w:w="1987" w:type="dxa"/>
            <w:vAlign w:val="center"/>
          </w:tcPr>
          <w:p w14:paraId="3B53DC7E">
            <w:pPr>
              <w:spacing w:after="0"/>
            </w:pPr>
            <w:r>
              <w:rPr>
                <w:rFonts w:ascii="Times New Roman" w:hAnsi="Times New Roman"/>
                <w:b w:val="0"/>
                <w:sz w:val="17"/>
              </w:rPr>
              <w:t>0.00</w:t>
            </w:r>
          </w:p>
        </w:tc>
      </w:tr>
    </w:tbl>
    <w:p w14:paraId="19A08F8D">
      <w:pPr>
        <w:pStyle w:val="164"/>
        <w:jc w:val="center"/>
      </w:pPr>
      <w:r>
        <w:t>Table 10. Graph-level metrics under the majority-vote diagnostic formulation.</w:t>
      </w:r>
    </w:p>
    <w:p w14:paraId="3A579CDA">
      <w:pPr>
        <w:jc w:val="both"/>
      </w:pPr>
      <w:r>
        <w:t>The graph label is defined by majority vote over the node labels in the final window. With approximately 88% of nodes attack-labeled, almost every graph receives the positive class. The resulting AUC is therefore degenerate, and the apparently perfect F1/precision/recall in the GCN row reflect trivial majority prediction rather than model quality. These metrics are retained only to document the limitation and are not used for checkpoint selection.</w:t>
      </w:r>
    </w:p>
    <w:p w14:paraId="7B2F13AF">
      <w:pPr>
        <w:pStyle w:val="3"/>
      </w:pPr>
      <w:r>
        <w:t>6.6 Computational Cost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2484"/>
        <w:gridCol w:w="2484"/>
        <w:gridCol w:w="2484"/>
      </w:tblGrid>
      <w:tr w14:paraId="7C4DC6F2">
        <w:trPr>
          <w:jc w:val="center"/>
        </w:trPr>
        <w:tc>
          <w:tcPr>
            <w:tcW w:w="2484" w:type="dxa"/>
            <w:shd w:val="clear" w:color="auto" w:fill="D9E2F3"/>
            <w:vAlign w:val="center"/>
          </w:tcPr>
          <w:p w14:paraId="60629794">
            <w:pPr>
              <w:spacing w:after="0"/>
            </w:pPr>
            <w:r>
              <w:rPr>
                <w:rFonts w:ascii="Times New Roman" w:hAnsi="Times New Roman"/>
                <w:b/>
                <w:sz w:val="17"/>
              </w:rPr>
              <w:t>Model</w:t>
            </w:r>
          </w:p>
        </w:tc>
        <w:tc>
          <w:tcPr>
            <w:tcW w:w="2484" w:type="dxa"/>
            <w:shd w:val="clear" w:color="auto" w:fill="D9E2F3"/>
            <w:vAlign w:val="center"/>
          </w:tcPr>
          <w:p w14:paraId="7A46D991">
            <w:pPr>
              <w:spacing w:after="0"/>
            </w:pPr>
            <w:r>
              <w:rPr>
                <w:rFonts w:ascii="Times New Roman" w:hAnsi="Times New Roman"/>
                <w:b/>
                <w:sz w:val="17"/>
              </w:rPr>
              <w:t>Parameters</w:t>
            </w:r>
          </w:p>
        </w:tc>
        <w:tc>
          <w:tcPr>
            <w:tcW w:w="2484" w:type="dxa"/>
            <w:shd w:val="clear" w:color="auto" w:fill="D9E2F3"/>
            <w:vAlign w:val="center"/>
          </w:tcPr>
          <w:p w14:paraId="6BD8BB7B">
            <w:pPr>
              <w:spacing w:after="0"/>
            </w:pPr>
            <w:r>
              <w:rPr>
                <w:rFonts w:ascii="Times New Roman" w:hAnsi="Times New Roman"/>
                <w:b/>
                <w:sz w:val="17"/>
              </w:rPr>
              <w:t>Training time (50 ep., seed 42)</w:t>
            </w:r>
          </w:p>
        </w:tc>
        <w:tc>
          <w:tcPr>
            <w:tcW w:w="2484" w:type="dxa"/>
            <w:shd w:val="clear" w:color="auto" w:fill="D9E2F3"/>
            <w:vAlign w:val="center"/>
          </w:tcPr>
          <w:p w14:paraId="19BCE82A">
            <w:pPr>
              <w:spacing w:after="0"/>
            </w:pPr>
            <w:r>
              <w:rPr>
                <w:rFonts w:ascii="Times New Roman" w:hAnsi="Times New Roman"/>
                <w:b/>
                <w:sz w:val="17"/>
              </w:rPr>
              <w:t>Peak CPU memory</w:t>
            </w:r>
          </w:p>
        </w:tc>
      </w:tr>
      <w:tr w14:paraId="30340A53">
        <w:trPr>
          <w:jc w:val="center"/>
        </w:trPr>
        <w:tc>
          <w:tcPr>
            <w:tcW w:w="2484" w:type="dxa"/>
            <w:vAlign w:val="center"/>
          </w:tcPr>
          <w:p w14:paraId="3FC0A76D">
            <w:pPr>
              <w:spacing w:after="0"/>
            </w:pPr>
            <w:r>
              <w:rPr>
                <w:rFonts w:ascii="Times New Roman" w:hAnsi="Times New Roman"/>
                <w:b w:val="0"/>
                <w:sz w:val="17"/>
              </w:rPr>
              <w:t>GCN-only</w:t>
            </w:r>
          </w:p>
        </w:tc>
        <w:tc>
          <w:tcPr>
            <w:tcW w:w="2484" w:type="dxa"/>
            <w:vAlign w:val="center"/>
          </w:tcPr>
          <w:p w14:paraId="1C8D705E">
            <w:pPr>
              <w:spacing w:after="0"/>
            </w:pPr>
            <w:r>
              <w:rPr>
                <w:rFonts w:ascii="Times New Roman" w:hAnsi="Times New Roman"/>
                <w:b w:val="0"/>
                <w:sz w:val="17"/>
              </w:rPr>
              <w:t>~180K</w:t>
            </w:r>
          </w:p>
        </w:tc>
        <w:tc>
          <w:tcPr>
            <w:tcW w:w="2484" w:type="dxa"/>
            <w:vAlign w:val="center"/>
          </w:tcPr>
          <w:p w14:paraId="4AA95BB9">
            <w:pPr>
              <w:spacing w:after="0"/>
            </w:pPr>
            <w:r>
              <w:rPr>
                <w:rFonts w:ascii="Times New Roman" w:hAnsi="Times New Roman"/>
                <w:b w:val="0"/>
                <w:sz w:val="17"/>
              </w:rPr>
              <w:t>~10 s</w:t>
            </w:r>
          </w:p>
        </w:tc>
        <w:tc>
          <w:tcPr>
            <w:tcW w:w="2484" w:type="dxa"/>
            <w:vAlign w:val="center"/>
          </w:tcPr>
          <w:p w14:paraId="6F7DA717">
            <w:pPr>
              <w:spacing w:after="0"/>
            </w:pPr>
            <w:r>
              <w:rPr>
                <w:rFonts w:ascii="Times New Roman" w:hAnsi="Times New Roman"/>
                <w:b w:val="0"/>
                <w:sz w:val="17"/>
              </w:rPr>
              <w:t>~300 MB</w:t>
            </w:r>
          </w:p>
        </w:tc>
      </w:tr>
      <w:tr w14:paraId="6EB9C0AF">
        <w:trPr>
          <w:jc w:val="center"/>
        </w:trPr>
        <w:tc>
          <w:tcPr>
            <w:tcW w:w="2484" w:type="dxa"/>
            <w:vAlign w:val="center"/>
          </w:tcPr>
          <w:p w14:paraId="4DDBCFDF">
            <w:pPr>
              <w:spacing w:after="0"/>
            </w:pPr>
            <w:r>
              <w:rPr>
                <w:rFonts w:ascii="Times New Roman" w:hAnsi="Times New Roman"/>
                <w:b w:val="0"/>
                <w:sz w:val="17"/>
              </w:rPr>
              <w:t>ST-GraphAD</w:t>
            </w:r>
          </w:p>
        </w:tc>
        <w:tc>
          <w:tcPr>
            <w:tcW w:w="2484" w:type="dxa"/>
            <w:vAlign w:val="center"/>
          </w:tcPr>
          <w:p w14:paraId="0EFA47DF">
            <w:pPr>
              <w:spacing w:after="0"/>
            </w:pPr>
            <w:r>
              <w:rPr>
                <w:rFonts w:ascii="Times New Roman" w:hAnsi="Times New Roman"/>
                <w:b w:val="0"/>
                <w:sz w:val="17"/>
              </w:rPr>
              <w:t>~4.2M</w:t>
            </w:r>
          </w:p>
        </w:tc>
        <w:tc>
          <w:tcPr>
            <w:tcW w:w="2484" w:type="dxa"/>
            <w:vAlign w:val="center"/>
          </w:tcPr>
          <w:p w14:paraId="33D8E01D">
            <w:pPr>
              <w:spacing w:after="0"/>
            </w:pPr>
            <w:r>
              <w:rPr>
                <w:rFonts w:ascii="Times New Roman" w:hAnsi="Times New Roman"/>
                <w:b w:val="0"/>
                <w:sz w:val="17"/>
              </w:rPr>
              <w:t>~86 s</w:t>
            </w:r>
          </w:p>
        </w:tc>
        <w:tc>
          <w:tcPr>
            <w:tcW w:w="2484" w:type="dxa"/>
            <w:vAlign w:val="center"/>
          </w:tcPr>
          <w:p w14:paraId="5810D24D">
            <w:pPr>
              <w:spacing w:after="0"/>
            </w:pPr>
            <w:r>
              <w:rPr>
                <w:rFonts w:ascii="Times New Roman" w:hAnsi="Times New Roman"/>
                <w:b w:val="0"/>
                <w:sz w:val="17"/>
              </w:rPr>
              <w:t>~1.2 GB</w:t>
            </w:r>
          </w:p>
        </w:tc>
      </w:tr>
    </w:tbl>
    <w:p w14:paraId="5A572059">
      <w:pPr>
        <w:pStyle w:val="164"/>
        <w:jc w:val="center"/>
      </w:pPr>
      <w:r>
        <w:t>Table 11. Computational cost for Configuration C.</w:t>
      </w:r>
    </w:p>
    <w:p w14:paraId="2CBC778E">
      <w:pPr>
        <w:jc w:val="both"/>
      </w:pPr>
      <w:r>
        <w:t>ST-GraphAD uses roughly 23 times more parameters, approximately four times the peak memory, and approximately 8.6 times the training time of the GCN baseline in the reported 50-epoch seed-42 reference run.</w:t>
      </w:r>
    </w:p>
    <w:p w14:paraId="2B1C853C">
      <w:pPr>
        <w:pStyle w:val="2"/>
        <w:jc w:val="both"/>
      </w:pPr>
      <w:r>
        <w:t>7. Discussion</w:t>
      </w:r>
    </w:p>
    <w:p w14:paraId="181D5F83">
      <w:pPr>
        <w:pStyle w:val="3"/>
        <w:jc w:val="both"/>
      </w:pPr>
      <w:r>
        <w:t>7.1 Interpretation of the Mean Improvement</w:t>
      </w:r>
    </w:p>
    <w:p w14:paraId="11B93348">
      <w:pPr>
        <w:jc w:val="both"/>
      </w:pPr>
      <w:r>
        <w:t>The corrected five-seed results are consistent with the hypothesis that temporal context can add useful information to a spatial GCN. The proposed model obtains higher mean AUC, F1, and recall than the baseline. At the same time, the seed-level table demonstrates that the improvement is not uniform across initializations. The larger variance therefore forms an essential part of the result rather than a secondary footnote.</w:t>
      </w:r>
    </w:p>
    <w:p w14:paraId="5A223A26">
      <w:pPr>
        <w:pStyle w:val="3"/>
        <w:jc w:val="both"/>
      </w:pPr>
      <w:r>
        <w:t>7.2 What the Results Do Not Establish</w:t>
      </w:r>
    </w:p>
    <w:p w14:paraId="55ACF31B">
      <w:pPr>
        <w:jc w:val="both"/>
      </w:pPr>
      <w:r>
        <w:t>The study does not establish that particular attention heads detect specific attack stages, nor that the model has empirically demonstrated reconnaissance-to-exploitation tracking or lateral-movement attribution. Those interpretations are design motivations. Quantitative attention analysis and case-level attack tracing were not performed.</w:t>
      </w:r>
    </w:p>
    <w:p w14:paraId="5A10B589">
      <w:pPr>
        <w:pStyle w:val="3"/>
        <w:jc w:val="both"/>
      </w:pPr>
      <w:r>
        <w:t>7.3 Practical Implications</w:t>
      </w:r>
    </w:p>
    <w:p w14:paraId="564D1A21">
      <w:pPr>
        <w:jc w:val="both"/>
      </w:pPr>
      <w:r>
        <w:t>The node-level formulation is suitable for analyst-oriented prioritization because it produces an anomaly score for individual graph entities. However, the entities are pseudo-nodes rather than real IP identities, and the current computational footprint may be significant for large-scale deployment.</w:t>
      </w:r>
    </w:p>
    <w:p w14:paraId="30714EB0">
      <w:pPr>
        <w:pStyle w:val="2"/>
      </w:pPr>
      <w:r>
        <w:t>8. Limitations and Threats to Validity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4EE6F662">
        <w:trPr>
          <w:jc w:val="center"/>
        </w:trPr>
        <w:tc>
          <w:tcPr>
            <w:tcW w:w="3312" w:type="dxa"/>
            <w:shd w:val="clear" w:color="auto" w:fill="D9E2F3"/>
            <w:vAlign w:val="center"/>
          </w:tcPr>
          <w:p w14:paraId="60B36771">
            <w:pPr>
              <w:spacing w:after="0"/>
            </w:pPr>
            <w:r>
              <w:rPr>
                <w:rFonts w:ascii="Times New Roman" w:hAnsi="Times New Roman"/>
                <w:b/>
                <w:sz w:val="17"/>
              </w:rPr>
              <w:t>Limitation</w:t>
            </w:r>
          </w:p>
        </w:tc>
        <w:tc>
          <w:tcPr>
            <w:tcW w:w="3312" w:type="dxa"/>
            <w:shd w:val="clear" w:color="auto" w:fill="D9E2F3"/>
            <w:vAlign w:val="center"/>
          </w:tcPr>
          <w:p w14:paraId="5D8C9183">
            <w:pPr>
              <w:spacing w:after="0"/>
            </w:pPr>
            <w:r>
              <w:rPr>
                <w:rFonts w:ascii="Times New Roman" w:hAnsi="Times New Roman"/>
                <w:b/>
                <w:sz w:val="17"/>
              </w:rPr>
              <w:t>Severity</w:t>
            </w:r>
          </w:p>
        </w:tc>
        <w:tc>
          <w:tcPr>
            <w:tcW w:w="3312" w:type="dxa"/>
            <w:shd w:val="clear" w:color="auto" w:fill="D9E2F3"/>
            <w:vAlign w:val="center"/>
          </w:tcPr>
          <w:p w14:paraId="00E8BE43">
            <w:pPr>
              <w:spacing w:after="0"/>
            </w:pPr>
            <w:r>
              <w:rPr>
                <w:rFonts w:ascii="Times New Roman" w:hAnsi="Times New Roman"/>
                <w:b/>
                <w:sz w:val="17"/>
              </w:rPr>
              <w:t>Current status</w:t>
            </w:r>
          </w:p>
        </w:tc>
      </w:tr>
      <w:tr w14:paraId="1A9C4AFF">
        <w:trPr>
          <w:jc w:val="center"/>
        </w:trPr>
        <w:tc>
          <w:tcPr>
            <w:tcW w:w="3312" w:type="dxa"/>
            <w:vAlign w:val="center"/>
          </w:tcPr>
          <w:p w14:paraId="23C49543">
            <w:pPr>
              <w:spacing w:after="0"/>
            </w:pPr>
            <w:r>
              <w:rPr>
                <w:rFonts w:ascii="Times New Roman" w:hAnsi="Times New Roman"/>
                <w:b w:val="0"/>
                <w:sz w:val="17"/>
              </w:rPr>
              <w:t>Pseudo-node construction</w:t>
            </w:r>
          </w:p>
        </w:tc>
        <w:tc>
          <w:tcPr>
            <w:tcW w:w="3312" w:type="dxa"/>
            <w:vAlign w:val="center"/>
          </w:tcPr>
          <w:p w14:paraId="4A57DC32">
            <w:pPr>
              <w:spacing w:after="0"/>
            </w:pPr>
            <w:r>
              <w:rPr>
                <w:rFonts w:ascii="Times New Roman" w:hAnsi="Times New Roman"/>
                <w:b w:val="0"/>
                <w:sz w:val="17"/>
              </w:rPr>
              <w:t>High</w:t>
            </w:r>
          </w:p>
        </w:tc>
        <w:tc>
          <w:tcPr>
            <w:tcW w:w="3312" w:type="dxa"/>
            <w:vAlign w:val="center"/>
          </w:tcPr>
          <w:p w14:paraId="548C2684">
            <w:pPr>
              <w:spacing w:after="0"/>
            </w:pPr>
            <w:r>
              <w:rPr>
                <w:rFonts w:ascii="Times New Roman" w:hAnsi="Times New Roman"/>
                <w:b w:val="0"/>
                <w:sz w:val="17"/>
              </w:rPr>
              <w:t>Unfixed; nodes are categorical proxies, not real hosts.</w:t>
            </w:r>
          </w:p>
        </w:tc>
      </w:tr>
      <w:tr w14:paraId="087BF90A">
        <w:trPr>
          <w:jc w:val="center"/>
        </w:trPr>
        <w:tc>
          <w:tcPr>
            <w:tcW w:w="3312" w:type="dxa"/>
            <w:vAlign w:val="center"/>
          </w:tcPr>
          <w:p w14:paraId="12B807D4">
            <w:pPr>
              <w:spacing w:after="0"/>
            </w:pPr>
            <w:r>
              <w:rPr>
                <w:rFonts w:ascii="Times New Roman" w:hAnsi="Times New Roman"/>
                <w:b w:val="0"/>
                <w:sz w:val="17"/>
              </w:rPr>
              <w:t>Pseudo-temporal ordering</w:t>
            </w:r>
          </w:p>
        </w:tc>
        <w:tc>
          <w:tcPr>
            <w:tcW w:w="3312" w:type="dxa"/>
            <w:vAlign w:val="center"/>
          </w:tcPr>
          <w:p w14:paraId="5AF278C0">
            <w:pPr>
              <w:spacing w:after="0"/>
            </w:pPr>
            <w:r>
              <w:rPr>
                <w:rFonts w:ascii="Times New Roman" w:hAnsi="Times New Roman"/>
                <w:b w:val="0"/>
                <w:sz w:val="17"/>
              </w:rPr>
              <w:t>High</w:t>
            </w:r>
          </w:p>
        </w:tc>
        <w:tc>
          <w:tcPr>
            <w:tcW w:w="3312" w:type="dxa"/>
            <w:vAlign w:val="center"/>
          </w:tcPr>
          <w:p w14:paraId="6A8306DD">
            <w:pPr>
              <w:spacing w:after="0"/>
            </w:pPr>
            <w:r>
              <w:rPr>
                <w:rFonts w:ascii="Times New Roman" w:hAnsi="Times New Roman"/>
                <w:b w:val="0"/>
                <w:sz w:val="17"/>
              </w:rPr>
              <w:t>Unfixed; row order substitutes for actual timestamps.</w:t>
            </w:r>
          </w:p>
        </w:tc>
      </w:tr>
      <w:tr w14:paraId="50EE918C">
        <w:trPr>
          <w:jc w:val="center"/>
        </w:trPr>
        <w:tc>
          <w:tcPr>
            <w:tcW w:w="3312" w:type="dxa"/>
            <w:vAlign w:val="center"/>
          </w:tcPr>
          <w:p w14:paraId="573892EF">
            <w:pPr>
              <w:spacing w:after="0"/>
            </w:pPr>
            <w:r>
              <w:rPr>
                <w:rFonts w:ascii="Times New Roman" w:hAnsi="Times New Roman"/>
                <w:b w:val="0"/>
                <w:sz w:val="17"/>
              </w:rPr>
              <w:t>Fixed 1,000-flow windows</w:t>
            </w:r>
          </w:p>
        </w:tc>
        <w:tc>
          <w:tcPr>
            <w:tcW w:w="3312" w:type="dxa"/>
            <w:vAlign w:val="center"/>
          </w:tcPr>
          <w:p w14:paraId="5C377D64">
            <w:pPr>
              <w:spacing w:after="0"/>
            </w:pPr>
            <w:r>
              <w:rPr>
                <w:rFonts w:ascii="Times New Roman" w:hAnsi="Times New Roman"/>
                <w:b w:val="0"/>
                <w:sz w:val="17"/>
              </w:rPr>
              <w:t>Medium</w:t>
            </w:r>
          </w:p>
        </w:tc>
        <w:tc>
          <w:tcPr>
            <w:tcW w:w="3312" w:type="dxa"/>
            <w:vAlign w:val="center"/>
          </w:tcPr>
          <w:p w14:paraId="41619DC6">
            <w:pPr>
              <w:spacing w:after="0"/>
            </w:pPr>
            <w:r>
              <w:rPr>
                <w:rFonts w:ascii="Times New Roman" w:hAnsi="Times New Roman"/>
                <w:b w:val="0"/>
                <w:sz w:val="17"/>
              </w:rPr>
              <w:t>Unfixed; no domain-based temporal calibration.</w:t>
            </w:r>
          </w:p>
        </w:tc>
      </w:tr>
      <w:tr w14:paraId="056F831A">
        <w:trPr>
          <w:jc w:val="center"/>
        </w:trPr>
        <w:tc>
          <w:tcPr>
            <w:tcW w:w="3312" w:type="dxa"/>
            <w:vAlign w:val="center"/>
          </w:tcPr>
          <w:p w14:paraId="0508BC20">
            <w:pPr>
              <w:spacing w:after="0"/>
            </w:pPr>
            <w:r>
              <w:rPr>
                <w:rFonts w:ascii="Times New Roman" w:hAnsi="Times New Roman"/>
                <w:b w:val="0"/>
                <w:sz w:val="17"/>
              </w:rPr>
              <w:t>Binary node labels</w:t>
            </w:r>
          </w:p>
        </w:tc>
        <w:tc>
          <w:tcPr>
            <w:tcW w:w="3312" w:type="dxa"/>
            <w:vAlign w:val="center"/>
          </w:tcPr>
          <w:p w14:paraId="0D7F6BD9">
            <w:pPr>
              <w:spacing w:after="0"/>
            </w:pPr>
            <w:r>
              <w:rPr>
                <w:rFonts w:ascii="Times New Roman" w:hAnsi="Times New Roman"/>
                <w:b w:val="0"/>
                <w:sz w:val="17"/>
              </w:rPr>
              <w:t>Medium</w:t>
            </w:r>
          </w:p>
        </w:tc>
        <w:tc>
          <w:tcPr>
            <w:tcW w:w="3312" w:type="dxa"/>
            <w:vAlign w:val="center"/>
          </w:tcPr>
          <w:p w14:paraId="78FBA68E">
            <w:pPr>
              <w:spacing w:after="0"/>
            </w:pPr>
            <w:r>
              <w:rPr>
                <w:rFonts w:ascii="Times New Roman" w:hAnsi="Times New Roman"/>
                <w:b w:val="0"/>
                <w:sz w:val="17"/>
              </w:rPr>
              <w:t>Only attack vs. normal is evaluated.</w:t>
            </w:r>
          </w:p>
        </w:tc>
      </w:tr>
      <w:tr w14:paraId="3A6F827B">
        <w:trPr>
          <w:jc w:val="center"/>
        </w:trPr>
        <w:tc>
          <w:tcPr>
            <w:tcW w:w="3312" w:type="dxa"/>
            <w:vAlign w:val="center"/>
          </w:tcPr>
          <w:p w14:paraId="47986B4C">
            <w:pPr>
              <w:spacing w:after="0"/>
            </w:pPr>
            <w:r>
              <w:rPr>
                <w:rFonts w:ascii="Times New Roman" w:hAnsi="Times New Roman"/>
                <w:b w:val="0"/>
                <w:sz w:val="17"/>
              </w:rPr>
              <w:t>Per-attack-category analysis</w:t>
            </w:r>
          </w:p>
        </w:tc>
        <w:tc>
          <w:tcPr>
            <w:tcW w:w="3312" w:type="dxa"/>
            <w:vAlign w:val="center"/>
          </w:tcPr>
          <w:p w14:paraId="15102991">
            <w:pPr>
              <w:spacing w:after="0"/>
            </w:pPr>
            <w:r>
              <w:rPr>
                <w:rFonts w:ascii="Times New Roman" w:hAnsi="Times New Roman"/>
                <w:b w:val="0"/>
                <w:sz w:val="17"/>
              </w:rPr>
              <w:t>Medium</w:t>
            </w:r>
          </w:p>
        </w:tc>
        <w:tc>
          <w:tcPr>
            <w:tcW w:w="3312" w:type="dxa"/>
            <w:vAlign w:val="center"/>
          </w:tcPr>
          <w:p w14:paraId="1D5D4480">
            <w:pPr>
              <w:spacing w:after="0"/>
            </w:pPr>
            <w:r>
              <w:rPr>
                <w:rFonts w:ascii="Times New Roman" w:hAnsi="Times New Roman"/>
                <w:b w:val="0"/>
                <w:sz w:val="17"/>
              </w:rPr>
              <w:t>Not implemented.</w:t>
            </w:r>
          </w:p>
        </w:tc>
      </w:tr>
      <w:tr w14:paraId="7AAC65FE">
        <w:trPr>
          <w:jc w:val="center"/>
        </w:trPr>
        <w:tc>
          <w:tcPr>
            <w:tcW w:w="3312" w:type="dxa"/>
            <w:vAlign w:val="center"/>
          </w:tcPr>
          <w:p w14:paraId="29C957BC">
            <w:pPr>
              <w:spacing w:after="0"/>
            </w:pPr>
            <w:r>
              <w:rPr>
                <w:rFonts w:ascii="Times New Roman" w:hAnsi="Times New Roman"/>
                <w:b w:val="0"/>
                <w:sz w:val="17"/>
              </w:rPr>
              <w:t>Attention interpretability</w:t>
            </w:r>
          </w:p>
        </w:tc>
        <w:tc>
          <w:tcPr>
            <w:tcW w:w="3312" w:type="dxa"/>
            <w:vAlign w:val="center"/>
          </w:tcPr>
          <w:p w14:paraId="738101C1">
            <w:pPr>
              <w:spacing w:after="0"/>
            </w:pPr>
            <w:r>
              <w:rPr>
                <w:rFonts w:ascii="Times New Roman" w:hAnsi="Times New Roman"/>
                <w:b w:val="0"/>
                <w:sz w:val="17"/>
              </w:rPr>
              <w:t>Medium</w:t>
            </w:r>
          </w:p>
        </w:tc>
        <w:tc>
          <w:tcPr>
            <w:tcW w:w="3312" w:type="dxa"/>
            <w:vAlign w:val="center"/>
          </w:tcPr>
          <w:p w14:paraId="0F314BFC">
            <w:pPr>
              <w:spacing w:after="0"/>
            </w:pPr>
            <w:r>
              <w:rPr>
                <w:rFonts w:ascii="Times New Roman" w:hAnsi="Times New Roman"/>
                <w:b w:val="0"/>
                <w:sz w:val="17"/>
              </w:rPr>
              <w:t>No quantitative head/entropy analysis.</w:t>
            </w:r>
          </w:p>
        </w:tc>
      </w:tr>
      <w:tr w14:paraId="74514E3A">
        <w:trPr>
          <w:jc w:val="center"/>
        </w:trPr>
        <w:tc>
          <w:tcPr>
            <w:tcW w:w="3312" w:type="dxa"/>
            <w:vAlign w:val="center"/>
          </w:tcPr>
          <w:p w14:paraId="003F5E1F">
            <w:pPr>
              <w:spacing w:after="0"/>
            </w:pPr>
            <w:r>
              <w:rPr>
                <w:rFonts w:ascii="Times New Roman" w:hAnsi="Times New Roman"/>
                <w:b w:val="0"/>
                <w:sz w:val="17"/>
              </w:rPr>
              <w:t>Five-seed variance</w:t>
            </w:r>
          </w:p>
        </w:tc>
        <w:tc>
          <w:tcPr>
            <w:tcW w:w="3312" w:type="dxa"/>
            <w:vAlign w:val="center"/>
          </w:tcPr>
          <w:p w14:paraId="60B22DCE">
            <w:pPr>
              <w:spacing w:after="0"/>
            </w:pPr>
            <w:r>
              <w:rPr>
                <w:rFonts w:ascii="Times New Roman" w:hAnsi="Times New Roman"/>
                <w:b w:val="0"/>
                <w:sz w:val="17"/>
              </w:rPr>
              <w:t>Medium</w:t>
            </w:r>
          </w:p>
        </w:tc>
        <w:tc>
          <w:tcPr>
            <w:tcW w:w="3312" w:type="dxa"/>
            <w:vAlign w:val="center"/>
          </w:tcPr>
          <w:p w14:paraId="7C001C5F">
            <w:pPr>
              <w:spacing w:after="0"/>
            </w:pPr>
            <w:r>
              <w:rPr>
                <w:rFonts w:ascii="Times New Roman" w:hAnsi="Times New Roman"/>
                <w:b w:val="0"/>
                <w:sz w:val="17"/>
              </w:rPr>
              <w:t>ST-GraphAD AUC std is 0.078 versus 0.030 for GCN.</w:t>
            </w:r>
          </w:p>
        </w:tc>
      </w:tr>
      <w:tr w14:paraId="49A4ECFB">
        <w:trPr>
          <w:jc w:val="center"/>
        </w:trPr>
        <w:tc>
          <w:tcPr>
            <w:tcW w:w="3312" w:type="dxa"/>
            <w:vAlign w:val="center"/>
          </w:tcPr>
          <w:p w14:paraId="50C71D7D">
            <w:pPr>
              <w:spacing w:after="0"/>
            </w:pPr>
            <w:r>
              <w:rPr>
                <w:rFonts w:ascii="Times New Roman" w:hAnsi="Times New Roman"/>
                <w:b w:val="0"/>
                <w:sz w:val="17"/>
              </w:rPr>
              <w:t>Single dataset</w:t>
            </w:r>
          </w:p>
        </w:tc>
        <w:tc>
          <w:tcPr>
            <w:tcW w:w="3312" w:type="dxa"/>
            <w:vAlign w:val="center"/>
          </w:tcPr>
          <w:p w14:paraId="423C8764">
            <w:pPr>
              <w:spacing w:after="0"/>
            </w:pPr>
            <w:r>
              <w:rPr>
                <w:rFonts w:ascii="Times New Roman" w:hAnsi="Times New Roman"/>
                <w:b w:val="0"/>
                <w:sz w:val="17"/>
              </w:rPr>
              <w:t>High</w:t>
            </w:r>
          </w:p>
        </w:tc>
        <w:tc>
          <w:tcPr>
            <w:tcW w:w="3312" w:type="dxa"/>
            <w:vAlign w:val="center"/>
          </w:tcPr>
          <w:p w14:paraId="1ACB9868">
            <w:pPr>
              <w:spacing w:after="0"/>
            </w:pPr>
            <w:r>
              <w:rPr>
                <w:rFonts w:ascii="Times New Roman" w:hAnsi="Times New Roman"/>
                <w:b w:val="0"/>
                <w:sz w:val="17"/>
              </w:rPr>
              <w:t>Generalization beyond UNSW-NB15 is untested.</w:t>
            </w:r>
          </w:p>
        </w:tc>
      </w:tr>
      <w:tr w14:paraId="361AAD48">
        <w:trPr>
          <w:jc w:val="center"/>
        </w:trPr>
        <w:tc>
          <w:tcPr>
            <w:tcW w:w="3312" w:type="dxa"/>
            <w:vAlign w:val="center"/>
          </w:tcPr>
          <w:p w14:paraId="5CADA302">
            <w:pPr>
              <w:spacing w:after="0"/>
            </w:pPr>
            <w:r>
              <w:rPr>
                <w:rFonts w:ascii="Times New Roman" w:hAnsi="Times New Roman"/>
                <w:b w:val="0"/>
                <w:sz w:val="17"/>
              </w:rPr>
              <w:t>Statistical significance</w:t>
            </w:r>
          </w:p>
        </w:tc>
        <w:tc>
          <w:tcPr>
            <w:tcW w:w="3312" w:type="dxa"/>
            <w:vAlign w:val="center"/>
          </w:tcPr>
          <w:p w14:paraId="48F6E7A6">
            <w:pPr>
              <w:spacing w:after="0"/>
            </w:pPr>
            <w:r>
              <w:rPr>
                <w:rFonts w:ascii="Times New Roman" w:hAnsi="Times New Roman"/>
                <w:b w:val="0"/>
                <w:sz w:val="17"/>
              </w:rPr>
              <w:t>Medium</w:t>
            </w:r>
          </w:p>
        </w:tc>
        <w:tc>
          <w:tcPr>
            <w:tcW w:w="3312" w:type="dxa"/>
            <w:vAlign w:val="center"/>
          </w:tcPr>
          <w:p w14:paraId="706A8254">
            <w:pPr>
              <w:spacing w:after="0"/>
            </w:pPr>
            <w:r>
              <w:rPr>
                <w:rFonts w:ascii="Times New Roman" w:hAnsi="Times New Roman"/>
                <w:b w:val="0"/>
                <w:sz w:val="17"/>
              </w:rPr>
              <w:t>No formal hypothesis test or confidence interval is reported.</w:t>
            </w:r>
          </w:p>
        </w:tc>
      </w:tr>
    </w:tbl>
    <w:p w14:paraId="1BA82ECB">
      <w:pPr>
        <w:pStyle w:val="164"/>
        <w:jc w:val="center"/>
      </w:pPr>
      <w:r>
        <w:t>Table 12. Remaining threats to validity.</w:t>
      </w:r>
    </w:p>
    <w:p w14:paraId="429E0B8C">
      <w:pPr>
        <w:jc w:val="both"/>
      </w:pPr>
      <w:r>
        <w:t>Partition independence requires careful interpretation because pseudo-node identifiers can legitimately recur across partitions. Such recurrence is not equivalent to reusing the same flow records. The important leakage controls in the corrected protocol are the separation of flow partitions and fitting of preprocessing transformations on training data only.</w:t>
      </w:r>
    </w:p>
    <w:p w14:paraId="6E7509DB">
      <w:pPr>
        <w:pStyle w:val="2"/>
        <w:jc w:val="both"/>
      </w:pPr>
      <w:r>
        <w:t>9. Reproducibility</w:t>
      </w:r>
    </w:p>
    <w:p w14:paraId="55D4E4A3">
      <w:pPr>
        <w:jc w:val="both"/>
      </w:pPr>
      <w:r>
        <w:t>The authoritative Configuration C consists of 128 hidden channels, three GCN layers, two temporal attention layers, four heads, sequence length five, dropout 0.5, learning rate 10^-3, weight decay 5×10^-4, 50 maximum epochs, early stopping patience 10 on node-level validation AUC, and five random seeds: 42, 123, 456, 789, and 999.</w:t>
      </w:r>
    </w:p>
    <w:p w14:paraId="32F99A3C">
      <w:pPr>
        <w:jc w:val="both"/>
      </w:pPr>
      <w:r>
        <w:t>The corrected study's principal results are traceable to the per-seed result files and aggregate result file supplied with the project. The exploratory 256-hidden-channel, four-GCN-layer, 200-epoch configuration is treated as a separate experiment and is not used for the headline claims.</w:t>
      </w:r>
    </w:p>
    <w:p w14:paraId="748CC435">
      <w:pPr>
        <w:pStyle w:val="2"/>
        <w:jc w:val="both"/>
      </w:pPr>
      <w:r>
        <w:t>10. Conclusion and Future Work</w:t>
      </w:r>
    </w:p>
    <w:p w14:paraId="4DBCC90F">
      <w:pPr>
        <w:jc w:val="both"/>
      </w:pPr>
      <w:r>
        <w:t>This paper presented ST-GraphAD, a spatio-temporal GNN for node-level network intrusion detection on UNSW-NB15. The corrected protocol uses an 85/15 split of the training CSV, holds the official test CSV out for final evaluation, fits preprocessing on training data only, and uses node-level validation AUC for model selection.</w:t>
      </w:r>
    </w:p>
    <w:p w14:paraId="7F49F880">
      <w:pPr>
        <w:jc w:val="both"/>
      </w:pPr>
      <w:r>
        <w:t>Across five seeds, ST-GraphAD achieves 0.657 ± 0.078 AUC-ROC and 0.858 ± 0.021 F1, compared with 0.612 ± 0.030 AUC and 0.836 ± 0.013 F1 for a static GCN. The corresponding mean improvements are 4.5 percentage points in AUC, 2.2 percentage points in F1, and 5.0 percentage points in recall. The larger variance of ST-GraphAD means the observed advantage should be interpreted as evidence in favor of temporal context, not as a universally established performance gain.</w:t>
      </w:r>
    </w:p>
    <w:p w14:paraId="6D5AE2FE">
      <w:pPr>
        <w:jc w:val="both"/>
      </w:pPr>
      <w:r>
        <w:t>Future work should prioritize real IP/port graph construction from packet captures, event-time or continuous-time temporal modeling, per-attack-category evaluation, formal statistical testing, quantitative attention analysis, and ablation experiments that isolate the contribution of temporal depth, number of heads, sequence length, and hidden size.</w:t>
      </w:r>
    </w:p>
    <w:p w14:paraId="642BCF16">
      <w:pPr>
        <w:pStyle w:val="2"/>
      </w:pPr>
      <w:r>
        <w:t>References</w:t>
      </w:r>
    </w:p>
    <w:p w14:paraId="4427FFFB">
      <w:pPr>
        <w:pStyle w:val="165"/>
        <w:ind w:left="317" w:hanging="317"/>
      </w:pPr>
      <w:r>
        <w:t>[1] N. Moustafa and J. Slay, “UNSW-NB15: A comprehensive data set for network intrusion detection systems,” Military Communications and Information Systems Conference (MilCIS), 2015.</w:t>
      </w:r>
    </w:p>
    <w:p w14:paraId="4B026E9C">
      <w:pPr>
        <w:pStyle w:val="165"/>
        <w:ind w:left="317" w:hanging="317"/>
      </w:pPr>
      <w:r>
        <w:t>[2] T. N. Kipf and M. Welling, “Semi-Supervised Classification with Graph Convolutional Networks,” International Conference on Learning Representations (ICLR), 2017.</w:t>
      </w:r>
    </w:p>
    <w:p w14:paraId="611D6882">
      <w:pPr>
        <w:pStyle w:val="165"/>
        <w:ind w:left="317" w:hanging="317"/>
      </w:pPr>
      <w:r>
        <w:t>[3] P. Veličković et al., “Graph Attention Networks,” ICLR, 2018.</w:t>
      </w:r>
    </w:p>
    <w:p w14:paraId="5B95AED5">
      <w:pPr>
        <w:pStyle w:val="165"/>
        <w:ind w:left="317" w:hanging="317"/>
      </w:pPr>
      <w:r>
        <w:t>[4] W. Hamilton, Z. Ying, and J. Leskovec, “Inductive Representation Learning on Large Graphs,” Advances in Neural Information Processing Systems (NeurIPS), 2017.</w:t>
      </w:r>
    </w:p>
    <w:p w14:paraId="1A4A2DAB">
      <w:pPr>
        <w:pStyle w:val="165"/>
        <w:ind w:left="317" w:hanging="317"/>
      </w:pPr>
      <w:r>
        <w:t>[5] A. Vaswani et al., “Attention Is All You Need,” NeurIPS, 2017.</w:t>
      </w:r>
    </w:p>
    <w:p w14:paraId="42467841">
      <w:pPr>
        <w:pStyle w:val="165"/>
        <w:ind w:left="317" w:hanging="317"/>
      </w:pPr>
      <w:r>
        <w:t>[6] D. Xu et al., “Inductive Representation Learning on Temporal Graphs,” ICLR, 2020.</w:t>
      </w:r>
    </w:p>
    <w:p w14:paraId="2F39C3C5">
      <w:pPr>
        <w:pStyle w:val="165"/>
        <w:ind w:left="317" w:hanging="317"/>
      </w:pPr>
      <w:r>
        <w:t>[7] E. Rossi et al., “Temporal Graph Networks for Deep Learning on Dynamic Graphs,” ICML Workshop, 2020.</w:t>
      </w:r>
    </w:p>
    <w:p w14:paraId="34B1AB3E">
      <w:pPr>
        <w:pStyle w:val="165"/>
        <w:ind w:left="317" w:hanging="317"/>
      </w:pPr>
      <w:r>
        <w:t>[8] Y. Zhang et al., “Botnet Detection Based on Graph Convolutional Networks,” IEEE Access, 2019.</w:t>
      </w:r>
    </w:p>
    <w:p w14:paraId="6D2A03DD">
      <w:pPr>
        <w:pStyle w:val="165"/>
        <w:ind w:left="317" w:hanging="317"/>
      </w:pPr>
      <w:r>
        <w:t>[9] S. M. Milajerdi et al., “HOLMES: Real-Time APT Detection through Correlation of Suspicious Information Flows,” IEEE Symposium on Security and Privacy, 2019.</w:t>
      </w:r>
    </w:p>
    <w:p w14:paraId="75132E53">
      <w:pPr>
        <w:pStyle w:val="165"/>
        <w:ind w:left="317" w:hanging="317"/>
      </w:pPr>
      <w:r>
        <w:t>[10] T.-Y. Lin et al., “Focal Loss for Dense Object Detection,” ICCV, 2017.</w:t>
      </w:r>
    </w:p>
    <w:p w14:paraId="7ED68BBC">
      <w:r>
        <w:br w:type="page"/>
      </w:r>
    </w:p>
    <w:p w14:paraId="137ED7CF">
      <w:pPr>
        <w:pStyle w:val="2"/>
      </w:pPr>
      <w:r>
        <w:t>Appendix A. Final Experimental Record</w:t>
      </w:r>
    </w:p>
    <w:p w14:paraId="162616BD">
      <w:r>
        <w:t>The following material summarizes the final authoritative experiment. It is included so that the manuscript remains traceable to the supplied project records.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68"/>
        <w:gridCol w:w="4968"/>
      </w:tblGrid>
      <w:tr w14:paraId="70F9364A">
        <w:trPr>
          <w:jc w:val="center"/>
        </w:trPr>
        <w:tc>
          <w:tcPr>
            <w:tcW w:w="4968" w:type="dxa"/>
            <w:shd w:val="clear" w:color="auto" w:fill="D9E2F3"/>
            <w:vAlign w:val="center"/>
          </w:tcPr>
          <w:p w14:paraId="337B2A5A">
            <w:pPr>
              <w:spacing w:after="0"/>
            </w:pPr>
            <w:r>
              <w:rPr>
                <w:rFonts w:ascii="Times New Roman" w:hAnsi="Times New Roman"/>
                <w:b/>
                <w:sz w:val="17"/>
              </w:rPr>
              <w:t>Item</w:t>
            </w:r>
          </w:p>
        </w:tc>
        <w:tc>
          <w:tcPr>
            <w:tcW w:w="4968" w:type="dxa"/>
            <w:shd w:val="clear" w:color="auto" w:fill="D9E2F3"/>
            <w:vAlign w:val="center"/>
          </w:tcPr>
          <w:p w14:paraId="568440D5">
            <w:pPr>
              <w:spacing w:after="0"/>
            </w:pPr>
            <w:r>
              <w:rPr>
                <w:rFonts w:ascii="Times New Roman" w:hAnsi="Times New Roman"/>
                <w:b/>
                <w:sz w:val="17"/>
              </w:rPr>
              <w:t>Authoritative value</w:t>
            </w:r>
          </w:p>
        </w:tc>
      </w:tr>
      <w:tr w14:paraId="0A082C90">
        <w:trPr>
          <w:jc w:val="center"/>
        </w:trPr>
        <w:tc>
          <w:tcPr>
            <w:tcW w:w="4968" w:type="dxa"/>
            <w:vAlign w:val="center"/>
          </w:tcPr>
          <w:p w14:paraId="76904779">
            <w:pPr>
              <w:spacing w:after="0"/>
            </w:pPr>
            <w:r>
              <w:rPr>
                <w:rFonts w:ascii="Times New Roman" w:hAnsi="Times New Roman"/>
                <w:b w:val="0"/>
                <w:sz w:val="17"/>
              </w:rPr>
              <w:t>Configuration</w:t>
            </w:r>
          </w:p>
        </w:tc>
        <w:tc>
          <w:tcPr>
            <w:tcW w:w="4968" w:type="dxa"/>
            <w:vAlign w:val="center"/>
          </w:tcPr>
          <w:p w14:paraId="5082C701">
            <w:pPr>
              <w:spacing w:after="0"/>
            </w:pPr>
            <w:r>
              <w:rPr>
                <w:rFonts w:ascii="Times New Roman" w:hAnsi="Times New Roman"/>
                <w:b w:val="0"/>
                <w:sz w:val="17"/>
              </w:rPr>
              <w:t>C</w:t>
            </w:r>
          </w:p>
        </w:tc>
      </w:tr>
      <w:tr w14:paraId="511B0F01">
        <w:trPr>
          <w:jc w:val="center"/>
        </w:trPr>
        <w:tc>
          <w:tcPr>
            <w:tcW w:w="4968" w:type="dxa"/>
            <w:vAlign w:val="center"/>
          </w:tcPr>
          <w:p w14:paraId="6382AEDB">
            <w:pPr>
              <w:spacing w:after="0"/>
            </w:pPr>
            <w:r>
              <w:rPr>
                <w:rFonts w:ascii="Times New Roman" w:hAnsi="Times New Roman"/>
                <w:b w:val="0"/>
                <w:sz w:val="17"/>
              </w:rPr>
              <w:t>Seeds</w:t>
            </w:r>
          </w:p>
        </w:tc>
        <w:tc>
          <w:tcPr>
            <w:tcW w:w="4968" w:type="dxa"/>
            <w:vAlign w:val="center"/>
          </w:tcPr>
          <w:p w14:paraId="76534CE7">
            <w:pPr>
              <w:spacing w:after="0"/>
            </w:pPr>
            <w:r>
              <w:rPr>
                <w:rFonts w:ascii="Times New Roman" w:hAnsi="Times New Roman"/>
                <w:b w:val="0"/>
                <w:sz w:val="17"/>
              </w:rPr>
              <w:t>42, 123, 456, 789, 999</w:t>
            </w:r>
          </w:p>
        </w:tc>
      </w:tr>
      <w:tr w14:paraId="68EE546C">
        <w:trPr>
          <w:jc w:val="center"/>
        </w:trPr>
        <w:tc>
          <w:tcPr>
            <w:tcW w:w="4968" w:type="dxa"/>
            <w:vAlign w:val="center"/>
          </w:tcPr>
          <w:p w14:paraId="4B54ADCB">
            <w:pPr>
              <w:spacing w:after="0"/>
            </w:pPr>
            <w:r>
              <w:rPr>
                <w:rFonts w:ascii="Times New Roman" w:hAnsi="Times New Roman"/>
                <w:b w:val="0"/>
                <w:sz w:val="17"/>
              </w:rPr>
              <w:t>Train/validation split</w:t>
            </w:r>
          </w:p>
        </w:tc>
        <w:tc>
          <w:tcPr>
            <w:tcW w:w="4968" w:type="dxa"/>
            <w:vAlign w:val="center"/>
          </w:tcPr>
          <w:p w14:paraId="6F316BA2">
            <w:pPr>
              <w:spacing w:after="0"/>
            </w:pPr>
            <w:r>
              <w:rPr>
                <w:rFonts w:ascii="Times New Roman" w:hAnsi="Times New Roman"/>
                <w:b w:val="0"/>
                <w:sz w:val="17"/>
              </w:rPr>
              <w:t>85% / 15% of training CSV</w:t>
            </w:r>
          </w:p>
        </w:tc>
      </w:tr>
      <w:tr w14:paraId="1BEE4ECA">
        <w:trPr>
          <w:jc w:val="center"/>
        </w:trPr>
        <w:tc>
          <w:tcPr>
            <w:tcW w:w="4968" w:type="dxa"/>
            <w:vAlign w:val="center"/>
          </w:tcPr>
          <w:p w14:paraId="25B46035">
            <w:pPr>
              <w:spacing w:after="0"/>
            </w:pPr>
            <w:r>
              <w:rPr>
                <w:rFonts w:ascii="Times New Roman" w:hAnsi="Times New Roman"/>
                <w:b w:val="0"/>
                <w:sz w:val="17"/>
              </w:rPr>
              <w:t>Official test</w:t>
            </w:r>
          </w:p>
        </w:tc>
        <w:tc>
          <w:tcPr>
            <w:tcW w:w="4968" w:type="dxa"/>
            <w:vAlign w:val="center"/>
          </w:tcPr>
          <w:p w14:paraId="48418A95">
            <w:pPr>
              <w:spacing w:after="0"/>
            </w:pPr>
            <w:r>
              <w:rPr>
                <w:rFonts w:ascii="Times New Roman" w:hAnsi="Times New Roman"/>
                <w:b w:val="0"/>
                <w:sz w:val="17"/>
              </w:rPr>
              <w:t>82,332 flows, untouched until final evaluation</w:t>
            </w:r>
          </w:p>
        </w:tc>
      </w:tr>
      <w:tr w14:paraId="74A59EBE">
        <w:trPr>
          <w:jc w:val="center"/>
        </w:trPr>
        <w:tc>
          <w:tcPr>
            <w:tcW w:w="4968" w:type="dxa"/>
            <w:vAlign w:val="center"/>
          </w:tcPr>
          <w:p w14:paraId="50AA3D9A">
            <w:pPr>
              <w:spacing w:after="0"/>
            </w:pPr>
            <w:r>
              <w:rPr>
                <w:rFonts w:ascii="Times New Roman" w:hAnsi="Times New Roman"/>
                <w:b w:val="0"/>
                <w:sz w:val="17"/>
              </w:rPr>
              <w:t>Validation criterion</w:t>
            </w:r>
          </w:p>
        </w:tc>
        <w:tc>
          <w:tcPr>
            <w:tcW w:w="4968" w:type="dxa"/>
            <w:vAlign w:val="center"/>
          </w:tcPr>
          <w:p w14:paraId="00D0A96C">
            <w:pPr>
              <w:spacing w:after="0"/>
            </w:pPr>
            <w:r>
              <w:rPr>
                <w:rFonts w:ascii="Times New Roman" w:hAnsi="Times New Roman"/>
                <w:b w:val="0"/>
                <w:sz w:val="17"/>
              </w:rPr>
              <w:t>Node-level AUC-ROC</w:t>
            </w:r>
          </w:p>
        </w:tc>
      </w:tr>
      <w:tr w14:paraId="2BBCB406">
        <w:trPr>
          <w:jc w:val="center"/>
        </w:trPr>
        <w:tc>
          <w:tcPr>
            <w:tcW w:w="4968" w:type="dxa"/>
            <w:vAlign w:val="center"/>
          </w:tcPr>
          <w:p w14:paraId="67FC05F2">
            <w:pPr>
              <w:spacing w:after="0"/>
            </w:pPr>
            <w:r>
              <w:rPr>
                <w:rFonts w:ascii="Times New Roman" w:hAnsi="Times New Roman"/>
                <w:b w:val="0"/>
                <w:sz w:val="17"/>
              </w:rPr>
              <w:t>Headline ST-GraphAD AUC</w:t>
            </w:r>
          </w:p>
        </w:tc>
        <w:tc>
          <w:tcPr>
            <w:tcW w:w="4968" w:type="dxa"/>
            <w:vAlign w:val="center"/>
          </w:tcPr>
          <w:p w14:paraId="359637F3">
            <w:pPr>
              <w:spacing w:after="0"/>
            </w:pPr>
            <w:r>
              <w:rPr>
                <w:rFonts w:ascii="Times New Roman" w:hAnsi="Times New Roman"/>
                <w:b w:val="0"/>
                <w:sz w:val="17"/>
              </w:rPr>
              <w:t>0.657 ± 0.078</w:t>
            </w:r>
          </w:p>
        </w:tc>
      </w:tr>
      <w:tr w14:paraId="55735AEE">
        <w:trPr>
          <w:jc w:val="center"/>
        </w:trPr>
        <w:tc>
          <w:tcPr>
            <w:tcW w:w="4968" w:type="dxa"/>
            <w:vAlign w:val="center"/>
          </w:tcPr>
          <w:p w14:paraId="28441B8F">
            <w:pPr>
              <w:spacing w:after="0"/>
            </w:pPr>
            <w:r>
              <w:rPr>
                <w:rFonts w:ascii="Times New Roman" w:hAnsi="Times New Roman"/>
                <w:b w:val="0"/>
                <w:sz w:val="17"/>
              </w:rPr>
              <w:t>Headline ST-GraphAD F1</w:t>
            </w:r>
          </w:p>
        </w:tc>
        <w:tc>
          <w:tcPr>
            <w:tcW w:w="4968" w:type="dxa"/>
            <w:vAlign w:val="center"/>
          </w:tcPr>
          <w:p w14:paraId="538F8A3B">
            <w:pPr>
              <w:spacing w:after="0"/>
            </w:pPr>
            <w:r>
              <w:rPr>
                <w:rFonts w:ascii="Times New Roman" w:hAnsi="Times New Roman"/>
                <w:b w:val="0"/>
                <w:sz w:val="17"/>
              </w:rPr>
              <w:t>0.858 ± 0.021</w:t>
            </w:r>
          </w:p>
        </w:tc>
      </w:tr>
      <w:tr w14:paraId="48B7E05E">
        <w:trPr>
          <w:jc w:val="center"/>
        </w:trPr>
        <w:tc>
          <w:tcPr>
            <w:tcW w:w="4968" w:type="dxa"/>
            <w:vAlign w:val="center"/>
          </w:tcPr>
          <w:p w14:paraId="6A1B45CE">
            <w:pPr>
              <w:spacing w:after="0"/>
            </w:pPr>
            <w:r>
              <w:rPr>
                <w:rFonts w:ascii="Times New Roman" w:hAnsi="Times New Roman"/>
                <w:b w:val="0"/>
                <w:sz w:val="17"/>
              </w:rPr>
              <w:t>Headline GCN AUC</w:t>
            </w:r>
          </w:p>
        </w:tc>
        <w:tc>
          <w:tcPr>
            <w:tcW w:w="4968" w:type="dxa"/>
            <w:vAlign w:val="center"/>
          </w:tcPr>
          <w:p w14:paraId="53C0CF8F">
            <w:pPr>
              <w:spacing w:after="0"/>
            </w:pPr>
            <w:r>
              <w:rPr>
                <w:rFonts w:ascii="Times New Roman" w:hAnsi="Times New Roman"/>
                <w:b w:val="0"/>
                <w:sz w:val="17"/>
              </w:rPr>
              <w:t>0.612 ± 0.030</w:t>
            </w:r>
          </w:p>
        </w:tc>
      </w:tr>
      <w:tr w14:paraId="178136C6">
        <w:trPr>
          <w:jc w:val="center"/>
        </w:trPr>
        <w:tc>
          <w:tcPr>
            <w:tcW w:w="4968" w:type="dxa"/>
            <w:vAlign w:val="center"/>
          </w:tcPr>
          <w:p w14:paraId="5071F0B5">
            <w:pPr>
              <w:spacing w:after="0"/>
            </w:pPr>
            <w:r>
              <w:rPr>
                <w:rFonts w:ascii="Times New Roman" w:hAnsi="Times New Roman"/>
                <w:b w:val="0"/>
                <w:sz w:val="17"/>
              </w:rPr>
              <w:t>Headline GCN F1</w:t>
            </w:r>
          </w:p>
        </w:tc>
        <w:tc>
          <w:tcPr>
            <w:tcW w:w="4968" w:type="dxa"/>
            <w:vAlign w:val="center"/>
          </w:tcPr>
          <w:p w14:paraId="11B2CC98">
            <w:pPr>
              <w:spacing w:after="0"/>
            </w:pPr>
            <w:r>
              <w:rPr>
                <w:rFonts w:ascii="Times New Roman" w:hAnsi="Times New Roman"/>
                <w:b w:val="0"/>
                <w:sz w:val="17"/>
              </w:rPr>
              <w:t>0.836 ± 0.013</w:t>
            </w:r>
          </w:p>
        </w:tc>
      </w:tr>
    </w:tbl>
    <w:p w14:paraId="7D1AFEB5">
      <w:pPr>
        <w:pStyle w:val="164"/>
        <w:jc w:val="center"/>
      </w:pPr>
      <w:r>
        <w:t>Table A1. Authoritative experimental record.</w:t>
      </w:r>
    </w:p>
    <w:p w14:paraId="175CF928">
      <w:pPr>
        <w:pStyle w:val="2"/>
      </w:pPr>
      <w:r>
        <w:t>Appendix B. Graph Construction Pseudocode</w:t>
      </w:r>
    </w:p>
    <w:p w14:paraId="43B907F7">
      <w:r>
        <w:rPr>
          <w:rFonts w:ascii="Courier New" w:hAnsi="Courier New"/>
          <w:sz w:val="16"/>
        </w:rPr>
        <w:t>def construct_graphs(csv, window_size=1000):</w:t>
      </w:r>
      <w:r>
        <w:rPr>
          <w:rFonts w:ascii="Courier New" w:hAnsi="Courier New"/>
          <w:sz w:val="16"/>
        </w:rPr>
        <w:br w:type="textWrapping"/>
      </w:r>
      <w:r>
        <w:rPr>
          <w:rFonts w:ascii="Courier New" w:hAnsi="Courier New"/>
          <w:sz w:val="16"/>
        </w:rPr>
        <w:t xml:space="preserve">    df = read_csv(csv)</w:t>
      </w:r>
      <w:r>
        <w:rPr>
          <w:rFonts w:ascii="Courier New" w:hAnsi="Courier New"/>
          <w:sz w:val="16"/>
        </w:rPr>
        <w:br w:type="textWrapping"/>
      </w:r>
      <w:r>
        <w:rPr>
          <w:rFonts w:ascii="Courier New" w:hAnsi="Courier New"/>
          <w:sz w:val="16"/>
        </w:rPr>
        <w:br w:type="textWrapping"/>
      </w:r>
      <w:r>
        <w:rPr>
          <w:rFonts w:ascii="Courier New" w:hAnsi="Courier New"/>
          <w:sz w:val="16"/>
        </w:rPr>
        <w:t xml:space="preserve">    # Fit encoders/scaler on training partition only.</w:t>
      </w:r>
      <w:r>
        <w:rPr>
          <w:rFonts w:ascii="Courier New" w:hAnsi="Courier New"/>
          <w:sz w:val="16"/>
        </w:rPr>
        <w:br w:type="textWrapping"/>
      </w:r>
      <w:r>
        <w:rPr>
          <w:rFonts w:ascii="Courier New" w:hAnsi="Courier New"/>
          <w:sz w:val="16"/>
        </w:rPr>
        <w:t xml:space="preserve">    df = encode_and_scale(df)</w:t>
      </w:r>
      <w:r>
        <w:rPr>
          <w:rFonts w:ascii="Courier New" w:hAnsi="Courier New"/>
          <w:sz w:val="16"/>
        </w:rPr>
        <w:br w:type="textWrapping"/>
      </w:r>
      <w:r>
        <w:rPr>
          <w:rFonts w:ascii="Courier New" w:hAnsi="Courier New"/>
          <w:sz w:val="16"/>
        </w:rPr>
        <w:br w:type="textWrapping"/>
      </w:r>
      <w:r>
        <w:rPr>
          <w:rFonts w:ascii="Courier New" w:hAnsi="Courier New"/>
          <w:sz w:val="16"/>
        </w:rPr>
        <w:t xml:space="preserve">    df["src_node"] = df["proto"] + "_" + df["service"] + "_src"</w:t>
      </w:r>
      <w:r>
        <w:rPr>
          <w:rFonts w:ascii="Courier New" w:hAnsi="Courier New"/>
          <w:sz w:val="16"/>
        </w:rPr>
        <w:br w:type="textWrapping"/>
      </w:r>
      <w:r>
        <w:rPr>
          <w:rFonts w:ascii="Courier New" w:hAnsi="Courier New"/>
          <w:sz w:val="16"/>
        </w:rPr>
        <w:t xml:space="preserve">    df["dst_node"] = df["state"] + "_" + df["service"] + "_dst"</w:t>
      </w:r>
      <w:r>
        <w:rPr>
          <w:rFonts w:ascii="Courier New" w:hAnsi="Courier New"/>
          <w:sz w:val="16"/>
        </w:rPr>
        <w:br w:type="textWrapping"/>
      </w:r>
      <w:r>
        <w:rPr>
          <w:rFonts w:ascii="Courier New" w:hAnsi="Courier New"/>
          <w:sz w:val="16"/>
        </w:rPr>
        <w:t xml:space="preserve">    df["window_id"] = df.index // window_size</w:t>
      </w:r>
      <w:r>
        <w:rPr>
          <w:rFonts w:ascii="Courier New" w:hAnsi="Courier New"/>
          <w:sz w:val="16"/>
        </w:rPr>
        <w:br w:type="textWrapping"/>
      </w:r>
      <w:r>
        <w:rPr>
          <w:rFonts w:ascii="Courier New" w:hAnsi="Courier New"/>
          <w:sz w:val="16"/>
        </w:rPr>
        <w:br w:type="textWrapping"/>
      </w:r>
      <w:r>
        <w:rPr>
          <w:rFonts w:ascii="Courier New" w:hAnsi="Courier New"/>
          <w:sz w:val="16"/>
        </w:rPr>
        <w:t xml:space="preserve">    graphs = []</w:t>
      </w:r>
      <w:r>
        <w:rPr>
          <w:rFonts w:ascii="Courier New" w:hAnsi="Courier New"/>
          <w:sz w:val="16"/>
        </w:rPr>
        <w:br w:type="textWrapping"/>
      </w:r>
      <w:r>
        <w:rPr>
          <w:rFonts w:ascii="Courier New" w:hAnsi="Courier New"/>
          <w:sz w:val="16"/>
        </w:rPr>
        <w:t xml:space="preserve">    for _, wdf in df.groupby("window_id"):</w:t>
      </w:r>
      <w:r>
        <w:rPr>
          <w:rFonts w:ascii="Courier New" w:hAnsi="Courier New"/>
          <w:sz w:val="16"/>
        </w:rPr>
        <w:br w:type="textWrapping"/>
      </w:r>
      <w:r>
        <w:rPr>
          <w:rFonts w:ascii="Courier New" w:hAnsi="Courier New"/>
          <w:sz w:val="16"/>
        </w:rPr>
        <w:t xml:space="preserve">        if len(wdf) &lt; 10:</w:t>
      </w:r>
      <w:r>
        <w:rPr>
          <w:rFonts w:ascii="Courier New" w:hAnsi="Courier New"/>
          <w:sz w:val="16"/>
        </w:rPr>
        <w:br w:type="textWrapping"/>
      </w:r>
      <w:r>
        <w:rPr>
          <w:rFonts w:ascii="Courier New" w:hAnsi="Courier New"/>
          <w:sz w:val="16"/>
        </w:rPr>
        <w:t xml:space="preserve">            continue</w:t>
      </w:r>
      <w:r>
        <w:rPr>
          <w:rFonts w:ascii="Courier New" w:hAnsi="Courier New"/>
          <w:sz w:val="16"/>
        </w:rPr>
        <w:br w:type="textWrapping"/>
      </w:r>
      <w:r>
        <w:rPr>
          <w:rFonts w:ascii="Courier New" w:hAnsi="Courier New"/>
          <w:sz w:val="16"/>
        </w:rPr>
        <w:t xml:space="preserve">        x = aggregate_node_features(wdf)  # 28 dimensions</w:t>
      </w:r>
      <w:r>
        <w:rPr>
          <w:rFonts w:ascii="Courier New" w:hAnsi="Courier New"/>
          <w:sz w:val="16"/>
        </w:rPr>
        <w:br w:type="textWrapping"/>
      </w:r>
      <w:r>
        <w:rPr>
          <w:rFonts w:ascii="Courier New" w:hAnsi="Courier New"/>
          <w:sz w:val="16"/>
        </w:rPr>
        <w:t xml:space="preserve">        y = aggregate_binary_node_labels(wdf)</w:t>
      </w:r>
      <w:r>
        <w:rPr>
          <w:rFonts w:ascii="Courier New" w:hAnsi="Courier New"/>
          <w:sz w:val="16"/>
        </w:rPr>
        <w:br w:type="textWrapping"/>
      </w:r>
      <w:r>
        <w:rPr>
          <w:rFonts w:ascii="Courier New" w:hAnsi="Courier New"/>
          <w:sz w:val="16"/>
        </w:rPr>
        <w:t xml:space="preserve">        edge_index = build_edges(wdf)</w:t>
      </w:r>
      <w:r>
        <w:rPr>
          <w:rFonts w:ascii="Courier New" w:hAnsi="Courier New"/>
          <w:sz w:val="16"/>
        </w:rPr>
        <w:br w:type="textWrapping"/>
      </w:r>
      <w:r>
        <w:rPr>
          <w:rFonts w:ascii="Courier New" w:hAnsi="Courier New"/>
          <w:sz w:val="16"/>
        </w:rPr>
        <w:t xml:space="preserve">        graphs.append(Data(x=x, edge_index=edge_index, y=y))</w:t>
      </w:r>
      <w:r>
        <w:rPr>
          <w:rFonts w:ascii="Courier New" w:hAnsi="Courier New"/>
          <w:sz w:val="16"/>
        </w:rPr>
        <w:br w:type="textWrapping"/>
      </w:r>
      <w:r>
        <w:rPr>
          <w:rFonts w:ascii="Courier New" w:hAnsi="Courier New"/>
          <w:sz w:val="16"/>
        </w:rPr>
        <w:br w:type="textWrapping"/>
      </w:r>
      <w:r>
        <w:rPr>
          <w:rFonts w:ascii="Courier New" w:hAnsi="Courier New"/>
          <w:sz w:val="16"/>
        </w:rPr>
        <w:t xml:space="preserve">    return graphs</w:t>
      </w:r>
      <w:r>
        <w:rPr>
          <w:rFonts w:ascii="Courier New" w:hAnsi="Courier New"/>
          <w:sz w:val="16"/>
        </w:rPr>
        <w:br w:type="textWrapping"/>
      </w:r>
    </w:p>
    <w:sectPr>
      <w:footerReference r:id="rId5" w:type="default"/>
      <w:pgSz w:w="12240" w:h="15840"/>
      <w:pgMar w:top="1037" w:right="1152" w:bottom="1037"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altName w:val="Times New Roman"/>
    <w:panose1 w:val="020B0600000000000000"/>
    <w:charset w:val="00"/>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38AC0B">
    <w:pPr>
      <w:pStyle w:val="18"/>
      <w:jc w:val="center"/>
    </w:pPr>
    <w:r>
      <w:t xml:space="preserve">ST-GraphAD  |  </w:t>
    </w: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E7FE6F5F"/>
    <w:rsid w:val="FD6E783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252" w:lineRule="auto"/>
    </w:pPr>
    <w:rPr>
      <w:rFonts w:ascii="Times New Roman" w:hAnsi="Times New Roman" w:eastAsiaTheme="minorEastAsia" w:cstheme="minorBidi"/>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3"/>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36"/>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 w:type="paragraph" w:customStyle="1" w:styleId="164">
    <w:name w:val="CaptionCustom"/>
    <w:uiPriority w:val="0"/>
    <w:pPr>
      <w:spacing w:after="80" w:line="276" w:lineRule="auto"/>
    </w:pPr>
    <w:rPr>
      <w:rFonts w:ascii="Times New Roman" w:hAnsi="Times New Roman" w:eastAsiaTheme="minorEastAsia" w:cstheme="minorBidi"/>
      <w:i/>
      <w:sz w:val="18"/>
      <w:szCs w:val="22"/>
      <w:lang w:val="en-US" w:eastAsia="en-US" w:bidi="ar-SA"/>
    </w:rPr>
  </w:style>
  <w:style w:type="paragraph" w:customStyle="1" w:styleId="165">
    <w:name w:val="Reference"/>
    <w:uiPriority w:val="0"/>
    <w:pPr>
      <w:spacing w:after="80" w:line="276" w:lineRule="auto"/>
    </w:pPr>
    <w:rPr>
      <w:rFonts w:ascii="Times New Roman" w:hAnsi="Times New Roman" w:eastAsiaTheme="minorEastAsia" w:cstheme="minorBidi"/>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5</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2013-12-24T10:15:00Z</dcterms:created>
  <dc:creator>Ayan Bhaumik</dc:creator>
  <cp:lastModifiedBy>Ayan_Bhaumik</cp:lastModifiedBy>
  <dcterms:modified xsi:type="dcterms:W3CDTF">2026-08-28T11:48:59Z</dcterms:modified>
  <dc:subject>Network Intrusion Detection; Graph Neural Networks; Spatio-Temporal Modeling</dc:subject>
  <dc:title>ST-GraphAD: Spatio-Temporal Graph Neural Network for Network Intrusion Detection on UNSW-NB15</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81E4B404A693B07FF826916A00B8B087_42</vt:lpwstr>
  </property>
</Properties>
</file>