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38AB5D">
      <w:pPr>
        <w:spacing w:after="160"/>
        <w:jc w:val="center"/>
      </w:pPr>
      <w:r>
        <w:rPr>
          <w:b/>
          <w:sz w:val="38"/>
        </w:rPr>
        <w:t>ST-GraphAD: Spatio-Temporal Graph Neural Network</w:t>
      </w:r>
      <w:r>
        <w:rPr>
          <w:b/>
          <w:sz w:val="38"/>
        </w:rPr>
        <w:br w:type="textWrapping"/>
      </w:r>
      <w:r>
        <w:rPr>
          <w:b/>
          <w:sz w:val="38"/>
        </w:rPr>
        <w:t>for Network Intrusion Detection on UNSW-NB15</w:t>
      </w:r>
    </w:p>
    <w:p w14:paraId="4C9078B6">
      <w:pPr>
        <w:spacing w:after="40"/>
        <w:jc w:val="center"/>
      </w:pPr>
      <w:r>
        <w:rPr>
          <w:b/>
          <w:sz w:val="25"/>
        </w:rPr>
        <w:t>Ayan Bhaumik</w:t>
      </w:r>
    </w:p>
    <w:p w14:paraId="1CA495E0">
      <w:pPr>
        <w:spacing w:after="240"/>
        <w:jc w:val="center"/>
      </w:pPr>
      <w:r>
        <w:rPr>
          <w:sz w:val="20"/>
        </w:rPr>
        <w:t>Independent Researcher</w:t>
      </w:r>
      <w:r>
        <w:rPr>
          <w:sz w:val="20"/>
        </w:rPr>
        <w:br w:type="textWrapping"/>
      </w:r>
      <w:r>
        <w:rPr>
          <w:sz w:val="20"/>
        </w:rPr>
        <w:t>mrayanbhaumik@gmail.com  |  connect@ayanbhaumik.in</w:t>
      </w:r>
    </w:p>
    <w:p w14:paraId="314943B2">
      <w:pPr>
        <w:pStyle w:val="2"/>
      </w:pPr>
      <w:r>
        <w:t>Abstract</w:t>
      </w:r>
    </w:p>
    <w:p w14:paraId="1AC4F74B">
      <w:r>
        <w:t>Network intrusion detection systems must identify malicious behavior that is distributed across communicating entities and evolves over time. Conventional flow-based approaches generally treat individual records as independent samples, while static graph neural networks capture relational structure without explicitly modeling temporal evolution. This paper presents ST-GraphAD, a spatio-temporal graph neural network for node-level intrusion detection on the UNSW-NB15 benchmark. Network flows are converted into dynamic attributed graph snapshots using an explicit pseudo-node construction based on protocol, service, and connection-state information, because the commonly distributed CSV representation does not expose source/destination IP addresses. A shared three-layer graph convolutional network produc</w:t>
      </w:r>
      <w:bookmarkStart w:id="0" w:name="_GoBack"/>
      <w:bookmarkEnd w:id="0"/>
      <w:r>
        <w:t>es spatial node embeddings for each snapshot; a two-layer, four-head temporal self-attention module with positional encoding then models dependencies across five consecutive snapshots. Node-level validation AUC-ROC is used for model selection and early stopping, avoiding the degenerate graph-level signal induced by majority-vote graph labels. With an 85/15 train/validation split of the official training CSV, an untouched official test set, training-only preprocessing, and five-seed evaluation, ST-GraphAD achieves a mean node-level AUC-ROC of 0.657 ± 0.078 and F1-score of 0.858 ± 0.021, compared with 0.612 ± 0.030 AUC and 0.836 ± 0.013 F1 for a static GCN baseline. The mean AUC improvement is 0.045 absolute, although the proposed model exhibits greater run-to-run variance. Graph-level metrics remain uninformative under the present majority-vote labeling scheme. The study reports computational cost, documents the remaining limitations, and provides a reproducible experimental specification.</w:t>
      </w:r>
    </w:p>
    <w:p w14:paraId="7F83421E">
      <w:r>
        <w:rPr>
          <w:b/>
        </w:rPr>
        <w:t xml:space="preserve">Keywords: </w:t>
      </w:r>
      <w:r>
        <w:t>network intrusion detection; graph neural networks; spatio-temporal modeling; temporal attention; UNSW-NB15; node classification</w:t>
      </w:r>
    </w:p>
    <w:p w14:paraId="09716551">
      <w:pPr>
        <w:pStyle w:val="2"/>
      </w:pPr>
      <w:r>
        <w:t>1. Introduction</w:t>
      </w:r>
    </w:p>
    <w:p w14:paraId="62B0CA7B">
      <w:pPr>
        <w:pStyle w:val="3"/>
      </w:pPr>
      <w:r>
        <w:t>1.1 Background</w:t>
      </w:r>
    </w:p>
    <w:p w14:paraId="72F2F961">
      <w:r>
        <w:t>Network intrusion detection is a central cybersecurity task because modern attacks can involve multiple stages and multiple entities. Reconnaissance, exploitation, lateral movement, command-and-control activity, and data exfiltration can leave related traces across time rather than producing a single, isolated anomalous flow. Signature-based systems remain effective for known patterns, while anomaly-based machine-learning methods extend coverage to previously unseen behavior. Nevertheless, a large class of NIDS pipelines still represents traffic as independent feature vectors and therefore underutilizes the relational structure of communications.</w:t>
      </w:r>
    </w:p>
    <w:p w14:paraId="508E8FCC">
      <w:pPr>
        <w:pStyle w:val="3"/>
      </w:pPr>
      <w:r>
        <w:t>1.2 Motivation and Research Gap</w:t>
      </w:r>
    </w:p>
    <w:p w14:paraId="63DD8461">
      <w:r>
        <w:t>Network traffic can be expressed naturally as a graph: entities are represented by nodes, communications by edges, and changing traffic patterns by a sequence of graph snapshots. Static GNNs such as GCN, GAT, and GraphSAGE can aggregate neighborhood information but do not explicitly encode how a node's context changes across snapshots. Temporal graph methods address this issue by modeling historical context, but their use in NIDS depends heavily on how public flow datasets are converted into graphs.</w:t>
      </w:r>
    </w:p>
    <w:p w14:paraId="44B59A56">
      <w:r>
        <w:t>The present study focuses on three practical gaps: reproducible graph construction from a CSV release without explicit IP fields; controlled comparison of spatial-only and spatio-temporal models on the same graph partitions; and evaluation that does not mistake a degenerate graph-level label for meaningful model performance.</w:t>
      </w:r>
    </w:p>
    <w:p w14:paraId="51B568AA">
      <w:pPr>
        <w:pStyle w:val="3"/>
      </w:pPr>
      <w:r>
        <w:t>1.3 Contributions</w:t>
      </w:r>
    </w:p>
    <w:p w14:paraId="59519DF9">
      <w:pPr>
        <w:pStyle w:val="23"/>
      </w:pPr>
      <w:r>
        <w:t>A documented graph-construction pipeline that makes the pseudo-node assumption explicit.</w:t>
      </w:r>
    </w:p>
    <w:p w14:paraId="5E3F9046">
      <w:pPr>
        <w:pStyle w:val="23"/>
      </w:pPr>
      <w:r>
        <w:t>ST-GraphAD, combining a three-layer GCN spatial encoder with a two-layer, four-head temporal attention module over five snapshots.</w:t>
      </w:r>
    </w:p>
    <w:p w14:paraId="2931E558">
      <w:pPr>
        <w:pStyle w:val="23"/>
      </w:pPr>
      <w:r>
        <w:t>A leakage-aware train/validation/test protocol with preprocessing fitted only on the training partition and node-level AUC used for model selection.</w:t>
      </w:r>
    </w:p>
    <w:p w14:paraId="25382D1F">
      <w:pPr>
        <w:pStyle w:val="23"/>
      </w:pPr>
      <w:r>
        <w:t>A five-seed node-level evaluation with mean and standard deviation, together with a controlled static GCN baseline.</w:t>
      </w:r>
    </w:p>
    <w:p w14:paraId="7B0D9D8A">
      <w:pPr>
        <w:pStyle w:val="23"/>
      </w:pPr>
      <w:r>
        <w:t>Transparent reporting of graph-label degeneracy, computational cost, and remaining limitations.</w:t>
      </w:r>
    </w:p>
    <w:p w14:paraId="5C1B39D7">
      <w:pPr>
        <w:pStyle w:val="2"/>
      </w:pPr>
      <w:r>
        <w:t>2. Related Work</w:t>
      </w:r>
    </w:p>
    <w:p w14:paraId="3DF75C41">
      <w:pPr>
        <w:pStyle w:val="3"/>
      </w:pPr>
      <w:r>
        <w:t>2.1 Network Intrusion Detection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93"/>
        <w:gridCol w:w="3293"/>
        <w:gridCol w:w="3293"/>
      </w:tblGrid>
      <w:tr w14:paraId="0ADA046E">
        <w:trPr>
          <w:jc w:val="center"/>
        </w:trPr>
        <w:tc>
          <w:tcPr>
            <w:tcW w:w="3293" w:type="dxa"/>
            <w:shd w:val="clear" w:color="auto" w:fill="D9E2F3"/>
            <w:vAlign w:val="center"/>
          </w:tcPr>
          <w:p w14:paraId="41B0F1B7">
            <w:pPr>
              <w:spacing w:after="0"/>
            </w:pPr>
            <w:r>
              <w:rPr>
                <w:rFonts w:ascii="Times New Roman" w:hAnsi="Times New Roman"/>
                <w:b/>
                <w:sz w:val="17"/>
              </w:rPr>
              <w:t>Paradigm</w:t>
            </w:r>
          </w:p>
        </w:tc>
        <w:tc>
          <w:tcPr>
            <w:tcW w:w="3293" w:type="dxa"/>
            <w:shd w:val="clear" w:color="auto" w:fill="D9E2F3"/>
            <w:vAlign w:val="center"/>
          </w:tcPr>
          <w:p w14:paraId="67D0C1D5">
            <w:pPr>
              <w:spacing w:after="0"/>
            </w:pPr>
            <w:r>
              <w:rPr>
                <w:rFonts w:ascii="Times New Roman" w:hAnsi="Times New Roman"/>
                <w:b/>
                <w:sz w:val="17"/>
              </w:rPr>
              <w:t>Representative methods</w:t>
            </w:r>
          </w:p>
        </w:tc>
        <w:tc>
          <w:tcPr>
            <w:tcW w:w="3293" w:type="dxa"/>
            <w:shd w:val="clear" w:color="auto" w:fill="D9E2F3"/>
            <w:vAlign w:val="center"/>
          </w:tcPr>
          <w:p w14:paraId="65832CFF">
            <w:pPr>
              <w:spacing w:after="0"/>
            </w:pPr>
            <w:r>
              <w:rPr>
                <w:rFonts w:ascii="Times New Roman" w:hAnsi="Times New Roman"/>
                <w:b/>
                <w:sz w:val="17"/>
              </w:rPr>
              <w:t>Primary limitation</w:t>
            </w:r>
          </w:p>
        </w:tc>
      </w:tr>
      <w:tr w14:paraId="7F44B1C0">
        <w:trPr>
          <w:jc w:val="center"/>
        </w:trPr>
        <w:tc>
          <w:tcPr>
            <w:tcW w:w="3293" w:type="dxa"/>
            <w:vAlign w:val="center"/>
          </w:tcPr>
          <w:p w14:paraId="09FBAC71">
            <w:pPr>
              <w:spacing w:after="0"/>
            </w:pPr>
            <w:r>
              <w:rPr>
                <w:rFonts w:ascii="Times New Roman" w:hAnsi="Times New Roman"/>
                <w:b w:val="0"/>
                <w:sz w:val="17"/>
              </w:rPr>
              <w:t>Signature-based</w:t>
            </w:r>
          </w:p>
        </w:tc>
        <w:tc>
          <w:tcPr>
            <w:tcW w:w="3293" w:type="dxa"/>
            <w:vAlign w:val="center"/>
          </w:tcPr>
          <w:p w14:paraId="31B23D42">
            <w:pPr>
              <w:spacing w:after="0"/>
            </w:pPr>
            <w:r>
              <w:rPr>
                <w:rFonts w:ascii="Times New Roman" w:hAnsi="Times New Roman"/>
                <w:b w:val="0"/>
                <w:sz w:val="17"/>
              </w:rPr>
              <w:t>Snort, Suricata, Zeek</w:t>
            </w:r>
          </w:p>
        </w:tc>
        <w:tc>
          <w:tcPr>
            <w:tcW w:w="3293" w:type="dxa"/>
            <w:vAlign w:val="center"/>
          </w:tcPr>
          <w:p w14:paraId="6EEB73FA">
            <w:pPr>
              <w:spacing w:after="0"/>
            </w:pPr>
            <w:r>
              <w:rPr>
                <w:rFonts w:ascii="Times New Roman" w:hAnsi="Times New Roman"/>
                <w:b w:val="0"/>
                <w:sz w:val="17"/>
              </w:rPr>
              <w:t>Depend on known signatures; weak coverage of novel attacks</w:t>
            </w:r>
          </w:p>
        </w:tc>
      </w:tr>
      <w:tr w14:paraId="4B0B5E49">
        <w:trPr>
          <w:jc w:val="center"/>
        </w:trPr>
        <w:tc>
          <w:tcPr>
            <w:tcW w:w="3293" w:type="dxa"/>
            <w:vAlign w:val="center"/>
          </w:tcPr>
          <w:p w14:paraId="1CAA70E0">
            <w:pPr>
              <w:spacing w:after="0"/>
            </w:pPr>
            <w:r>
              <w:rPr>
                <w:rFonts w:ascii="Times New Roman" w:hAnsi="Times New Roman"/>
                <w:b w:val="0"/>
                <w:sz w:val="17"/>
              </w:rPr>
              <w:t>Classical anomaly detection</w:t>
            </w:r>
          </w:p>
        </w:tc>
        <w:tc>
          <w:tcPr>
            <w:tcW w:w="3293" w:type="dxa"/>
            <w:vAlign w:val="center"/>
          </w:tcPr>
          <w:p w14:paraId="16CB2728">
            <w:pPr>
              <w:spacing w:after="0"/>
            </w:pPr>
            <w:r>
              <w:rPr>
                <w:rFonts w:ascii="Times New Roman" w:hAnsi="Times New Roman"/>
                <w:b w:val="0"/>
                <w:sz w:val="17"/>
              </w:rPr>
              <w:t>Random Forest, XGBoost, Autoencoders</w:t>
            </w:r>
          </w:p>
        </w:tc>
        <w:tc>
          <w:tcPr>
            <w:tcW w:w="3293" w:type="dxa"/>
            <w:vAlign w:val="center"/>
          </w:tcPr>
          <w:p w14:paraId="4C02DF9E">
            <w:pPr>
              <w:spacing w:after="0"/>
            </w:pPr>
            <w:r>
              <w:rPr>
                <w:rFonts w:ascii="Times New Roman" w:hAnsi="Times New Roman"/>
                <w:b w:val="0"/>
                <w:sz w:val="17"/>
              </w:rPr>
              <w:t>Primarily flow-centric; relational structure is underused</w:t>
            </w:r>
          </w:p>
        </w:tc>
      </w:tr>
      <w:tr w14:paraId="04B628C3">
        <w:trPr>
          <w:jc w:val="center"/>
        </w:trPr>
        <w:tc>
          <w:tcPr>
            <w:tcW w:w="3293" w:type="dxa"/>
            <w:vAlign w:val="center"/>
          </w:tcPr>
          <w:p w14:paraId="49882DC3">
            <w:pPr>
              <w:spacing w:after="0"/>
            </w:pPr>
            <w:r>
              <w:rPr>
                <w:rFonts w:ascii="Times New Roman" w:hAnsi="Times New Roman"/>
                <w:b w:val="0"/>
                <w:sz w:val="17"/>
              </w:rPr>
              <w:t>Deep flow modeling</w:t>
            </w:r>
          </w:p>
        </w:tc>
        <w:tc>
          <w:tcPr>
            <w:tcW w:w="3293" w:type="dxa"/>
            <w:vAlign w:val="center"/>
          </w:tcPr>
          <w:p w14:paraId="49424479">
            <w:pPr>
              <w:spacing w:after="0"/>
            </w:pPr>
            <w:r>
              <w:rPr>
                <w:rFonts w:ascii="Times New Roman" w:hAnsi="Times New Roman"/>
                <w:b w:val="0"/>
                <w:sz w:val="17"/>
              </w:rPr>
              <w:t>CNN, LSTM, Transformer</w:t>
            </w:r>
          </w:p>
        </w:tc>
        <w:tc>
          <w:tcPr>
            <w:tcW w:w="3293" w:type="dxa"/>
            <w:vAlign w:val="center"/>
          </w:tcPr>
          <w:p w14:paraId="3A0E9E0F">
            <w:pPr>
              <w:spacing w:after="0"/>
            </w:pPr>
            <w:r>
              <w:rPr>
                <w:rFonts w:ascii="Times New Roman" w:hAnsi="Times New Roman"/>
                <w:b w:val="0"/>
                <w:sz w:val="17"/>
              </w:rPr>
              <w:t>Often models feature sequences without explicit graph topology</w:t>
            </w:r>
          </w:p>
        </w:tc>
      </w:tr>
      <w:tr w14:paraId="7B3DC25B">
        <w:trPr>
          <w:jc w:val="center"/>
        </w:trPr>
        <w:tc>
          <w:tcPr>
            <w:tcW w:w="3293" w:type="dxa"/>
            <w:vAlign w:val="center"/>
          </w:tcPr>
          <w:p w14:paraId="1E6D9930">
            <w:pPr>
              <w:spacing w:after="0"/>
            </w:pPr>
            <w:r>
              <w:rPr>
                <w:rFonts w:ascii="Times New Roman" w:hAnsi="Times New Roman"/>
                <w:b w:val="0"/>
                <w:sz w:val="17"/>
              </w:rPr>
              <w:t>Static graph learning</w:t>
            </w:r>
          </w:p>
        </w:tc>
        <w:tc>
          <w:tcPr>
            <w:tcW w:w="3293" w:type="dxa"/>
            <w:vAlign w:val="center"/>
          </w:tcPr>
          <w:p w14:paraId="0D8A1E75">
            <w:pPr>
              <w:spacing w:after="0"/>
            </w:pPr>
            <w:r>
              <w:rPr>
                <w:rFonts w:ascii="Times New Roman" w:hAnsi="Times New Roman"/>
                <w:b w:val="0"/>
                <w:sz w:val="17"/>
              </w:rPr>
              <w:t>GCN, GAT, GraphSAGE</w:t>
            </w:r>
          </w:p>
        </w:tc>
        <w:tc>
          <w:tcPr>
            <w:tcW w:w="3293" w:type="dxa"/>
            <w:vAlign w:val="center"/>
          </w:tcPr>
          <w:p w14:paraId="28D61C74">
            <w:pPr>
              <w:spacing w:after="0"/>
            </w:pPr>
            <w:r>
              <w:rPr>
                <w:rFonts w:ascii="Times New Roman" w:hAnsi="Times New Roman"/>
                <w:b w:val="0"/>
                <w:sz w:val="17"/>
              </w:rPr>
              <w:t>Captures spatial structure but not temporal evolution</w:t>
            </w:r>
          </w:p>
        </w:tc>
      </w:tr>
    </w:tbl>
    <w:p w14:paraId="34D1CC27">
      <w:pPr>
        <w:pStyle w:val="164"/>
        <w:jc w:val="center"/>
      </w:pPr>
      <w:r>
        <w:t>Table 1. Major NIDS paradigms relevant to ST-GraphAD.</w:t>
      </w:r>
    </w:p>
    <w:p w14:paraId="64F89BAE">
      <w:pPr>
        <w:spacing w:after="0"/>
      </w:pPr>
    </w:p>
    <w:p w14:paraId="4BA455B9">
      <w:pPr>
        <w:pStyle w:val="3"/>
      </w:pPr>
      <w:r>
        <w:t>2.2 Graph and Temporal GNNs</w:t>
      </w:r>
    </w:p>
    <w:p w14:paraId="09911CF6">
      <w:r>
        <w:t>GraphSAGE introduced inductive neighborhood aggregation, while GAT demonstrated attention-based message passing. Temporal graph approaches such as TGAT and TGN incorporate temporal information directly and motivate the use of attention or memory over evolving interactions. ST-GraphAD adopts a discrete-time design because the available UNSW-NB15 CSVs can be partitioned into fixed flow windows even though explicit event timestamps are unavailable.</w:t>
      </w:r>
    </w:p>
    <w:p w14:paraId="377F9A34">
      <w:pPr>
        <w:pStyle w:val="3"/>
      </w:pPr>
      <w:r>
        <w:t>2.3 UNSW-NB15 Context</w:t>
      </w:r>
    </w:p>
    <w:p w14:paraId="1F2885CC">
      <w:r>
        <w:t>Prior UNSW-NB15 studies often report strong flow-level classification performance using classical machine learning or sequence models. Those results are useful context but are not directly comparable with the node-level graph task studied here because the prediction unit, labels, and graph construction differ. The comparison in this paper therefore emphasizes the controlled GCN versus ST-GraphAD experiment rather than claiming direct superiority over flow-level state-of-the-art results.</w:t>
      </w:r>
    </w:p>
    <w:p w14:paraId="154FD1A8">
      <w:pPr>
        <w:pStyle w:val="2"/>
      </w:pPr>
      <w:r>
        <w:t>3. Dataset and Problem Formulation</w:t>
      </w:r>
    </w:p>
    <w:p w14:paraId="42E422C7">
      <w:pPr>
        <w:pStyle w:val="3"/>
      </w:pPr>
      <w:r>
        <w:t>3.1 Dataset</w:t>
      </w:r>
    </w:p>
    <w:p w14:paraId="1D84D8CD">
      <w:r>
        <w:t>UNSW-NB15 contains network flow records associated with nine attack categories: Generic, Exploits, Fuzzers, DoS, Reconnaissance, Analysis, Backdoors, Shellcode, and Worms. The public release used here contains 175,341 training flows and 82,332 official test flows.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1944"/>
        <w:gridCol w:w="1944"/>
        <w:gridCol w:w="1800"/>
        <w:gridCol w:w="1944"/>
      </w:tblGrid>
      <w:tr w14:paraId="5F87186E">
        <w:trPr>
          <w:jc w:val="center"/>
        </w:trPr>
        <w:tc>
          <w:tcPr>
            <w:tcW w:w="1944" w:type="dxa"/>
            <w:shd w:val="clear" w:color="auto" w:fill="D9E2F3"/>
            <w:vAlign w:val="center"/>
          </w:tcPr>
          <w:p w14:paraId="3E1B64E6">
            <w:pPr>
              <w:spacing w:after="0"/>
            </w:pPr>
            <w:r>
              <w:rPr>
                <w:rFonts w:ascii="Times New Roman" w:hAnsi="Times New Roman"/>
                <w:b/>
                <w:sz w:val="17"/>
              </w:rPr>
              <w:t>Partition</w:t>
            </w:r>
          </w:p>
        </w:tc>
        <w:tc>
          <w:tcPr>
            <w:tcW w:w="1944" w:type="dxa"/>
            <w:shd w:val="clear" w:color="auto" w:fill="D9E2F3"/>
            <w:vAlign w:val="center"/>
          </w:tcPr>
          <w:p w14:paraId="407AAF68">
            <w:pPr>
              <w:spacing w:after="0"/>
            </w:pPr>
            <w:r>
              <w:rPr>
                <w:rFonts w:ascii="Times New Roman" w:hAnsi="Times New Roman"/>
                <w:b/>
                <w:sz w:val="17"/>
              </w:rPr>
              <w:t>Flows</w:t>
            </w:r>
          </w:p>
        </w:tc>
        <w:tc>
          <w:tcPr>
            <w:tcW w:w="1944" w:type="dxa"/>
            <w:shd w:val="clear" w:color="auto" w:fill="D9E2F3"/>
            <w:vAlign w:val="center"/>
          </w:tcPr>
          <w:p w14:paraId="08C44A7A">
            <w:pPr>
              <w:spacing w:after="0"/>
            </w:pPr>
            <w:r>
              <w:rPr>
                <w:rFonts w:ascii="Times New Roman" w:hAnsi="Times New Roman"/>
                <w:b/>
                <w:sz w:val="17"/>
              </w:rPr>
              <w:t>Temporal graphs</w:t>
            </w:r>
          </w:p>
        </w:tc>
        <w:tc>
          <w:tcPr>
            <w:tcW w:w="1800" w:type="dxa"/>
            <w:shd w:val="clear" w:color="auto" w:fill="D9E2F3"/>
            <w:vAlign w:val="center"/>
          </w:tcPr>
          <w:p w14:paraId="1F45DBAF">
            <w:pPr>
              <w:spacing w:after="0"/>
            </w:pPr>
            <w:r>
              <w:rPr>
                <w:rFonts w:ascii="Times New Roman" w:hAnsi="Times New Roman"/>
                <w:b/>
                <w:sz w:val="17"/>
              </w:rPr>
              <w:t>Static nodes</w:t>
            </w:r>
          </w:p>
        </w:tc>
        <w:tc>
          <w:tcPr>
            <w:tcW w:w="1944" w:type="dxa"/>
            <w:shd w:val="clear" w:color="auto" w:fill="D9E2F3"/>
            <w:vAlign w:val="center"/>
          </w:tcPr>
          <w:p w14:paraId="37982C21">
            <w:pPr>
              <w:spacing w:after="0"/>
            </w:pPr>
            <w:r>
              <w:rPr>
                <w:rFonts w:ascii="Times New Roman" w:hAnsi="Times New Roman"/>
                <w:b/>
                <w:sz w:val="17"/>
              </w:rPr>
              <w:t>Edges</w:t>
            </w:r>
          </w:p>
        </w:tc>
      </w:tr>
      <w:tr w14:paraId="7C309734">
        <w:trPr>
          <w:jc w:val="center"/>
        </w:trPr>
        <w:tc>
          <w:tcPr>
            <w:tcW w:w="1944" w:type="dxa"/>
            <w:vAlign w:val="center"/>
          </w:tcPr>
          <w:p w14:paraId="39BBB782">
            <w:pPr>
              <w:spacing w:after="0"/>
            </w:pPr>
            <w:r>
              <w:rPr>
                <w:rFonts w:ascii="Times New Roman" w:hAnsi="Times New Roman"/>
                <w:b w:val="0"/>
                <w:sz w:val="17"/>
              </w:rPr>
              <w:t>Train</w:t>
            </w:r>
          </w:p>
        </w:tc>
        <w:tc>
          <w:tcPr>
            <w:tcW w:w="1944" w:type="dxa"/>
            <w:vAlign w:val="center"/>
          </w:tcPr>
          <w:p w14:paraId="013F60CB">
            <w:pPr>
              <w:spacing w:after="0"/>
            </w:pPr>
            <w:r>
              <w:rPr>
                <w:rFonts w:ascii="Times New Roman" w:hAnsi="Times New Roman"/>
                <w:b w:val="0"/>
                <w:sz w:val="17"/>
              </w:rPr>
              <w:t>149,039</w:t>
            </w:r>
          </w:p>
        </w:tc>
        <w:tc>
          <w:tcPr>
            <w:tcW w:w="1944" w:type="dxa"/>
            <w:vAlign w:val="center"/>
          </w:tcPr>
          <w:p w14:paraId="17A2C76E">
            <w:pPr>
              <w:spacing w:after="0"/>
            </w:pPr>
            <w:r>
              <w:rPr>
                <w:rFonts w:ascii="Times New Roman" w:hAnsi="Times New Roman"/>
                <w:b w:val="0"/>
                <w:sz w:val="17"/>
              </w:rPr>
              <w:t>150</w:t>
            </w:r>
          </w:p>
        </w:tc>
        <w:tc>
          <w:tcPr>
            <w:tcW w:w="1800" w:type="dxa"/>
            <w:vAlign w:val="center"/>
          </w:tcPr>
          <w:p w14:paraId="19C218DC">
            <w:pPr>
              <w:spacing w:after="0"/>
            </w:pPr>
            <w:r>
              <w:rPr>
                <w:rFonts w:ascii="Times New Roman" w:hAnsi="Times New Roman"/>
                <w:b w:val="0"/>
                <w:sz w:val="17"/>
              </w:rPr>
              <w:t>178</w:t>
            </w:r>
          </w:p>
        </w:tc>
        <w:tc>
          <w:tcPr>
            <w:tcW w:w="1944" w:type="dxa"/>
            <w:vAlign w:val="center"/>
          </w:tcPr>
          <w:p w14:paraId="41350C77">
            <w:pPr>
              <w:spacing w:after="0"/>
            </w:pPr>
            <w:r>
              <w:rPr>
                <w:rFonts w:ascii="Times New Roman" w:hAnsi="Times New Roman"/>
                <w:b w:val="0"/>
                <w:sz w:val="17"/>
              </w:rPr>
              <w:t>298,078</w:t>
            </w:r>
          </w:p>
        </w:tc>
      </w:tr>
      <w:tr w14:paraId="776046D0">
        <w:trPr>
          <w:jc w:val="center"/>
        </w:trPr>
        <w:tc>
          <w:tcPr>
            <w:tcW w:w="1944" w:type="dxa"/>
            <w:vAlign w:val="center"/>
          </w:tcPr>
          <w:p w14:paraId="1B34E102">
            <w:pPr>
              <w:spacing w:after="0"/>
            </w:pPr>
            <w:r>
              <w:rPr>
                <w:rFonts w:ascii="Times New Roman" w:hAnsi="Times New Roman"/>
                <w:b w:val="0"/>
                <w:sz w:val="17"/>
              </w:rPr>
              <w:t>Validation</w:t>
            </w:r>
          </w:p>
        </w:tc>
        <w:tc>
          <w:tcPr>
            <w:tcW w:w="1944" w:type="dxa"/>
            <w:vAlign w:val="center"/>
          </w:tcPr>
          <w:p w14:paraId="65B448C8">
            <w:pPr>
              <w:spacing w:after="0"/>
            </w:pPr>
            <w:r>
              <w:rPr>
                <w:rFonts w:ascii="Times New Roman" w:hAnsi="Times New Roman"/>
                <w:b w:val="0"/>
                <w:sz w:val="17"/>
              </w:rPr>
              <w:t>26,302</w:t>
            </w:r>
          </w:p>
        </w:tc>
        <w:tc>
          <w:tcPr>
            <w:tcW w:w="1944" w:type="dxa"/>
            <w:vAlign w:val="center"/>
          </w:tcPr>
          <w:p w14:paraId="019B16C8">
            <w:pPr>
              <w:spacing w:after="0"/>
            </w:pPr>
            <w:r>
              <w:rPr>
                <w:rFonts w:ascii="Times New Roman" w:hAnsi="Times New Roman"/>
                <w:b w:val="0"/>
                <w:sz w:val="17"/>
              </w:rPr>
              <w:t>27</w:t>
            </w:r>
          </w:p>
        </w:tc>
        <w:tc>
          <w:tcPr>
            <w:tcW w:w="1800" w:type="dxa"/>
            <w:vAlign w:val="center"/>
          </w:tcPr>
          <w:p w14:paraId="50D5DFF8">
            <w:pPr>
              <w:spacing w:after="0"/>
            </w:pPr>
            <w:r>
              <w:rPr>
                <w:rFonts w:ascii="Times New Roman" w:hAnsi="Times New Roman"/>
                <w:b w:val="0"/>
                <w:sz w:val="17"/>
              </w:rPr>
              <w:t>174</w:t>
            </w:r>
          </w:p>
        </w:tc>
        <w:tc>
          <w:tcPr>
            <w:tcW w:w="1944" w:type="dxa"/>
            <w:vAlign w:val="center"/>
          </w:tcPr>
          <w:p w14:paraId="03BB7011">
            <w:pPr>
              <w:spacing w:after="0"/>
            </w:pPr>
            <w:r>
              <w:rPr>
                <w:rFonts w:ascii="Times New Roman" w:hAnsi="Times New Roman"/>
                <w:b w:val="0"/>
                <w:sz w:val="17"/>
              </w:rPr>
              <w:t>52,604</w:t>
            </w:r>
          </w:p>
        </w:tc>
      </w:tr>
      <w:tr w14:paraId="48C9AB1D">
        <w:trPr>
          <w:jc w:val="center"/>
        </w:trPr>
        <w:tc>
          <w:tcPr>
            <w:tcW w:w="1944" w:type="dxa"/>
            <w:vAlign w:val="center"/>
          </w:tcPr>
          <w:p w14:paraId="06259015">
            <w:pPr>
              <w:spacing w:after="0"/>
            </w:pPr>
            <w:r>
              <w:rPr>
                <w:rFonts w:ascii="Times New Roman" w:hAnsi="Times New Roman"/>
                <w:b w:val="0"/>
                <w:sz w:val="17"/>
              </w:rPr>
              <w:t>Official test</w:t>
            </w:r>
          </w:p>
        </w:tc>
        <w:tc>
          <w:tcPr>
            <w:tcW w:w="1944" w:type="dxa"/>
            <w:vAlign w:val="center"/>
          </w:tcPr>
          <w:p w14:paraId="1D0C3784">
            <w:pPr>
              <w:spacing w:after="0"/>
            </w:pPr>
            <w:r>
              <w:rPr>
                <w:rFonts w:ascii="Times New Roman" w:hAnsi="Times New Roman"/>
                <w:b w:val="0"/>
                <w:sz w:val="17"/>
              </w:rPr>
              <w:t>82,332</w:t>
            </w:r>
          </w:p>
        </w:tc>
        <w:tc>
          <w:tcPr>
            <w:tcW w:w="1944" w:type="dxa"/>
            <w:vAlign w:val="center"/>
          </w:tcPr>
          <w:p w14:paraId="17B15B36">
            <w:pPr>
              <w:spacing w:after="0"/>
            </w:pPr>
            <w:r>
              <w:rPr>
                <w:rFonts w:ascii="Times New Roman" w:hAnsi="Times New Roman"/>
                <w:b w:val="0"/>
                <w:sz w:val="17"/>
              </w:rPr>
              <w:t>83</w:t>
            </w:r>
          </w:p>
        </w:tc>
        <w:tc>
          <w:tcPr>
            <w:tcW w:w="1800" w:type="dxa"/>
            <w:vAlign w:val="center"/>
          </w:tcPr>
          <w:p w14:paraId="6EF57571">
            <w:pPr>
              <w:spacing w:after="0"/>
            </w:pPr>
            <w:r>
              <w:rPr>
                <w:rFonts w:ascii="Times New Roman" w:hAnsi="Times New Roman"/>
                <w:b w:val="0"/>
                <w:sz w:val="17"/>
              </w:rPr>
              <w:t>172</w:t>
            </w:r>
          </w:p>
        </w:tc>
        <w:tc>
          <w:tcPr>
            <w:tcW w:w="1944" w:type="dxa"/>
            <w:vAlign w:val="center"/>
          </w:tcPr>
          <w:p w14:paraId="601F6A7A">
            <w:pPr>
              <w:spacing w:after="0"/>
            </w:pPr>
            <w:r>
              <w:rPr>
                <w:rFonts w:ascii="Times New Roman" w:hAnsi="Times New Roman"/>
                <w:b w:val="0"/>
                <w:sz w:val="17"/>
              </w:rPr>
              <w:t>164,664</w:t>
            </w:r>
          </w:p>
        </w:tc>
      </w:tr>
    </w:tbl>
    <w:p w14:paraId="60DE4393">
      <w:pPr>
        <w:pStyle w:val="164"/>
        <w:jc w:val="center"/>
      </w:pPr>
      <w:r>
        <w:t>Table 2. Partitions and graph statistics used in the corrected experimental protocol.</w:t>
      </w:r>
    </w:p>
    <w:p w14:paraId="428B3D07">
      <w:pPr>
        <w:spacing w:after="0"/>
      </w:pPr>
    </w:p>
    <w:p w14:paraId="05F48B95">
      <w:pPr>
        <w:pStyle w:val="3"/>
      </w:pPr>
      <w:r>
        <w:t>3.2 Data Preprocessing</w:t>
      </w:r>
    </w:p>
    <w:p w14:paraId="0DAA4573">
      <w:r>
        <w:t>The training CSV is partitioned into 85% training and 15% validation flows using stratification by the binary flow label. Categorical variables are encoded and numerical variables are standardized using transformations fitted on training flows only; the fitted transformations are then applied to validation and official test data without refitting. This prevents the earlier preprocessing leakage in which information from non-training data could affect the learned transformations.</w:t>
      </w:r>
    </w:p>
    <w:p w14:paraId="0EE16B8A">
      <w:pPr>
        <w:pStyle w:val="3"/>
      </w:pPr>
      <w:r>
        <w:t>3.3 Graph Construction</w:t>
      </w:r>
    </w:p>
    <w:p w14:paraId="6AD1A2AB">
      <w:r>
        <w:t>The CSV representation does not expose source/destination IP addresses. Each flow therefore creates two pseudo-node identifiers. The source identifier is formed from protocol and service with a source-role suffix, while the destination identifier is formed from state and service with a destination-role suffix. Each flow creates a directed edge from the source pseudo-node to the destination pseudo-node.</w:t>
      </w:r>
    </w:p>
    <w:p w14:paraId="74098C02">
      <w:r>
        <w:t>This representation is intentionally described as a proxy graph. It does not recover the true communication topology. Distinct real hosts sharing the same categorical combination can collapse into the same pseudo-node, limiting both the semantic interpretation and the granularity of node-level predictions.</w:t>
      </w:r>
    </w:p>
    <w:p w14:paraId="58E047CD">
      <w:pPr>
        <w:pStyle w:val="3"/>
      </w:pPr>
      <w:r>
        <w:t>3.4 Node Features and Labels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93"/>
        <w:gridCol w:w="3293"/>
        <w:gridCol w:w="3293"/>
      </w:tblGrid>
      <w:tr w14:paraId="5DF592BA">
        <w:trPr>
          <w:jc w:val="center"/>
        </w:trPr>
        <w:tc>
          <w:tcPr>
            <w:tcW w:w="3293" w:type="dxa"/>
            <w:shd w:val="clear" w:color="auto" w:fill="D9E2F3"/>
            <w:vAlign w:val="center"/>
          </w:tcPr>
          <w:p w14:paraId="6EBC515E">
            <w:pPr>
              <w:spacing w:after="0"/>
            </w:pPr>
            <w:r>
              <w:rPr>
                <w:rFonts w:ascii="Times New Roman" w:hAnsi="Times New Roman"/>
                <w:b/>
                <w:sz w:val="17"/>
              </w:rPr>
              <w:t>Feature group</w:t>
            </w:r>
          </w:p>
        </w:tc>
        <w:tc>
          <w:tcPr>
            <w:tcW w:w="3293" w:type="dxa"/>
            <w:shd w:val="clear" w:color="auto" w:fill="D9E2F3"/>
            <w:vAlign w:val="center"/>
          </w:tcPr>
          <w:p w14:paraId="08263B27">
            <w:pPr>
              <w:spacing w:after="0"/>
            </w:pPr>
            <w:r>
              <w:rPr>
                <w:rFonts w:ascii="Times New Roman" w:hAnsi="Times New Roman"/>
                <w:b/>
                <w:sz w:val="17"/>
              </w:rPr>
              <w:t>Construction</w:t>
            </w:r>
          </w:p>
        </w:tc>
        <w:tc>
          <w:tcPr>
            <w:tcW w:w="3293" w:type="dxa"/>
            <w:shd w:val="clear" w:color="auto" w:fill="D9E2F3"/>
            <w:vAlign w:val="center"/>
          </w:tcPr>
          <w:p w14:paraId="645B5191">
            <w:pPr>
              <w:spacing w:after="0"/>
            </w:pPr>
            <w:r>
              <w:rPr>
                <w:rFonts w:ascii="Times New Roman" w:hAnsi="Times New Roman"/>
                <w:b/>
                <w:sz w:val="17"/>
              </w:rPr>
              <w:t>Dimension</w:t>
            </w:r>
          </w:p>
        </w:tc>
      </w:tr>
      <w:tr w14:paraId="598B0D2C">
        <w:trPr>
          <w:jc w:val="center"/>
        </w:trPr>
        <w:tc>
          <w:tcPr>
            <w:tcW w:w="3293" w:type="dxa"/>
            <w:vAlign w:val="center"/>
          </w:tcPr>
          <w:p w14:paraId="3B10D580">
            <w:pPr>
              <w:spacing w:after="0"/>
            </w:pPr>
            <w:r>
              <w:rPr>
                <w:rFonts w:ascii="Times New Roman" w:hAnsi="Times New Roman"/>
                <w:b w:val="0"/>
                <w:sz w:val="17"/>
              </w:rPr>
              <w:t>Source-side statistics</w:t>
            </w:r>
          </w:p>
        </w:tc>
        <w:tc>
          <w:tcPr>
            <w:tcW w:w="3293" w:type="dxa"/>
            <w:vAlign w:val="center"/>
          </w:tcPr>
          <w:p w14:paraId="420A8459">
            <w:pPr>
              <w:spacing w:after="0"/>
            </w:pPr>
            <w:r>
              <w:rPr>
                <w:rFonts w:ascii="Times New Roman" w:hAnsi="Times New Roman"/>
                <w:b w:val="0"/>
                <w:sz w:val="17"/>
              </w:rPr>
              <w:t>Means of bytes, packets, load, duration, TTL, and loss variables</w:t>
            </w:r>
          </w:p>
        </w:tc>
        <w:tc>
          <w:tcPr>
            <w:tcW w:w="3293" w:type="dxa"/>
            <w:vAlign w:val="center"/>
          </w:tcPr>
          <w:p w14:paraId="111851E5">
            <w:pPr>
              <w:spacing w:after="0"/>
            </w:pPr>
            <w:r>
              <w:rPr>
                <w:rFonts w:ascii="Times New Roman" w:hAnsi="Times New Roman"/>
                <w:b w:val="0"/>
                <w:sz w:val="17"/>
              </w:rPr>
              <w:t>11</w:t>
            </w:r>
          </w:p>
        </w:tc>
      </w:tr>
      <w:tr w14:paraId="7F3C0A82">
        <w:trPr>
          <w:jc w:val="center"/>
        </w:trPr>
        <w:tc>
          <w:tcPr>
            <w:tcW w:w="3293" w:type="dxa"/>
            <w:vAlign w:val="center"/>
          </w:tcPr>
          <w:p w14:paraId="1754CA95">
            <w:pPr>
              <w:spacing w:after="0"/>
            </w:pPr>
            <w:r>
              <w:rPr>
                <w:rFonts w:ascii="Times New Roman" w:hAnsi="Times New Roman"/>
                <w:b w:val="0"/>
                <w:sz w:val="17"/>
              </w:rPr>
              <w:t>Destination-side statistics</w:t>
            </w:r>
          </w:p>
        </w:tc>
        <w:tc>
          <w:tcPr>
            <w:tcW w:w="3293" w:type="dxa"/>
            <w:vAlign w:val="center"/>
          </w:tcPr>
          <w:p w14:paraId="0C43EB05">
            <w:pPr>
              <w:spacing w:after="0"/>
            </w:pPr>
            <w:r>
              <w:rPr>
                <w:rFonts w:ascii="Times New Roman" w:hAnsi="Times New Roman"/>
                <w:b w:val="0"/>
                <w:sz w:val="17"/>
              </w:rPr>
              <w:t>Corresponding destination-side means</w:t>
            </w:r>
          </w:p>
        </w:tc>
        <w:tc>
          <w:tcPr>
            <w:tcW w:w="3293" w:type="dxa"/>
            <w:vAlign w:val="center"/>
          </w:tcPr>
          <w:p w14:paraId="3C1BB14E">
            <w:pPr>
              <w:spacing w:after="0"/>
            </w:pPr>
            <w:r>
              <w:rPr>
                <w:rFonts w:ascii="Times New Roman" w:hAnsi="Times New Roman"/>
                <w:b w:val="0"/>
                <w:sz w:val="17"/>
              </w:rPr>
              <w:t>11</w:t>
            </w:r>
          </w:p>
        </w:tc>
      </w:tr>
      <w:tr w14:paraId="0A0E6F77">
        <w:trPr>
          <w:jc w:val="center"/>
        </w:trPr>
        <w:tc>
          <w:tcPr>
            <w:tcW w:w="3293" w:type="dxa"/>
            <w:vAlign w:val="center"/>
          </w:tcPr>
          <w:p w14:paraId="4F31B5C6">
            <w:pPr>
              <w:spacing w:after="0"/>
            </w:pPr>
            <w:r>
              <w:rPr>
                <w:rFonts w:ascii="Times New Roman" w:hAnsi="Times New Roman"/>
                <w:b w:val="0"/>
                <w:sz w:val="17"/>
              </w:rPr>
              <w:t>Source categorical modes</w:t>
            </w:r>
          </w:p>
        </w:tc>
        <w:tc>
          <w:tcPr>
            <w:tcW w:w="3293" w:type="dxa"/>
            <w:vAlign w:val="center"/>
          </w:tcPr>
          <w:p w14:paraId="632B3363">
            <w:pPr>
              <w:spacing w:after="0"/>
            </w:pPr>
            <w:r>
              <w:rPr>
                <w:rFonts w:ascii="Times New Roman" w:hAnsi="Times New Roman"/>
                <w:b w:val="0"/>
                <w:sz w:val="17"/>
              </w:rPr>
              <w:t>Protocol, state, service</w:t>
            </w:r>
          </w:p>
        </w:tc>
        <w:tc>
          <w:tcPr>
            <w:tcW w:w="3293" w:type="dxa"/>
            <w:vAlign w:val="center"/>
          </w:tcPr>
          <w:p w14:paraId="7D06C6C9">
            <w:pPr>
              <w:spacing w:after="0"/>
            </w:pPr>
            <w:r>
              <w:rPr>
                <w:rFonts w:ascii="Times New Roman" w:hAnsi="Times New Roman"/>
                <w:b w:val="0"/>
                <w:sz w:val="17"/>
              </w:rPr>
              <w:t>3</w:t>
            </w:r>
          </w:p>
        </w:tc>
      </w:tr>
      <w:tr w14:paraId="3F900EB1">
        <w:trPr>
          <w:jc w:val="center"/>
        </w:trPr>
        <w:tc>
          <w:tcPr>
            <w:tcW w:w="3293" w:type="dxa"/>
            <w:vAlign w:val="center"/>
          </w:tcPr>
          <w:p w14:paraId="29BAC1CF">
            <w:pPr>
              <w:spacing w:after="0"/>
            </w:pPr>
            <w:r>
              <w:rPr>
                <w:rFonts w:ascii="Times New Roman" w:hAnsi="Times New Roman"/>
                <w:b w:val="0"/>
                <w:sz w:val="17"/>
              </w:rPr>
              <w:t>Destination categorical modes</w:t>
            </w:r>
          </w:p>
        </w:tc>
        <w:tc>
          <w:tcPr>
            <w:tcW w:w="3293" w:type="dxa"/>
            <w:vAlign w:val="center"/>
          </w:tcPr>
          <w:p w14:paraId="7E92C9D0">
            <w:pPr>
              <w:spacing w:after="0"/>
            </w:pPr>
            <w:r>
              <w:rPr>
                <w:rFonts w:ascii="Times New Roman" w:hAnsi="Times New Roman"/>
                <w:b w:val="0"/>
                <w:sz w:val="17"/>
              </w:rPr>
              <w:t>Protocol, state, service</w:t>
            </w:r>
          </w:p>
        </w:tc>
        <w:tc>
          <w:tcPr>
            <w:tcW w:w="3293" w:type="dxa"/>
            <w:vAlign w:val="center"/>
          </w:tcPr>
          <w:p w14:paraId="7AA394F0">
            <w:pPr>
              <w:spacing w:after="0"/>
            </w:pPr>
            <w:r>
              <w:rPr>
                <w:rFonts w:ascii="Times New Roman" w:hAnsi="Times New Roman"/>
                <w:b w:val="0"/>
                <w:sz w:val="17"/>
              </w:rPr>
              <w:t>3</w:t>
            </w:r>
          </w:p>
        </w:tc>
      </w:tr>
      <w:tr w14:paraId="2FD475C7">
        <w:trPr>
          <w:jc w:val="center"/>
        </w:trPr>
        <w:tc>
          <w:tcPr>
            <w:tcW w:w="3293" w:type="dxa"/>
            <w:vAlign w:val="center"/>
          </w:tcPr>
          <w:p w14:paraId="2662C7F0">
            <w:pPr>
              <w:spacing w:after="0"/>
            </w:pPr>
            <w:r>
              <w:rPr>
                <w:rFonts w:ascii="Times New Roman" w:hAnsi="Times New Roman"/>
                <w:b w:val="0"/>
                <w:sz w:val="17"/>
              </w:rPr>
              <w:t>Total</w:t>
            </w:r>
          </w:p>
        </w:tc>
        <w:tc>
          <w:tcPr>
            <w:tcW w:w="3293" w:type="dxa"/>
            <w:vAlign w:val="center"/>
          </w:tcPr>
          <w:p w14:paraId="41684C59">
            <w:pPr>
              <w:spacing w:after="0"/>
            </w:pPr>
            <w:r>
              <w:rPr>
                <w:rFonts w:ascii="Times New Roman" w:hAnsi="Times New Roman"/>
                <w:b w:val="0"/>
                <w:sz w:val="17"/>
              </w:rPr>
              <w:t>Aggregated node representation</w:t>
            </w:r>
          </w:p>
        </w:tc>
        <w:tc>
          <w:tcPr>
            <w:tcW w:w="3293" w:type="dxa"/>
            <w:vAlign w:val="center"/>
          </w:tcPr>
          <w:p w14:paraId="076F0FCC">
            <w:pPr>
              <w:spacing w:after="0"/>
            </w:pPr>
            <w:r>
              <w:rPr>
                <w:rFonts w:ascii="Times New Roman" w:hAnsi="Times New Roman"/>
                <w:b w:val="0"/>
                <w:sz w:val="17"/>
              </w:rPr>
              <w:t>28</w:t>
            </w:r>
          </w:p>
        </w:tc>
      </w:tr>
    </w:tbl>
    <w:p w14:paraId="2BBF0B56">
      <w:pPr>
        <w:pStyle w:val="164"/>
        <w:jc w:val="center"/>
      </w:pPr>
      <w:r>
        <w:t>Table 3. Node-feature composition.</w:t>
      </w:r>
    </w:p>
    <w:p w14:paraId="1487B9DF">
      <w:pPr>
        <w:spacing w:after="0"/>
      </w:pPr>
    </w:p>
    <w:p w14:paraId="0085F445">
      <w:r>
        <w:t>A node is labeled as an attack node when at least one incident source-side or destination-side flow is labeled as an attack. This rule is simple and reproducible but can over-label a node if only a single incident flow is malicious.</w:t>
      </w:r>
    </w:p>
    <w:p w14:paraId="626AFEE1">
      <w:pPr>
        <w:pStyle w:val="3"/>
      </w:pPr>
      <w:r>
        <w:t>3.5 Temporal Graph Sequences</w:t>
      </w:r>
    </w:p>
    <w:p w14:paraId="43E0D123">
      <w:r>
        <w:t>Because a suitable timestamp is not available in the supplied CSV representation, flows are ordered by their original row order and partitioned into consecutive windows of 1,000 flows. Each window forms a graph snapshot G_t = (V_t, E_t, X_t, y_t). Five consecutive snapshots are grouped into a sequence for ST-GraphAD. The row-order construction is a methodological approximation and should not be interpreted as real elapsed time.</w:t>
      </w:r>
    </w:p>
    <w:p w14:paraId="6F1AB860">
      <w:pPr>
        <w:pStyle w:val="3"/>
      </w:pPr>
      <w:r>
        <w:t>3.6 Problem Definition</w:t>
      </w:r>
    </w:p>
    <w:p w14:paraId="72CCC555">
      <w:pPr>
        <w:jc w:val="center"/>
      </w:pPr>
      <w:r>
        <w:rPr>
          <w:b/>
        </w:rPr>
        <w:t>Given S = [G_{t-4}, G_{t-3}, G_{t-2}, G_{t-1}, G_t], estimate ŷ_t ∈ [0,1]^{|V_t|}, where larger values indicate greater probability of malicious participation.</w:t>
      </w:r>
    </w:p>
    <w:p w14:paraId="566DE51A">
      <w:pPr>
        <w:pStyle w:val="2"/>
      </w:pPr>
      <w:r>
        <w:t>4. ST-GraphAD Framework</w:t>
      </w:r>
    </w:p>
    <w:p w14:paraId="63294264">
      <w:pPr>
        <w:pStyle w:val="3"/>
      </w:pPr>
      <w:r>
        <w:t>4.1 Architecture</w:t>
      </w:r>
    </w:p>
    <w:p w14:paraId="5C6D99E1">
      <w:r>
        <w:t>ST-GraphAD contains a shared spatial encoder, a temporal attention encoder, and node/graph classification heads. The spatial encoder processes each graph independently, while the temporal module combines the sequence of spatial embeddings. The final temporally enriched embedding of the latest window is used for node-level detection.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9"/>
        <w:gridCol w:w="4939"/>
      </w:tblGrid>
      <w:tr w14:paraId="2ECE93E3">
        <w:trPr>
          <w:jc w:val="center"/>
        </w:trPr>
        <w:tc>
          <w:tcPr>
            <w:tcW w:w="4939" w:type="dxa"/>
            <w:shd w:val="clear" w:color="auto" w:fill="D9E2F3"/>
            <w:vAlign w:val="center"/>
          </w:tcPr>
          <w:p w14:paraId="734D3581">
            <w:pPr>
              <w:spacing w:after="0"/>
            </w:pPr>
            <w:r>
              <w:rPr>
                <w:rFonts w:ascii="Times New Roman" w:hAnsi="Times New Roman"/>
                <w:b/>
                <w:sz w:val="17"/>
              </w:rPr>
              <w:t>Component</w:t>
            </w:r>
          </w:p>
        </w:tc>
        <w:tc>
          <w:tcPr>
            <w:tcW w:w="4939" w:type="dxa"/>
            <w:shd w:val="clear" w:color="auto" w:fill="D9E2F3"/>
            <w:vAlign w:val="center"/>
          </w:tcPr>
          <w:p w14:paraId="706511AC">
            <w:pPr>
              <w:spacing w:after="0"/>
            </w:pPr>
            <w:r>
              <w:rPr>
                <w:rFonts w:ascii="Times New Roman" w:hAnsi="Times New Roman"/>
                <w:b/>
                <w:sz w:val="17"/>
              </w:rPr>
              <w:t>Configuration</w:t>
            </w:r>
          </w:p>
        </w:tc>
      </w:tr>
      <w:tr w14:paraId="240C53A0">
        <w:trPr>
          <w:jc w:val="center"/>
        </w:trPr>
        <w:tc>
          <w:tcPr>
            <w:tcW w:w="4939" w:type="dxa"/>
            <w:vAlign w:val="center"/>
          </w:tcPr>
          <w:p w14:paraId="023A0B4C">
            <w:pPr>
              <w:spacing w:after="0"/>
            </w:pPr>
            <w:r>
              <w:rPr>
                <w:rFonts w:ascii="Times New Roman" w:hAnsi="Times New Roman"/>
                <w:b w:val="0"/>
                <w:sz w:val="17"/>
              </w:rPr>
              <w:t>Spatial encoder</w:t>
            </w:r>
          </w:p>
        </w:tc>
        <w:tc>
          <w:tcPr>
            <w:tcW w:w="4939" w:type="dxa"/>
            <w:vAlign w:val="center"/>
          </w:tcPr>
          <w:p w14:paraId="080D1F3F">
            <w:pPr>
              <w:spacing w:after="0"/>
            </w:pPr>
            <w:r>
              <w:rPr>
                <w:rFonts w:ascii="Times New Roman" w:hAnsi="Times New Roman"/>
                <w:b w:val="0"/>
                <w:sz w:val="17"/>
              </w:rPr>
              <w:t>3-layer GCN; hidden dimension 128</w:t>
            </w:r>
          </w:p>
        </w:tc>
      </w:tr>
      <w:tr w14:paraId="372D9036">
        <w:trPr>
          <w:jc w:val="center"/>
        </w:trPr>
        <w:tc>
          <w:tcPr>
            <w:tcW w:w="4939" w:type="dxa"/>
            <w:vAlign w:val="center"/>
          </w:tcPr>
          <w:p w14:paraId="61142A1F">
            <w:pPr>
              <w:spacing w:after="0"/>
            </w:pPr>
            <w:r>
              <w:rPr>
                <w:rFonts w:ascii="Times New Roman" w:hAnsi="Times New Roman"/>
                <w:b w:val="0"/>
                <w:sz w:val="17"/>
              </w:rPr>
              <w:t>Temporal encoder</w:t>
            </w:r>
          </w:p>
        </w:tc>
        <w:tc>
          <w:tcPr>
            <w:tcW w:w="4939" w:type="dxa"/>
            <w:vAlign w:val="center"/>
          </w:tcPr>
          <w:p w14:paraId="7DA636DF">
            <w:pPr>
              <w:spacing w:after="0"/>
            </w:pPr>
            <w:r>
              <w:rPr>
                <w:rFonts w:ascii="Times New Roman" w:hAnsi="Times New Roman"/>
                <w:b w:val="0"/>
                <w:sz w:val="17"/>
              </w:rPr>
              <w:t>2-layer multi-head self-attention; 4 heads</w:t>
            </w:r>
          </w:p>
        </w:tc>
      </w:tr>
      <w:tr w14:paraId="761211DA">
        <w:trPr>
          <w:jc w:val="center"/>
        </w:trPr>
        <w:tc>
          <w:tcPr>
            <w:tcW w:w="4939" w:type="dxa"/>
            <w:vAlign w:val="center"/>
          </w:tcPr>
          <w:p w14:paraId="1F114AFF">
            <w:pPr>
              <w:spacing w:after="0"/>
            </w:pPr>
            <w:r>
              <w:rPr>
                <w:rFonts w:ascii="Times New Roman" w:hAnsi="Times New Roman"/>
                <w:b w:val="0"/>
                <w:sz w:val="17"/>
              </w:rPr>
              <w:t>Temporal context</w:t>
            </w:r>
          </w:p>
        </w:tc>
        <w:tc>
          <w:tcPr>
            <w:tcW w:w="4939" w:type="dxa"/>
            <w:vAlign w:val="center"/>
          </w:tcPr>
          <w:p w14:paraId="387C7A0B">
            <w:pPr>
              <w:spacing w:after="0"/>
            </w:pPr>
            <w:r>
              <w:rPr>
                <w:rFonts w:ascii="Times New Roman" w:hAnsi="Times New Roman"/>
                <w:b w:val="0"/>
                <w:sz w:val="17"/>
              </w:rPr>
              <w:t>5 consecutive graph snapshots</w:t>
            </w:r>
          </w:p>
        </w:tc>
      </w:tr>
      <w:tr w14:paraId="767BE57B">
        <w:trPr>
          <w:jc w:val="center"/>
        </w:trPr>
        <w:tc>
          <w:tcPr>
            <w:tcW w:w="4939" w:type="dxa"/>
            <w:vAlign w:val="center"/>
          </w:tcPr>
          <w:p w14:paraId="5CDE610A">
            <w:pPr>
              <w:spacing w:after="0"/>
            </w:pPr>
            <w:r>
              <w:rPr>
                <w:rFonts w:ascii="Times New Roman" w:hAnsi="Times New Roman"/>
                <w:b w:val="0"/>
                <w:sz w:val="17"/>
              </w:rPr>
              <w:t>Positional encoding</w:t>
            </w:r>
          </w:p>
        </w:tc>
        <w:tc>
          <w:tcPr>
            <w:tcW w:w="4939" w:type="dxa"/>
            <w:vAlign w:val="center"/>
          </w:tcPr>
          <w:p w14:paraId="2C6443D2">
            <w:pPr>
              <w:spacing w:after="0"/>
            </w:pPr>
            <w:r>
              <w:rPr>
                <w:rFonts w:ascii="Times New Roman" w:hAnsi="Times New Roman"/>
                <w:b w:val="0"/>
                <w:sz w:val="17"/>
              </w:rPr>
              <w:t>Sinusoidal</w:t>
            </w:r>
          </w:p>
        </w:tc>
      </w:tr>
      <w:tr w14:paraId="131B1E38">
        <w:trPr>
          <w:jc w:val="center"/>
        </w:trPr>
        <w:tc>
          <w:tcPr>
            <w:tcW w:w="4939" w:type="dxa"/>
            <w:vAlign w:val="center"/>
          </w:tcPr>
          <w:p w14:paraId="314583F0">
            <w:pPr>
              <w:spacing w:after="0"/>
            </w:pPr>
            <w:r>
              <w:rPr>
                <w:rFonts w:ascii="Times New Roman" w:hAnsi="Times New Roman"/>
                <w:b w:val="0"/>
                <w:sz w:val="17"/>
              </w:rPr>
              <w:t>Node head</w:t>
            </w:r>
          </w:p>
        </w:tc>
        <w:tc>
          <w:tcPr>
            <w:tcW w:w="4939" w:type="dxa"/>
            <w:vAlign w:val="center"/>
          </w:tcPr>
          <w:p w14:paraId="192BCB04">
            <w:pPr>
              <w:spacing w:after="0"/>
            </w:pPr>
            <w:r>
              <w:rPr>
                <w:rFonts w:ascii="Times New Roman" w:hAnsi="Times New Roman"/>
                <w:b w:val="0"/>
                <w:sz w:val="17"/>
              </w:rPr>
              <w:t>128 → 64 → 2</w:t>
            </w:r>
          </w:p>
        </w:tc>
      </w:tr>
      <w:tr w14:paraId="17C577CC">
        <w:trPr>
          <w:jc w:val="center"/>
        </w:trPr>
        <w:tc>
          <w:tcPr>
            <w:tcW w:w="4939" w:type="dxa"/>
            <w:vAlign w:val="center"/>
          </w:tcPr>
          <w:p w14:paraId="4140CBB6">
            <w:pPr>
              <w:spacing w:after="0"/>
            </w:pPr>
            <w:r>
              <w:rPr>
                <w:rFonts w:ascii="Times New Roman" w:hAnsi="Times New Roman"/>
                <w:b w:val="0"/>
                <w:sz w:val="17"/>
              </w:rPr>
              <w:t>Graph head</w:t>
            </w:r>
          </w:p>
        </w:tc>
        <w:tc>
          <w:tcPr>
            <w:tcW w:w="4939" w:type="dxa"/>
            <w:vAlign w:val="center"/>
          </w:tcPr>
          <w:p w14:paraId="2682AE90">
            <w:pPr>
              <w:spacing w:after="0"/>
            </w:pPr>
            <w:r>
              <w:rPr>
                <w:rFonts w:ascii="Times New Roman" w:hAnsi="Times New Roman"/>
                <w:b w:val="0"/>
                <w:sz w:val="17"/>
              </w:rPr>
              <w:t>Mean pooling → 64 → 2</w:t>
            </w:r>
          </w:p>
        </w:tc>
      </w:tr>
      <w:tr w14:paraId="2CD260FB">
        <w:trPr>
          <w:jc w:val="center"/>
        </w:trPr>
        <w:tc>
          <w:tcPr>
            <w:tcW w:w="4939" w:type="dxa"/>
            <w:vAlign w:val="center"/>
          </w:tcPr>
          <w:p w14:paraId="70B33D33">
            <w:pPr>
              <w:spacing w:after="0"/>
            </w:pPr>
            <w:r>
              <w:rPr>
                <w:rFonts w:ascii="Times New Roman" w:hAnsi="Times New Roman"/>
                <w:b w:val="0"/>
                <w:sz w:val="17"/>
              </w:rPr>
              <w:t>Dropout</w:t>
            </w:r>
          </w:p>
        </w:tc>
        <w:tc>
          <w:tcPr>
            <w:tcW w:w="4939" w:type="dxa"/>
            <w:vAlign w:val="center"/>
          </w:tcPr>
          <w:p w14:paraId="0A079F6F">
            <w:pPr>
              <w:spacing w:after="0"/>
            </w:pPr>
            <w:r>
              <w:rPr>
                <w:rFonts w:ascii="Times New Roman" w:hAnsi="Times New Roman"/>
                <w:b w:val="0"/>
                <w:sz w:val="17"/>
              </w:rPr>
              <w:t>0.5</w:t>
            </w:r>
          </w:p>
        </w:tc>
      </w:tr>
    </w:tbl>
    <w:p w14:paraId="4F13CF7C">
      <w:pPr>
        <w:pStyle w:val="164"/>
        <w:jc w:val="center"/>
      </w:pPr>
      <w:r>
        <w:t>Table 4. ST-GraphAD architecture configuration.</w:t>
      </w:r>
    </w:p>
    <w:p w14:paraId="28FBF788">
      <w:pPr>
        <w:spacing w:after="0"/>
      </w:pPr>
    </w:p>
    <w:p w14:paraId="41087319">
      <w:pPr>
        <w:pStyle w:val="3"/>
      </w:pPr>
      <w:r>
        <w:t>4.2 Spatial Encoder</w:t>
      </w:r>
    </w:p>
    <w:p w14:paraId="011417F1">
      <w:pPr>
        <w:jc w:val="center"/>
      </w:pPr>
      <w:r>
        <w:rPr>
          <w:b/>
        </w:rPr>
        <w:t>H^(l+1) = σ(D~^(-1/2) A~ D~^(-1/2) H^(l) W^(l))</w:t>
      </w:r>
    </w:p>
    <w:p w14:paraId="7C6785A0">
      <w:r>
        <w:t>Here A~ = A + I includes self-loops and D~ is its degree matrix. ReLU is used as the nonlinear activation, with batch normalization and dropout between GCN layers. The final spatial representation has dimension 128.</w:t>
      </w:r>
    </w:p>
    <w:p w14:paraId="0228357A">
      <w:pPr>
        <w:pStyle w:val="3"/>
      </w:pPr>
      <w:r>
        <w:t>4.3 Temporal Attention</w:t>
      </w:r>
    </w:p>
    <w:p w14:paraId="1008AC9A">
      <w:r>
        <w:t>The node embeddings from the five snapshots are padded to a common node dimension and accompanied by a validity mask. Sinusoidal positional encoding supplies temporal order. Multi-head self-attention then produces temporally contextualized embeddings using standard scaled dot-product attention:</w:t>
      </w:r>
    </w:p>
    <w:p w14:paraId="480C8262">
      <w:pPr>
        <w:jc w:val="center"/>
      </w:pPr>
      <w:r>
        <w:rPr>
          <w:b/>
        </w:rPr>
        <w:t>Attention(Q,K,V) = softmax(QK^T / √d_k)V</w:t>
      </w:r>
    </w:p>
    <w:p w14:paraId="4A7AF314">
      <w:r>
        <w:t>Two attention blocks use residual connections and layer normalization. Only valid nodes from the final snapshot are passed to the node classifier.</w:t>
      </w:r>
    </w:p>
    <w:p w14:paraId="2B5A3359">
      <w:pPr>
        <w:pStyle w:val="3"/>
      </w:pPr>
      <w:r>
        <w:t>4.4 Objective and Training</w:t>
      </w:r>
    </w:p>
    <w:p w14:paraId="4EE9164B">
      <w:pPr>
        <w:jc w:val="center"/>
      </w:pPr>
      <w:r>
        <w:rPr>
          <w:b/>
        </w:rPr>
        <w:t>L = L_graph + λ L_node,   λ = 0.5</w:t>
      </w:r>
    </w:p>
    <w:p w14:paraId="1387EA22">
      <w:r>
        <w:t>The reported training objective combines graph-level and node-level cross-entropy. Importantly, graph-level AUC is not used for model selection. ReduceLROnPlateau and early stopping operate on validation node-level AUC-ROC.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9"/>
        <w:gridCol w:w="4939"/>
      </w:tblGrid>
      <w:tr w14:paraId="79DD638B">
        <w:trPr>
          <w:jc w:val="center"/>
        </w:trPr>
        <w:tc>
          <w:tcPr>
            <w:tcW w:w="4939" w:type="dxa"/>
            <w:shd w:val="clear" w:color="auto" w:fill="D9E2F3"/>
            <w:vAlign w:val="center"/>
          </w:tcPr>
          <w:p w14:paraId="7058BAE2">
            <w:pPr>
              <w:spacing w:after="0"/>
            </w:pPr>
            <w:r>
              <w:rPr>
                <w:rFonts w:ascii="Times New Roman" w:hAnsi="Times New Roman"/>
                <w:b/>
                <w:sz w:val="17"/>
              </w:rPr>
              <w:t>Hyperparameter</w:t>
            </w:r>
          </w:p>
        </w:tc>
        <w:tc>
          <w:tcPr>
            <w:tcW w:w="4939" w:type="dxa"/>
            <w:shd w:val="clear" w:color="auto" w:fill="D9E2F3"/>
            <w:vAlign w:val="center"/>
          </w:tcPr>
          <w:p w14:paraId="0A5AFDE7">
            <w:pPr>
              <w:spacing w:after="0"/>
            </w:pPr>
            <w:r>
              <w:rPr>
                <w:rFonts w:ascii="Times New Roman" w:hAnsi="Times New Roman"/>
                <w:b/>
                <w:sz w:val="17"/>
              </w:rPr>
              <w:t>Value</w:t>
            </w:r>
          </w:p>
        </w:tc>
      </w:tr>
      <w:tr w14:paraId="3C99AF99">
        <w:trPr>
          <w:jc w:val="center"/>
        </w:trPr>
        <w:tc>
          <w:tcPr>
            <w:tcW w:w="4939" w:type="dxa"/>
            <w:vAlign w:val="center"/>
          </w:tcPr>
          <w:p w14:paraId="6EA654D9">
            <w:pPr>
              <w:spacing w:after="0"/>
            </w:pPr>
            <w:r>
              <w:rPr>
                <w:rFonts w:ascii="Times New Roman" w:hAnsi="Times New Roman"/>
                <w:b w:val="0"/>
                <w:sz w:val="17"/>
              </w:rPr>
              <w:t>Optimizer</w:t>
            </w:r>
          </w:p>
        </w:tc>
        <w:tc>
          <w:tcPr>
            <w:tcW w:w="4939" w:type="dxa"/>
            <w:vAlign w:val="center"/>
          </w:tcPr>
          <w:p w14:paraId="13FC12C9">
            <w:pPr>
              <w:spacing w:after="0"/>
            </w:pPr>
            <w:r>
              <w:rPr>
                <w:rFonts w:ascii="Times New Roman" w:hAnsi="Times New Roman"/>
                <w:b w:val="0"/>
                <w:sz w:val="17"/>
              </w:rPr>
              <w:t>Adam</w:t>
            </w:r>
          </w:p>
        </w:tc>
      </w:tr>
      <w:tr w14:paraId="1A8D4441">
        <w:trPr>
          <w:jc w:val="center"/>
        </w:trPr>
        <w:tc>
          <w:tcPr>
            <w:tcW w:w="4939" w:type="dxa"/>
            <w:vAlign w:val="center"/>
          </w:tcPr>
          <w:p w14:paraId="36F593CB">
            <w:pPr>
              <w:spacing w:after="0"/>
            </w:pPr>
            <w:r>
              <w:rPr>
                <w:rFonts w:ascii="Times New Roman" w:hAnsi="Times New Roman"/>
                <w:b w:val="0"/>
                <w:sz w:val="17"/>
              </w:rPr>
              <w:t>Learning rate</w:t>
            </w:r>
          </w:p>
        </w:tc>
        <w:tc>
          <w:tcPr>
            <w:tcW w:w="4939" w:type="dxa"/>
            <w:vAlign w:val="center"/>
          </w:tcPr>
          <w:p w14:paraId="6D2D8375">
            <w:pPr>
              <w:spacing w:after="0"/>
            </w:pPr>
            <w:r>
              <w:rPr>
                <w:rFonts w:ascii="Times New Roman" w:hAnsi="Times New Roman"/>
                <w:b w:val="0"/>
                <w:sz w:val="17"/>
              </w:rPr>
              <w:t>1 × 10^-3</w:t>
            </w:r>
          </w:p>
        </w:tc>
      </w:tr>
      <w:tr w14:paraId="25992A09">
        <w:trPr>
          <w:jc w:val="center"/>
        </w:trPr>
        <w:tc>
          <w:tcPr>
            <w:tcW w:w="4939" w:type="dxa"/>
            <w:vAlign w:val="center"/>
          </w:tcPr>
          <w:p w14:paraId="2155D995">
            <w:pPr>
              <w:spacing w:after="0"/>
            </w:pPr>
            <w:r>
              <w:rPr>
                <w:rFonts w:ascii="Times New Roman" w:hAnsi="Times New Roman"/>
                <w:b w:val="0"/>
                <w:sz w:val="17"/>
              </w:rPr>
              <w:t>Weight decay</w:t>
            </w:r>
          </w:p>
        </w:tc>
        <w:tc>
          <w:tcPr>
            <w:tcW w:w="4939" w:type="dxa"/>
            <w:vAlign w:val="center"/>
          </w:tcPr>
          <w:p w14:paraId="52ABC3DC">
            <w:pPr>
              <w:spacing w:after="0"/>
            </w:pPr>
            <w:r>
              <w:rPr>
                <w:rFonts w:ascii="Times New Roman" w:hAnsi="Times New Roman"/>
                <w:b w:val="0"/>
                <w:sz w:val="17"/>
              </w:rPr>
              <w:t>5 × 10^-4</w:t>
            </w:r>
          </w:p>
        </w:tc>
      </w:tr>
      <w:tr w14:paraId="3C132E7C">
        <w:trPr>
          <w:jc w:val="center"/>
        </w:trPr>
        <w:tc>
          <w:tcPr>
            <w:tcW w:w="4939" w:type="dxa"/>
            <w:vAlign w:val="center"/>
          </w:tcPr>
          <w:p w14:paraId="44833218">
            <w:pPr>
              <w:spacing w:after="0"/>
            </w:pPr>
            <w:r>
              <w:rPr>
                <w:rFonts w:ascii="Times New Roman" w:hAnsi="Times New Roman"/>
                <w:b w:val="0"/>
                <w:sz w:val="17"/>
              </w:rPr>
              <w:t>Maximum epochs</w:t>
            </w:r>
          </w:p>
        </w:tc>
        <w:tc>
          <w:tcPr>
            <w:tcW w:w="4939" w:type="dxa"/>
            <w:vAlign w:val="center"/>
          </w:tcPr>
          <w:p w14:paraId="04281C18">
            <w:pPr>
              <w:spacing w:after="0"/>
            </w:pPr>
            <w:r>
              <w:rPr>
                <w:rFonts w:ascii="Times New Roman" w:hAnsi="Times New Roman"/>
                <w:b w:val="0"/>
                <w:sz w:val="17"/>
              </w:rPr>
              <w:t>200</w:t>
            </w:r>
          </w:p>
        </w:tc>
      </w:tr>
      <w:tr w14:paraId="40DAB592">
        <w:trPr>
          <w:jc w:val="center"/>
        </w:trPr>
        <w:tc>
          <w:tcPr>
            <w:tcW w:w="4939" w:type="dxa"/>
            <w:vAlign w:val="center"/>
          </w:tcPr>
          <w:p w14:paraId="258F4776">
            <w:pPr>
              <w:spacing w:after="0"/>
            </w:pPr>
            <w:r>
              <w:rPr>
                <w:rFonts w:ascii="Times New Roman" w:hAnsi="Times New Roman"/>
                <w:b w:val="0"/>
                <w:sz w:val="17"/>
              </w:rPr>
              <w:t>Early stopping patience</w:t>
            </w:r>
          </w:p>
        </w:tc>
        <w:tc>
          <w:tcPr>
            <w:tcW w:w="4939" w:type="dxa"/>
            <w:vAlign w:val="center"/>
          </w:tcPr>
          <w:p w14:paraId="00D13CD6">
            <w:pPr>
              <w:spacing w:after="0"/>
            </w:pPr>
            <w:r>
              <w:rPr>
                <w:rFonts w:ascii="Times New Roman" w:hAnsi="Times New Roman"/>
                <w:b w:val="0"/>
                <w:sz w:val="17"/>
              </w:rPr>
              <w:t>20</w:t>
            </w:r>
          </w:p>
        </w:tc>
      </w:tr>
      <w:tr w14:paraId="39184F7E">
        <w:trPr>
          <w:jc w:val="center"/>
        </w:trPr>
        <w:tc>
          <w:tcPr>
            <w:tcW w:w="4939" w:type="dxa"/>
            <w:vAlign w:val="center"/>
          </w:tcPr>
          <w:p w14:paraId="15C82744">
            <w:pPr>
              <w:spacing w:after="0"/>
            </w:pPr>
            <w:r>
              <w:rPr>
                <w:rFonts w:ascii="Times New Roman" w:hAnsi="Times New Roman"/>
                <w:b w:val="0"/>
                <w:sz w:val="17"/>
              </w:rPr>
              <w:t>Sequence length</w:t>
            </w:r>
          </w:p>
        </w:tc>
        <w:tc>
          <w:tcPr>
            <w:tcW w:w="4939" w:type="dxa"/>
            <w:vAlign w:val="center"/>
          </w:tcPr>
          <w:p w14:paraId="474CC763">
            <w:pPr>
              <w:spacing w:after="0"/>
            </w:pPr>
            <w:r>
              <w:rPr>
                <w:rFonts w:ascii="Times New Roman" w:hAnsi="Times New Roman"/>
                <w:b w:val="0"/>
                <w:sz w:val="17"/>
              </w:rPr>
              <w:t>5</w:t>
            </w:r>
          </w:p>
        </w:tc>
      </w:tr>
      <w:tr w14:paraId="40E1E637">
        <w:trPr>
          <w:jc w:val="center"/>
        </w:trPr>
        <w:tc>
          <w:tcPr>
            <w:tcW w:w="4939" w:type="dxa"/>
            <w:vAlign w:val="center"/>
          </w:tcPr>
          <w:p w14:paraId="4EA4465E">
            <w:pPr>
              <w:spacing w:after="0"/>
            </w:pPr>
            <w:r>
              <w:rPr>
                <w:rFonts w:ascii="Times New Roman" w:hAnsi="Times New Roman"/>
                <w:b w:val="0"/>
                <w:sz w:val="17"/>
              </w:rPr>
              <w:t>Maximum train sequences / epoch</w:t>
            </w:r>
          </w:p>
        </w:tc>
        <w:tc>
          <w:tcPr>
            <w:tcW w:w="4939" w:type="dxa"/>
            <w:vAlign w:val="center"/>
          </w:tcPr>
          <w:p w14:paraId="59080B99">
            <w:pPr>
              <w:spacing w:after="0"/>
            </w:pPr>
            <w:r>
              <w:rPr>
                <w:rFonts w:ascii="Times New Roman" w:hAnsi="Times New Roman"/>
                <w:b w:val="0"/>
                <w:sz w:val="17"/>
              </w:rPr>
              <w:t>200</w:t>
            </w:r>
          </w:p>
        </w:tc>
      </w:tr>
      <w:tr w14:paraId="6527A74D">
        <w:trPr>
          <w:jc w:val="center"/>
        </w:trPr>
        <w:tc>
          <w:tcPr>
            <w:tcW w:w="4939" w:type="dxa"/>
            <w:vAlign w:val="center"/>
          </w:tcPr>
          <w:p w14:paraId="47805136">
            <w:pPr>
              <w:spacing w:after="0"/>
            </w:pPr>
            <w:r>
              <w:rPr>
                <w:rFonts w:ascii="Times New Roman" w:hAnsi="Times New Roman"/>
                <w:b w:val="0"/>
                <w:sz w:val="17"/>
              </w:rPr>
              <w:t>Device</w:t>
            </w:r>
          </w:p>
        </w:tc>
        <w:tc>
          <w:tcPr>
            <w:tcW w:w="4939" w:type="dxa"/>
            <w:vAlign w:val="center"/>
          </w:tcPr>
          <w:p w14:paraId="06FC3C2B">
            <w:pPr>
              <w:spacing w:after="0"/>
            </w:pPr>
            <w:r>
              <w:rPr>
                <w:rFonts w:ascii="Times New Roman" w:hAnsi="Times New Roman"/>
                <w:b w:val="0"/>
                <w:sz w:val="17"/>
              </w:rPr>
              <w:t>CPU, Apple M4, 16 GB RAM</w:t>
            </w:r>
          </w:p>
        </w:tc>
      </w:tr>
    </w:tbl>
    <w:p w14:paraId="2A54C876">
      <w:pPr>
        <w:pStyle w:val="164"/>
        <w:jc w:val="center"/>
      </w:pPr>
      <w:r>
        <w:t>Table 5. Training configuration.</w:t>
      </w:r>
    </w:p>
    <w:p w14:paraId="1CA1302E">
      <w:pPr>
        <w:spacing w:after="0"/>
      </w:pPr>
    </w:p>
    <w:p w14:paraId="3DCEC1BC">
      <w:pPr>
        <w:pStyle w:val="2"/>
      </w:pPr>
      <w:r>
        <w:t>5. Experimental Setup</w:t>
      </w:r>
    </w:p>
    <w:p w14:paraId="6870494F">
      <w:pPr>
        <w:pStyle w:val="3"/>
      </w:pPr>
      <w:r>
        <w:t>5.1 Controlled Baseline</w:t>
      </w:r>
    </w:p>
    <w:p w14:paraId="78FE0B2B">
      <w:r>
        <w:t>The baseline is a three-layer GCN-only model with the same node classifier, optimizer, principal hyperparameters, and graph partitions. It processes the final snapshot of the same temporal sequence units. Thus, the main architectural difference is the presence or absence of the temporal attention module.</w:t>
      </w:r>
    </w:p>
    <w:p w14:paraId="67A4444A">
      <w:pPr>
        <w:pStyle w:val="3"/>
      </w:pPr>
      <w:r>
        <w:t>5.2 Evaluation Protocol</w:t>
      </w:r>
    </w:p>
    <w:p w14:paraId="4011202E">
      <w:r>
        <w:t>Node-level AUC-ROC, F1, precision, and recall are the primary metrics. The official test CSV is held out for final evaluation, while validation node AUC is used for checkpoint selection and early stopping. Five random seeds (42, 123, 456, 789, 999) are aggregated using mean ± standard deviation in the corrected multi-seed experiment.</w:t>
      </w:r>
    </w:p>
    <w:p w14:paraId="49AE3E79">
      <w:r>
        <w:t>The experiment also reports graph-level metrics as a diagnostic. The graph label is the majority vote over node labels, but because the resulting temporal graphs are strongly attack-dominated, this target is not treated as a meaningful measure of model quality.</w:t>
      </w:r>
    </w:p>
    <w:p w14:paraId="492A0141">
      <w:pPr>
        <w:pStyle w:val="2"/>
      </w:pPr>
    </w:p>
    <w:p w14:paraId="52AD7EE1">
      <w:pPr>
        <w:pStyle w:val="2"/>
      </w:pPr>
      <w:r>
        <w:t>6. Results</w:t>
      </w:r>
    </w:p>
    <w:p w14:paraId="75DFEA46">
      <w:pPr>
        <w:pStyle w:val="3"/>
      </w:pPr>
      <w:r>
        <w:t>6.1 Multi-Seed Node-Level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6"/>
        <w:gridCol w:w="1976"/>
        <w:gridCol w:w="1976"/>
        <w:gridCol w:w="1976"/>
        <w:gridCol w:w="1976"/>
      </w:tblGrid>
      <w:tr w14:paraId="575AF62A">
        <w:trPr>
          <w:jc w:val="center"/>
        </w:trPr>
        <w:tc>
          <w:tcPr>
            <w:tcW w:w="1976" w:type="dxa"/>
            <w:shd w:val="clear" w:color="auto" w:fill="D9E2F3"/>
            <w:vAlign w:val="center"/>
          </w:tcPr>
          <w:p w14:paraId="09AF5CBD">
            <w:pPr>
              <w:spacing w:after="0"/>
            </w:pPr>
            <w:r>
              <w:rPr>
                <w:rFonts w:ascii="Times New Roman" w:hAnsi="Times New Roman"/>
                <w:b/>
                <w:sz w:val="17"/>
              </w:rPr>
              <w:t>Model</w:t>
            </w:r>
          </w:p>
        </w:tc>
        <w:tc>
          <w:tcPr>
            <w:tcW w:w="1976" w:type="dxa"/>
            <w:shd w:val="clear" w:color="auto" w:fill="D9E2F3"/>
            <w:vAlign w:val="center"/>
          </w:tcPr>
          <w:p w14:paraId="485D7BB5">
            <w:pPr>
              <w:spacing w:after="0"/>
            </w:pPr>
            <w:r>
              <w:rPr>
                <w:rFonts w:ascii="Times New Roman" w:hAnsi="Times New Roman"/>
                <w:b/>
                <w:sz w:val="17"/>
              </w:rPr>
              <w:t>AUC-ROC</w:t>
            </w:r>
          </w:p>
        </w:tc>
        <w:tc>
          <w:tcPr>
            <w:tcW w:w="1976" w:type="dxa"/>
            <w:shd w:val="clear" w:color="auto" w:fill="D9E2F3"/>
            <w:vAlign w:val="center"/>
          </w:tcPr>
          <w:p w14:paraId="2EB990F5">
            <w:pPr>
              <w:spacing w:after="0"/>
            </w:pPr>
            <w:r>
              <w:rPr>
                <w:rFonts w:ascii="Times New Roman" w:hAnsi="Times New Roman"/>
                <w:b/>
                <w:sz w:val="17"/>
              </w:rPr>
              <w:t>F1</w:t>
            </w:r>
          </w:p>
        </w:tc>
        <w:tc>
          <w:tcPr>
            <w:tcW w:w="1976" w:type="dxa"/>
            <w:shd w:val="clear" w:color="auto" w:fill="D9E2F3"/>
            <w:vAlign w:val="center"/>
          </w:tcPr>
          <w:p w14:paraId="4D6FFF40">
            <w:pPr>
              <w:spacing w:after="0"/>
            </w:pPr>
            <w:r>
              <w:rPr>
                <w:rFonts w:ascii="Times New Roman" w:hAnsi="Times New Roman"/>
                <w:b/>
                <w:sz w:val="17"/>
              </w:rPr>
              <w:t>Precision</w:t>
            </w:r>
          </w:p>
        </w:tc>
        <w:tc>
          <w:tcPr>
            <w:tcW w:w="1976" w:type="dxa"/>
            <w:shd w:val="clear" w:color="auto" w:fill="D9E2F3"/>
            <w:vAlign w:val="center"/>
          </w:tcPr>
          <w:p w14:paraId="178CC808">
            <w:pPr>
              <w:spacing w:after="0"/>
            </w:pPr>
            <w:r>
              <w:rPr>
                <w:rFonts w:ascii="Times New Roman" w:hAnsi="Times New Roman"/>
                <w:b/>
                <w:sz w:val="17"/>
              </w:rPr>
              <w:t>Recall</w:t>
            </w:r>
          </w:p>
        </w:tc>
      </w:tr>
      <w:tr w14:paraId="4B942A8D">
        <w:trPr>
          <w:jc w:val="center"/>
        </w:trPr>
        <w:tc>
          <w:tcPr>
            <w:tcW w:w="1976" w:type="dxa"/>
            <w:vAlign w:val="center"/>
          </w:tcPr>
          <w:p w14:paraId="1860F682">
            <w:pPr>
              <w:spacing w:after="0"/>
            </w:pPr>
            <w:r>
              <w:rPr>
                <w:rFonts w:ascii="Times New Roman" w:hAnsi="Times New Roman"/>
                <w:b w:val="0"/>
                <w:sz w:val="17"/>
              </w:rPr>
              <w:t>GCN-only</w:t>
            </w:r>
          </w:p>
        </w:tc>
        <w:tc>
          <w:tcPr>
            <w:tcW w:w="1976" w:type="dxa"/>
            <w:vAlign w:val="center"/>
          </w:tcPr>
          <w:p w14:paraId="23487ADE">
            <w:pPr>
              <w:spacing w:after="0"/>
            </w:pPr>
            <w:r>
              <w:rPr>
                <w:rFonts w:ascii="Times New Roman" w:hAnsi="Times New Roman"/>
                <w:b w:val="0"/>
                <w:sz w:val="17"/>
              </w:rPr>
              <w:t>0.612 ± 0.030</w:t>
            </w:r>
          </w:p>
        </w:tc>
        <w:tc>
          <w:tcPr>
            <w:tcW w:w="1976" w:type="dxa"/>
            <w:vAlign w:val="center"/>
          </w:tcPr>
          <w:p w14:paraId="721C3DD2">
            <w:pPr>
              <w:spacing w:after="0"/>
            </w:pPr>
            <w:r>
              <w:rPr>
                <w:rFonts w:ascii="Times New Roman" w:hAnsi="Times New Roman"/>
                <w:b w:val="0"/>
                <w:sz w:val="17"/>
              </w:rPr>
              <w:t>0.836 ± 0.013</w:t>
            </w:r>
          </w:p>
        </w:tc>
        <w:tc>
          <w:tcPr>
            <w:tcW w:w="1976" w:type="dxa"/>
            <w:vAlign w:val="center"/>
          </w:tcPr>
          <w:p w14:paraId="6FF67B97">
            <w:pPr>
              <w:spacing w:after="0"/>
            </w:pPr>
            <w:r>
              <w:rPr>
                <w:rFonts w:ascii="Times New Roman" w:hAnsi="Times New Roman"/>
                <w:b w:val="0"/>
                <w:sz w:val="17"/>
              </w:rPr>
              <w:t>0.789 ± 0.015</w:t>
            </w:r>
          </w:p>
        </w:tc>
        <w:tc>
          <w:tcPr>
            <w:tcW w:w="1976" w:type="dxa"/>
            <w:vAlign w:val="center"/>
          </w:tcPr>
          <w:p w14:paraId="1202DA14">
            <w:pPr>
              <w:spacing w:after="0"/>
            </w:pPr>
            <w:r>
              <w:rPr>
                <w:rFonts w:ascii="Times New Roman" w:hAnsi="Times New Roman"/>
                <w:b w:val="0"/>
                <w:sz w:val="17"/>
              </w:rPr>
              <w:t>0.889 ± 0.023</w:t>
            </w:r>
          </w:p>
        </w:tc>
      </w:tr>
      <w:tr w14:paraId="60AD25AE">
        <w:trPr>
          <w:jc w:val="center"/>
        </w:trPr>
        <w:tc>
          <w:tcPr>
            <w:tcW w:w="1976" w:type="dxa"/>
            <w:vAlign w:val="center"/>
          </w:tcPr>
          <w:p w14:paraId="3F7F950F">
            <w:pPr>
              <w:spacing w:after="0"/>
            </w:pPr>
            <w:r>
              <w:rPr>
                <w:rFonts w:ascii="Times New Roman" w:hAnsi="Times New Roman"/>
                <w:b w:val="0"/>
                <w:sz w:val="17"/>
              </w:rPr>
              <w:t>ST-GraphAD</w:t>
            </w:r>
          </w:p>
        </w:tc>
        <w:tc>
          <w:tcPr>
            <w:tcW w:w="1976" w:type="dxa"/>
            <w:vAlign w:val="center"/>
          </w:tcPr>
          <w:p w14:paraId="4B34FBC9">
            <w:pPr>
              <w:spacing w:after="0"/>
            </w:pPr>
            <w:r>
              <w:rPr>
                <w:rFonts w:ascii="Times New Roman" w:hAnsi="Times New Roman"/>
                <w:b w:val="0"/>
                <w:sz w:val="17"/>
              </w:rPr>
              <w:t>0.657 ± 0.078</w:t>
            </w:r>
          </w:p>
        </w:tc>
        <w:tc>
          <w:tcPr>
            <w:tcW w:w="1976" w:type="dxa"/>
            <w:vAlign w:val="center"/>
          </w:tcPr>
          <w:p w14:paraId="7D923CD6">
            <w:pPr>
              <w:spacing w:after="0"/>
            </w:pPr>
            <w:r>
              <w:rPr>
                <w:rFonts w:ascii="Times New Roman" w:hAnsi="Times New Roman"/>
                <w:b w:val="0"/>
                <w:sz w:val="17"/>
              </w:rPr>
              <w:t>0.858 ± 0.021</w:t>
            </w:r>
          </w:p>
        </w:tc>
        <w:tc>
          <w:tcPr>
            <w:tcW w:w="1976" w:type="dxa"/>
            <w:vAlign w:val="center"/>
          </w:tcPr>
          <w:p w14:paraId="632C2A99">
            <w:pPr>
              <w:spacing w:after="0"/>
            </w:pPr>
            <w:r>
              <w:rPr>
                <w:rFonts w:ascii="Times New Roman" w:hAnsi="Times New Roman"/>
                <w:b w:val="0"/>
                <w:sz w:val="17"/>
              </w:rPr>
              <w:t>0.791 ± 0.022</w:t>
            </w:r>
          </w:p>
        </w:tc>
        <w:tc>
          <w:tcPr>
            <w:tcW w:w="1976" w:type="dxa"/>
            <w:vAlign w:val="center"/>
          </w:tcPr>
          <w:p w14:paraId="001D1F15">
            <w:pPr>
              <w:spacing w:after="0"/>
            </w:pPr>
            <w:r>
              <w:rPr>
                <w:rFonts w:ascii="Times New Roman" w:hAnsi="Times New Roman"/>
                <w:b w:val="0"/>
                <w:sz w:val="17"/>
              </w:rPr>
              <w:t>0.939 ± 0.037</w:t>
            </w:r>
          </w:p>
        </w:tc>
      </w:tr>
    </w:tbl>
    <w:p w14:paraId="1320ED4D">
      <w:pPr>
        <w:pStyle w:val="164"/>
        <w:jc w:val="center"/>
      </w:pPr>
      <w:r>
        <w:t>Table 6. Five-seed aggregate node-level performance on the official test set.</w:t>
      </w:r>
    </w:p>
    <w:p w14:paraId="2D6ADB7F">
      <w:pPr>
        <w:spacing w:after="0"/>
      </w:pPr>
    </w:p>
    <w:p w14:paraId="11DF6500">
      <w:r>
        <w:t>Across five seeds, ST-GraphAD improves mean node-level AUC-ROC by 0.045 absolute (4.5 percentage points) and mean F1 by 0.022. The largest relative benefit is observed in recall, which increases by 0.050 on average. However, the proposed model also has substantially larger AUC variance (0.078 versus 0.030), indicating that the observed advantage is sensitive to initialization. The result therefore supports the utility of temporal context under the corrected protocol while not establishing a statistically significant effect by itself.</w:t>
      </w:r>
    </w:p>
    <w:p w14:paraId="3A02DF32">
      <w:pPr>
        <w:pStyle w:val="3"/>
      </w:pPr>
      <w:r>
        <w:t>6.2 Single-Seed Reference Run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6"/>
        <w:gridCol w:w="1976"/>
        <w:gridCol w:w="1976"/>
        <w:gridCol w:w="1976"/>
        <w:gridCol w:w="1976"/>
      </w:tblGrid>
      <w:tr w14:paraId="086225EA">
        <w:trPr>
          <w:jc w:val="center"/>
        </w:trPr>
        <w:tc>
          <w:tcPr>
            <w:tcW w:w="1976" w:type="dxa"/>
            <w:shd w:val="clear" w:color="auto" w:fill="D9E2F3"/>
            <w:vAlign w:val="center"/>
          </w:tcPr>
          <w:p w14:paraId="24DDBAFB">
            <w:pPr>
              <w:spacing w:after="0"/>
            </w:pPr>
            <w:r>
              <w:rPr>
                <w:rFonts w:ascii="Times New Roman" w:hAnsi="Times New Roman"/>
                <w:b/>
                <w:sz w:val="17"/>
              </w:rPr>
              <w:t>Model</w:t>
            </w:r>
          </w:p>
        </w:tc>
        <w:tc>
          <w:tcPr>
            <w:tcW w:w="1976" w:type="dxa"/>
            <w:shd w:val="clear" w:color="auto" w:fill="D9E2F3"/>
            <w:vAlign w:val="center"/>
          </w:tcPr>
          <w:p w14:paraId="4D1EE86B">
            <w:pPr>
              <w:spacing w:after="0"/>
            </w:pPr>
            <w:r>
              <w:rPr>
                <w:rFonts w:ascii="Times New Roman" w:hAnsi="Times New Roman"/>
                <w:b/>
                <w:sz w:val="17"/>
              </w:rPr>
              <w:t>AUC-ROC</w:t>
            </w:r>
          </w:p>
        </w:tc>
        <w:tc>
          <w:tcPr>
            <w:tcW w:w="1976" w:type="dxa"/>
            <w:shd w:val="clear" w:color="auto" w:fill="D9E2F3"/>
            <w:vAlign w:val="center"/>
          </w:tcPr>
          <w:p w14:paraId="765A43E3">
            <w:pPr>
              <w:spacing w:after="0"/>
            </w:pPr>
            <w:r>
              <w:rPr>
                <w:rFonts w:ascii="Times New Roman" w:hAnsi="Times New Roman"/>
                <w:b/>
                <w:sz w:val="17"/>
              </w:rPr>
              <w:t>F1</w:t>
            </w:r>
          </w:p>
        </w:tc>
        <w:tc>
          <w:tcPr>
            <w:tcW w:w="1976" w:type="dxa"/>
            <w:shd w:val="clear" w:color="auto" w:fill="D9E2F3"/>
            <w:vAlign w:val="center"/>
          </w:tcPr>
          <w:p w14:paraId="1F19876B">
            <w:pPr>
              <w:spacing w:after="0"/>
            </w:pPr>
            <w:r>
              <w:rPr>
                <w:rFonts w:ascii="Times New Roman" w:hAnsi="Times New Roman"/>
                <w:b/>
                <w:sz w:val="17"/>
              </w:rPr>
              <w:t>Precision</w:t>
            </w:r>
          </w:p>
        </w:tc>
        <w:tc>
          <w:tcPr>
            <w:tcW w:w="1976" w:type="dxa"/>
            <w:shd w:val="clear" w:color="auto" w:fill="D9E2F3"/>
            <w:vAlign w:val="center"/>
          </w:tcPr>
          <w:p w14:paraId="193C44C0">
            <w:pPr>
              <w:spacing w:after="0"/>
            </w:pPr>
            <w:r>
              <w:rPr>
                <w:rFonts w:ascii="Times New Roman" w:hAnsi="Times New Roman"/>
                <w:b/>
                <w:sz w:val="17"/>
              </w:rPr>
              <w:t>Recall</w:t>
            </w:r>
          </w:p>
        </w:tc>
      </w:tr>
      <w:tr w14:paraId="71B2FEB0">
        <w:trPr>
          <w:jc w:val="center"/>
        </w:trPr>
        <w:tc>
          <w:tcPr>
            <w:tcW w:w="1976" w:type="dxa"/>
            <w:vAlign w:val="center"/>
          </w:tcPr>
          <w:p w14:paraId="2FBADF59">
            <w:pPr>
              <w:spacing w:after="0"/>
            </w:pPr>
            <w:r>
              <w:rPr>
                <w:rFonts w:ascii="Times New Roman" w:hAnsi="Times New Roman"/>
                <w:b w:val="0"/>
                <w:sz w:val="17"/>
              </w:rPr>
              <w:t>GCN-only (seed 42)</w:t>
            </w:r>
          </w:p>
        </w:tc>
        <w:tc>
          <w:tcPr>
            <w:tcW w:w="1976" w:type="dxa"/>
            <w:vAlign w:val="center"/>
          </w:tcPr>
          <w:p w14:paraId="490B261E">
            <w:pPr>
              <w:spacing w:after="0"/>
            </w:pPr>
            <w:r>
              <w:rPr>
                <w:rFonts w:ascii="Times New Roman" w:hAnsi="Times New Roman"/>
                <w:b w:val="0"/>
                <w:sz w:val="17"/>
              </w:rPr>
              <w:t>0.579</w:t>
            </w:r>
          </w:p>
        </w:tc>
        <w:tc>
          <w:tcPr>
            <w:tcW w:w="1976" w:type="dxa"/>
            <w:vAlign w:val="center"/>
          </w:tcPr>
          <w:p w14:paraId="333FCD9E">
            <w:pPr>
              <w:spacing w:after="0"/>
            </w:pPr>
            <w:r>
              <w:rPr>
                <w:rFonts w:ascii="Times New Roman" w:hAnsi="Times New Roman"/>
                <w:b w:val="0"/>
                <w:sz w:val="17"/>
              </w:rPr>
              <w:t>0.826</w:t>
            </w:r>
          </w:p>
        </w:tc>
        <w:tc>
          <w:tcPr>
            <w:tcW w:w="1976" w:type="dxa"/>
            <w:vAlign w:val="center"/>
          </w:tcPr>
          <w:p w14:paraId="58949769">
            <w:pPr>
              <w:spacing w:after="0"/>
            </w:pPr>
            <w:r>
              <w:rPr>
                <w:rFonts w:ascii="Times New Roman" w:hAnsi="Times New Roman"/>
                <w:b w:val="0"/>
                <w:sz w:val="17"/>
              </w:rPr>
              <w:t>0.778</w:t>
            </w:r>
          </w:p>
        </w:tc>
        <w:tc>
          <w:tcPr>
            <w:tcW w:w="1976" w:type="dxa"/>
            <w:vAlign w:val="center"/>
          </w:tcPr>
          <w:p w14:paraId="2B1FF857">
            <w:pPr>
              <w:spacing w:after="0"/>
            </w:pPr>
            <w:r>
              <w:rPr>
                <w:rFonts w:ascii="Times New Roman" w:hAnsi="Times New Roman"/>
                <w:b w:val="0"/>
                <w:sz w:val="17"/>
              </w:rPr>
              <w:t>0.880</w:t>
            </w:r>
          </w:p>
        </w:tc>
      </w:tr>
      <w:tr w14:paraId="266B6C98">
        <w:trPr>
          <w:jc w:val="center"/>
        </w:trPr>
        <w:tc>
          <w:tcPr>
            <w:tcW w:w="1976" w:type="dxa"/>
            <w:vAlign w:val="center"/>
          </w:tcPr>
          <w:p w14:paraId="0699FF7F">
            <w:pPr>
              <w:spacing w:after="0"/>
            </w:pPr>
            <w:r>
              <w:rPr>
                <w:rFonts w:ascii="Times New Roman" w:hAnsi="Times New Roman"/>
                <w:b w:val="0"/>
                <w:sz w:val="17"/>
              </w:rPr>
              <w:t>ST-GraphAD (seed 42)</w:t>
            </w:r>
          </w:p>
        </w:tc>
        <w:tc>
          <w:tcPr>
            <w:tcW w:w="1976" w:type="dxa"/>
            <w:vAlign w:val="center"/>
          </w:tcPr>
          <w:p w14:paraId="0D7FB5F6">
            <w:pPr>
              <w:spacing w:after="0"/>
            </w:pPr>
            <w:r>
              <w:rPr>
                <w:rFonts w:ascii="Times New Roman" w:hAnsi="Times New Roman"/>
                <w:b w:val="0"/>
                <w:sz w:val="17"/>
              </w:rPr>
              <w:t>0.707</w:t>
            </w:r>
          </w:p>
        </w:tc>
        <w:tc>
          <w:tcPr>
            <w:tcW w:w="1976" w:type="dxa"/>
            <w:vAlign w:val="center"/>
          </w:tcPr>
          <w:p w14:paraId="7A91BABC">
            <w:pPr>
              <w:spacing w:after="0"/>
            </w:pPr>
            <w:r>
              <w:rPr>
                <w:rFonts w:ascii="Times New Roman" w:hAnsi="Times New Roman"/>
                <w:b w:val="0"/>
                <w:sz w:val="17"/>
              </w:rPr>
              <w:t>0.820</w:t>
            </w:r>
          </w:p>
        </w:tc>
        <w:tc>
          <w:tcPr>
            <w:tcW w:w="1976" w:type="dxa"/>
            <w:vAlign w:val="center"/>
          </w:tcPr>
          <w:p w14:paraId="5F2606FF">
            <w:pPr>
              <w:spacing w:after="0"/>
            </w:pPr>
            <w:r>
              <w:rPr>
                <w:rFonts w:ascii="Times New Roman" w:hAnsi="Times New Roman"/>
                <w:b w:val="0"/>
                <w:sz w:val="17"/>
              </w:rPr>
              <w:t>0.803</w:t>
            </w:r>
          </w:p>
        </w:tc>
        <w:tc>
          <w:tcPr>
            <w:tcW w:w="1976" w:type="dxa"/>
            <w:vAlign w:val="center"/>
          </w:tcPr>
          <w:p w14:paraId="0218A110">
            <w:pPr>
              <w:spacing w:after="0"/>
            </w:pPr>
            <w:r>
              <w:rPr>
                <w:rFonts w:ascii="Times New Roman" w:hAnsi="Times New Roman"/>
                <w:b w:val="0"/>
                <w:sz w:val="17"/>
              </w:rPr>
              <w:t>0.838</w:t>
            </w:r>
          </w:p>
        </w:tc>
      </w:tr>
    </w:tbl>
    <w:p w14:paraId="48580D8C">
      <w:pPr>
        <w:pStyle w:val="164"/>
        <w:jc w:val="center"/>
      </w:pPr>
      <w:r>
        <w:t>Table 7. Single-seed reference run (seed 42).</w:t>
      </w:r>
    </w:p>
    <w:p w14:paraId="38C09784">
      <w:pPr>
        <w:spacing w:after="0"/>
      </w:pPr>
    </w:p>
    <w:p w14:paraId="0A71B260">
      <w:r>
        <w:t>The single-seed result illustrates why multi-seed reporting is necessary. ST-GraphAD obtains higher AUC in seed 42 but slightly lower F1 than the GCN baseline. These results are retained for reproducibility but are not used as the principal headline claim.</w:t>
      </w:r>
    </w:p>
    <w:p w14:paraId="0315F6BA">
      <w:pPr>
        <w:pStyle w:val="3"/>
      </w:pPr>
      <w:r>
        <w:t>6.3 Validation Dynamics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9"/>
        <w:gridCol w:w="2469"/>
        <w:gridCol w:w="2469"/>
        <w:gridCol w:w="2469"/>
      </w:tblGrid>
      <w:tr w14:paraId="4BD08D57">
        <w:trPr>
          <w:jc w:val="center"/>
        </w:trPr>
        <w:tc>
          <w:tcPr>
            <w:tcW w:w="2469" w:type="dxa"/>
            <w:shd w:val="clear" w:color="auto" w:fill="D9E2F3"/>
            <w:vAlign w:val="center"/>
          </w:tcPr>
          <w:p w14:paraId="1F41D50D">
            <w:pPr>
              <w:spacing w:after="0"/>
            </w:pPr>
            <w:r>
              <w:rPr>
                <w:rFonts w:ascii="Times New Roman" w:hAnsi="Times New Roman"/>
                <w:b/>
                <w:sz w:val="17"/>
              </w:rPr>
              <w:t>Model</w:t>
            </w:r>
          </w:p>
        </w:tc>
        <w:tc>
          <w:tcPr>
            <w:tcW w:w="2469" w:type="dxa"/>
            <w:shd w:val="clear" w:color="auto" w:fill="D9E2F3"/>
            <w:vAlign w:val="center"/>
          </w:tcPr>
          <w:p w14:paraId="2E8FE131">
            <w:pPr>
              <w:spacing w:after="0"/>
            </w:pPr>
            <w:r>
              <w:rPr>
                <w:rFonts w:ascii="Times New Roman" w:hAnsi="Times New Roman"/>
                <w:b/>
                <w:sz w:val="17"/>
              </w:rPr>
              <w:t>Epoch 0 loss</w:t>
            </w:r>
          </w:p>
        </w:tc>
        <w:tc>
          <w:tcPr>
            <w:tcW w:w="2469" w:type="dxa"/>
            <w:shd w:val="clear" w:color="auto" w:fill="D9E2F3"/>
            <w:vAlign w:val="center"/>
          </w:tcPr>
          <w:p w14:paraId="2D8F74C7">
            <w:pPr>
              <w:spacing w:after="0"/>
            </w:pPr>
            <w:r>
              <w:rPr>
                <w:rFonts w:ascii="Times New Roman" w:hAnsi="Times New Roman"/>
                <w:b/>
                <w:sz w:val="17"/>
              </w:rPr>
              <w:t>Best validation epoch</w:t>
            </w:r>
          </w:p>
        </w:tc>
        <w:tc>
          <w:tcPr>
            <w:tcW w:w="2469" w:type="dxa"/>
            <w:shd w:val="clear" w:color="auto" w:fill="D9E2F3"/>
            <w:vAlign w:val="center"/>
          </w:tcPr>
          <w:p w14:paraId="36EBB3BC">
            <w:pPr>
              <w:spacing w:after="0"/>
            </w:pPr>
            <w:r>
              <w:rPr>
                <w:rFonts w:ascii="Times New Roman" w:hAnsi="Times New Roman"/>
                <w:b/>
                <w:sz w:val="17"/>
              </w:rPr>
              <w:t>Best validation AUC</w:t>
            </w:r>
          </w:p>
        </w:tc>
      </w:tr>
      <w:tr w14:paraId="2E93BB56">
        <w:trPr>
          <w:jc w:val="center"/>
        </w:trPr>
        <w:tc>
          <w:tcPr>
            <w:tcW w:w="2469" w:type="dxa"/>
            <w:vAlign w:val="center"/>
          </w:tcPr>
          <w:p w14:paraId="453DC191">
            <w:pPr>
              <w:spacing w:after="0"/>
            </w:pPr>
            <w:r>
              <w:rPr>
                <w:rFonts w:ascii="Times New Roman" w:hAnsi="Times New Roman"/>
                <w:b w:val="0"/>
                <w:sz w:val="17"/>
              </w:rPr>
              <w:t>GCN-only</w:t>
            </w:r>
          </w:p>
        </w:tc>
        <w:tc>
          <w:tcPr>
            <w:tcW w:w="2469" w:type="dxa"/>
            <w:vAlign w:val="center"/>
          </w:tcPr>
          <w:p w14:paraId="5EFB418F">
            <w:pPr>
              <w:spacing w:after="0"/>
            </w:pPr>
            <w:r>
              <w:rPr>
                <w:rFonts w:ascii="Times New Roman" w:hAnsi="Times New Roman"/>
                <w:b w:val="0"/>
                <w:sz w:val="17"/>
              </w:rPr>
              <w:t>0.61</w:t>
            </w:r>
          </w:p>
        </w:tc>
        <w:tc>
          <w:tcPr>
            <w:tcW w:w="2469" w:type="dxa"/>
            <w:vAlign w:val="center"/>
          </w:tcPr>
          <w:p w14:paraId="12B65A93">
            <w:pPr>
              <w:spacing w:after="0"/>
            </w:pPr>
            <w:r>
              <w:rPr>
                <w:rFonts w:ascii="Times New Roman" w:hAnsi="Times New Roman"/>
                <w:b w:val="0"/>
                <w:sz w:val="17"/>
              </w:rPr>
              <w:t>89</w:t>
            </w:r>
          </w:p>
        </w:tc>
        <w:tc>
          <w:tcPr>
            <w:tcW w:w="2469" w:type="dxa"/>
            <w:vAlign w:val="center"/>
          </w:tcPr>
          <w:p w14:paraId="469F121F">
            <w:pPr>
              <w:spacing w:after="0"/>
            </w:pPr>
            <w:r>
              <w:rPr>
                <w:rFonts w:ascii="Times New Roman" w:hAnsi="Times New Roman"/>
                <w:b w:val="0"/>
                <w:sz w:val="17"/>
              </w:rPr>
              <w:t>0.979</w:t>
            </w:r>
          </w:p>
        </w:tc>
      </w:tr>
      <w:tr w14:paraId="08B27D0A">
        <w:trPr>
          <w:jc w:val="center"/>
        </w:trPr>
        <w:tc>
          <w:tcPr>
            <w:tcW w:w="2469" w:type="dxa"/>
            <w:vAlign w:val="center"/>
          </w:tcPr>
          <w:p w14:paraId="382B4AF2">
            <w:pPr>
              <w:spacing w:after="0"/>
            </w:pPr>
            <w:r>
              <w:rPr>
                <w:rFonts w:ascii="Times New Roman" w:hAnsi="Times New Roman"/>
                <w:b w:val="0"/>
                <w:sz w:val="17"/>
              </w:rPr>
              <w:t>ST-GraphAD</w:t>
            </w:r>
          </w:p>
        </w:tc>
        <w:tc>
          <w:tcPr>
            <w:tcW w:w="2469" w:type="dxa"/>
            <w:vAlign w:val="center"/>
          </w:tcPr>
          <w:p w14:paraId="68C718FC">
            <w:pPr>
              <w:spacing w:after="0"/>
            </w:pPr>
            <w:r>
              <w:rPr>
                <w:rFonts w:ascii="Times New Roman" w:hAnsi="Times New Roman"/>
                <w:b w:val="0"/>
                <w:sz w:val="17"/>
              </w:rPr>
              <w:t>0.18</w:t>
            </w:r>
          </w:p>
        </w:tc>
        <w:tc>
          <w:tcPr>
            <w:tcW w:w="2469" w:type="dxa"/>
            <w:vAlign w:val="center"/>
          </w:tcPr>
          <w:p w14:paraId="56BE70CE">
            <w:pPr>
              <w:spacing w:after="0"/>
            </w:pPr>
            <w:r>
              <w:rPr>
                <w:rFonts w:ascii="Times New Roman" w:hAnsi="Times New Roman"/>
                <w:b w:val="0"/>
                <w:sz w:val="17"/>
              </w:rPr>
              <w:t>152</w:t>
            </w:r>
          </w:p>
        </w:tc>
        <w:tc>
          <w:tcPr>
            <w:tcW w:w="2469" w:type="dxa"/>
            <w:vAlign w:val="center"/>
          </w:tcPr>
          <w:p w14:paraId="23BA8AE6">
            <w:pPr>
              <w:spacing w:after="0"/>
            </w:pPr>
            <w:r>
              <w:rPr>
                <w:rFonts w:ascii="Times New Roman" w:hAnsi="Times New Roman"/>
                <w:b w:val="0"/>
                <w:sz w:val="17"/>
              </w:rPr>
              <w:t>0.994</w:t>
            </w:r>
          </w:p>
        </w:tc>
      </w:tr>
    </w:tbl>
    <w:p w14:paraId="56DFC0FB">
      <w:pPr>
        <w:pStyle w:val="164"/>
        <w:jc w:val="center"/>
      </w:pPr>
      <w:r>
        <w:t>Table 8. Representative training dynamics for the seed-42 corrected run.</w:t>
      </w:r>
    </w:p>
    <w:p w14:paraId="5BA7257B">
      <w:pPr>
        <w:spacing w:after="0"/>
      </w:pPr>
    </w:p>
    <w:p w14:paraId="366D9B5B">
      <w:r>
        <w:t>The supplied training figure shows both models reducing training loss while node-level validation AUC rises during training. ST-GraphAD reaches a higher best validation AUC in the displayed run. This figure should be interpreted alongside the official test results rather than as evidence that validation performance alone guarantees generalization.</w:t>
      </w:r>
    </w:p>
    <w:p w14:paraId="751F14FF">
      <w:pPr>
        <w:pStyle w:val="3"/>
      </w:pPr>
      <w:r>
        <w:t>6.4 Graph-Level Evaluation</w:t>
      </w:r>
    </w:p>
    <w:p w14:paraId="7BD57B9A">
      <w:r>
        <w:t>Under the current majority-vote formulation, graph-level AUC is 0.00 and graph-level F1/precision/recall can become artificially perfect when almost every graph is labeled Attack. Such values are a property of the target construction, not evidence of perfect intrusion detection. For this reason, graph-level metrics are explicitly demoted to diagnostic status and are excluded from checkpoint selection.</w:t>
      </w:r>
    </w:p>
    <w:p w14:paraId="503A08D9">
      <w:pPr>
        <w:pStyle w:val="3"/>
      </w:pPr>
      <w:r>
        <w:t>6.5 Computational Cost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9"/>
        <w:gridCol w:w="2469"/>
        <w:gridCol w:w="2469"/>
        <w:gridCol w:w="2469"/>
      </w:tblGrid>
      <w:tr w14:paraId="3A155E98">
        <w:trPr>
          <w:jc w:val="center"/>
        </w:trPr>
        <w:tc>
          <w:tcPr>
            <w:tcW w:w="2469" w:type="dxa"/>
            <w:shd w:val="clear" w:color="auto" w:fill="D9E2F3"/>
            <w:vAlign w:val="center"/>
          </w:tcPr>
          <w:p w14:paraId="0C62B751">
            <w:pPr>
              <w:spacing w:after="0"/>
            </w:pPr>
            <w:r>
              <w:rPr>
                <w:rFonts w:ascii="Times New Roman" w:hAnsi="Times New Roman"/>
                <w:b/>
                <w:sz w:val="17"/>
              </w:rPr>
              <w:t>Model</w:t>
            </w:r>
          </w:p>
        </w:tc>
        <w:tc>
          <w:tcPr>
            <w:tcW w:w="2469" w:type="dxa"/>
            <w:shd w:val="clear" w:color="auto" w:fill="D9E2F3"/>
            <w:vAlign w:val="center"/>
          </w:tcPr>
          <w:p w14:paraId="0E741572">
            <w:pPr>
              <w:spacing w:after="0"/>
            </w:pPr>
            <w:r>
              <w:rPr>
                <w:rFonts w:ascii="Times New Roman" w:hAnsi="Times New Roman"/>
                <w:b/>
                <w:sz w:val="17"/>
              </w:rPr>
              <w:t>Parameters</w:t>
            </w:r>
          </w:p>
        </w:tc>
        <w:tc>
          <w:tcPr>
            <w:tcW w:w="2469" w:type="dxa"/>
            <w:shd w:val="clear" w:color="auto" w:fill="D9E2F3"/>
            <w:vAlign w:val="center"/>
          </w:tcPr>
          <w:p w14:paraId="064FFD83">
            <w:pPr>
              <w:spacing w:after="0"/>
            </w:pPr>
            <w:r>
              <w:rPr>
                <w:rFonts w:ascii="Times New Roman" w:hAnsi="Times New Roman"/>
                <w:b/>
                <w:sz w:val="17"/>
              </w:rPr>
              <w:t>Full training time</w:t>
            </w:r>
          </w:p>
        </w:tc>
        <w:tc>
          <w:tcPr>
            <w:tcW w:w="2469" w:type="dxa"/>
            <w:shd w:val="clear" w:color="auto" w:fill="D9E2F3"/>
            <w:vAlign w:val="center"/>
          </w:tcPr>
          <w:p w14:paraId="30B35AE5">
            <w:pPr>
              <w:spacing w:after="0"/>
            </w:pPr>
            <w:r>
              <w:rPr>
                <w:rFonts w:ascii="Times New Roman" w:hAnsi="Times New Roman"/>
                <w:b/>
                <w:sz w:val="17"/>
              </w:rPr>
              <w:t>Peak CPU memory</w:t>
            </w:r>
          </w:p>
        </w:tc>
      </w:tr>
      <w:tr w14:paraId="0AF059A3">
        <w:trPr>
          <w:jc w:val="center"/>
        </w:trPr>
        <w:tc>
          <w:tcPr>
            <w:tcW w:w="2469" w:type="dxa"/>
            <w:vAlign w:val="center"/>
          </w:tcPr>
          <w:p w14:paraId="65ACD52F">
            <w:pPr>
              <w:spacing w:after="0"/>
            </w:pPr>
            <w:r>
              <w:rPr>
                <w:rFonts w:ascii="Times New Roman" w:hAnsi="Times New Roman"/>
                <w:b w:val="0"/>
                <w:sz w:val="17"/>
              </w:rPr>
              <w:t>GCN-only</w:t>
            </w:r>
          </w:p>
        </w:tc>
        <w:tc>
          <w:tcPr>
            <w:tcW w:w="2469" w:type="dxa"/>
            <w:vAlign w:val="center"/>
          </w:tcPr>
          <w:p w14:paraId="77C191E7">
            <w:pPr>
              <w:spacing w:after="0"/>
            </w:pPr>
            <w:r>
              <w:rPr>
                <w:rFonts w:ascii="Times New Roman" w:hAnsi="Times New Roman"/>
                <w:b w:val="0"/>
                <w:sz w:val="17"/>
              </w:rPr>
              <w:t>~180K</w:t>
            </w:r>
          </w:p>
        </w:tc>
        <w:tc>
          <w:tcPr>
            <w:tcW w:w="2469" w:type="dxa"/>
            <w:vAlign w:val="center"/>
          </w:tcPr>
          <w:p w14:paraId="3DE6CA0E">
            <w:pPr>
              <w:spacing w:after="0"/>
            </w:pPr>
            <w:r>
              <w:rPr>
                <w:rFonts w:ascii="Times New Roman" w:hAnsi="Times New Roman"/>
                <w:b w:val="0"/>
                <w:sz w:val="17"/>
              </w:rPr>
              <w:t>~33 s</w:t>
            </w:r>
          </w:p>
        </w:tc>
        <w:tc>
          <w:tcPr>
            <w:tcW w:w="2469" w:type="dxa"/>
            <w:vAlign w:val="center"/>
          </w:tcPr>
          <w:p w14:paraId="1CA5F19F">
            <w:pPr>
              <w:spacing w:after="0"/>
            </w:pPr>
            <w:r>
              <w:rPr>
                <w:rFonts w:ascii="Times New Roman" w:hAnsi="Times New Roman"/>
                <w:b w:val="0"/>
                <w:sz w:val="17"/>
              </w:rPr>
              <w:t>~300 MB</w:t>
            </w:r>
          </w:p>
        </w:tc>
      </w:tr>
      <w:tr w14:paraId="5C57096C">
        <w:trPr>
          <w:jc w:val="center"/>
        </w:trPr>
        <w:tc>
          <w:tcPr>
            <w:tcW w:w="2469" w:type="dxa"/>
            <w:vAlign w:val="center"/>
          </w:tcPr>
          <w:p w14:paraId="7346BDED">
            <w:pPr>
              <w:spacing w:after="0"/>
            </w:pPr>
            <w:r>
              <w:rPr>
                <w:rFonts w:ascii="Times New Roman" w:hAnsi="Times New Roman"/>
                <w:b w:val="0"/>
                <w:sz w:val="17"/>
              </w:rPr>
              <w:t>ST-GraphAD</w:t>
            </w:r>
          </w:p>
        </w:tc>
        <w:tc>
          <w:tcPr>
            <w:tcW w:w="2469" w:type="dxa"/>
            <w:vAlign w:val="center"/>
          </w:tcPr>
          <w:p w14:paraId="5AE9541A">
            <w:pPr>
              <w:spacing w:after="0"/>
            </w:pPr>
            <w:r>
              <w:rPr>
                <w:rFonts w:ascii="Times New Roman" w:hAnsi="Times New Roman"/>
                <w:b w:val="0"/>
                <w:sz w:val="17"/>
              </w:rPr>
              <w:t>~4.2M</w:t>
            </w:r>
          </w:p>
        </w:tc>
        <w:tc>
          <w:tcPr>
            <w:tcW w:w="2469" w:type="dxa"/>
            <w:vAlign w:val="center"/>
          </w:tcPr>
          <w:p w14:paraId="4826725B">
            <w:pPr>
              <w:spacing w:after="0"/>
            </w:pPr>
            <w:r>
              <w:rPr>
                <w:rFonts w:ascii="Times New Roman" w:hAnsi="Times New Roman"/>
                <w:b w:val="0"/>
                <w:sz w:val="17"/>
              </w:rPr>
              <w:t>~418 s</w:t>
            </w:r>
          </w:p>
        </w:tc>
        <w:tc>
          <w:tcPr>
            <w:tcW w:w="2469" w:type="dxa"/>
            <w:vAlign w:val="center"/>
          </w:tcPr>
          <w:p w14:paraId="097ECA52">
            <w:pPr>
              <w:spacing w:after="0"/>
            </w:pPr>
            <w:r>
              <w:rPr>
                <w:rFonts w:ascii="Times New Roman" w:hAnsi="Times New Roman"/>
                <w:b w:val="0"/>
                <w:sz w:val="17"/>
              </w:rPr>
              <w:t>~1.2 GB</w:t>
            </w:r>
          </w:p>
        </w:tc>
      </w:tr>
    </w:tbl>
    <w:p w14:paraId="10974A9D">
      <w:pPr>
        <w:pStyle w:val="164"/>
        <w:jc w:val="center"/>
      </w:pPr>
      <w:r>
        <w:t>Table 9. Reported computational cost for the corrected configuration.</w:t>
      </w:r>
    </w:p>
    <w:p w14:paraId="7BB78D1D">
      <w:pPr>
        <w:spacing w:after="0"/>
      </w:pPr>
    </w:p>
    <w:p w14:paraId="17CC45F6">
      <w:r>
        <w:t>ST-GraphAD uses approximately 23 times more parameters, approximately four times more memory, and approximately 12 times the full training time of the GCN baseline. The principal source of overhead is the temporal attention module and the padded sequence representation.</w:t>
      </w:r>
    </w:p>
    <w:p w14:paraId="278C081C">
      <w:r>
        <w:br w:type="page"/>
      </w:r>
    </w:p>
    <w:p w14:paraId="5F3A27F8">
      <w:pPr>
        <w:pStyle w:val="2"/>
      </w:pPr>
      <w:r>
        <w:t>7. Experimental Training Curves</w:t>
      </w:r>
    </w:p>
    <w:p w14:paraId="5E09C4E1">
      <w:pPr>
        <w:jc w:val="center"/>
      </w:pPr>
      <w:r>
        <w:drawing>
          <wp:inline distT="0" distB="0" distL="114300" distR="114300">
            <wp:extent cx="6080760" cy="3362960"/>
            <wp:effectExtent l="0" t="0" r="15240"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080760" cy="3363102"/>
                    </a:xfrm>
                    <a:prstGeom prst="rect">
                      <a:avLst/>
                    </a:prstGeom>
                  </pic:spPr>
                </pic:pic>
              </a:graphicData>
            </a:graphic>
          </wp:inline>
        </w:drawing>
      </w:r>
    </w:p>
    <w:p w14:paraId="7F208324">
      <w:pPr>
        <w:pStyle w:val="164"/>
        <w:jc w:val="center"/>
      </w:pPr>
      <w:r>
        <w:t>Figure 1. Supplied corrected-run training results: training loss, validation node AUC-ROC, validation node F1, validation node precision/recall, and the ST-GNN test confusion matrix.</w:t>
      </w:r>
    </w:p>
    <w:p w14:paraId="2838189E">
      <w:r>
        <w:t>The figure provides an epoch-level view of the corrected evaluation. Validation AUC and F1 are now explicitly node-level metrics and evolve over training, in contrast to the earlier graph-level plots in which AUC remained at 0.00 because of the degenerate graph label. The confusion matrix demonstrates non-trivial classification of both Normal and Attack nodes. The numerical values in the main Results section are taken from the logged evaluation outputs rather than visually estimated from the chart.</w:t>
      </w:r>
    </w:p>
    <w:p w14:paraId="4C8A3A2B">
      <w:pPr>
        <w:pStyle w:val="2"/>
      </w:pPr>
      <w:r>
        <w:t>8. Discussion</w:t>
      </w:r>
    </w:p>
    <w:p w14:paraId="2DCE38CB">
      <w:pPr>
        <w:pStyle w:val="3"/>
      </w:pPr>
      <w:r>
        <w:t>8.1 Effect of Temporal Modeling</w:t>
      </w:r>
    </w:p>
    <w:p w14:paraId="59C50F33">
      <w:r>
        <w:t>The corrected multi-seed experiment shows a mean AUC advantage for ST-GraphAD over the spatial-only GCN. A plausible mechanistic explanation is that temporal attention allows the latest node representation to incorporate recent graph history. This can help when malicious behavior is distributed across successive windows. Nevertheless, the experiment does not independently establish which specific attack stages are encoded by individual attention heads; such claims would require explicit attention analysis and case-level attribution.</w:t>
      </w:r>
    </w:p>
    <w:p w14:paraId="37C8C5DE">
      <w:pPr>
        <w:pStyle w:val="3"/>
      </w:pPr>
      <w:r>
        <w:t>8.2 Operational Interpretation</w:t>
      </w:r>
    </w:p>
    <w:p w14:paraId="6C145E46">
      <w:r>
        <w:t>The node-level formulation produces an anomaly score for each pseudo-node, which can support analyst prioritization. The temporal mechanism provides additional context beyond a single snapshot. At the same time, the computational cost and the pseudo-node representation limit direct deployment claims for large, real enterprise networks.</w:t>
      </w:r>
    </w:p>
    <w:p w14:paraId="74C46786">
      <w:pPr>
        <w:pStyle w:val="3"/>
      </w:pPr>
    </w:p>
    <w:p w14:paraId="6383180A">
      <w:pPr>
        <w:pStyle w:val="3"/>
      </w:pPr>
    </w:p>
    <w:p w14:paraId="66822F1F">
      <w:pPr>
        <w:pStyle w:val="3"/>
      </w:pPr>
      <w:r>
        <w:br w:type="textWrapping"/>
      </w:r>
    </w:p>
    <w:p w14:paraId="03413D1F">
      <w:pPr>
        <w:pStyle w:val="3"/>
      </w:pPr>
      <w:r>
        <w:t>8.3 Limitations and Threats to Validity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93"/>
        <w:gridCol w:w="3293"/>
        <w:gridCol w:w="3293"/>
      </w:tblGrid>
      <w:tr w14:paraId="7C282658">
        <w:trPr>
          <w:jc w:val="center"/>
        </w:trPr>
        <w:tc>
          <w:tcPr>
            <w:tcW w:w="3293" w:type="dxa"/>
            <w:shd w:val="clear" w:color="auto" w:fill="D9E2F3"/>
            <w:vAlign w:val="center"/>
          </w:tcPr>
          <w:p w14:paraId="03502F7B">
            <w:pPr>
              <w:spacing w:after="0"/>
            </w:pPr>
            <w:r>
              <w:rPr>
                <w:rFonts w:ascii="Times New Roman" w:hAnsi="Times New Roman"/>
                <w:b/>
                <w:sz w:val="17"/>
              </w:rPr>
              <w:t>Threat</w:t>
            </w:r>
          </w:p>
        </w:tc>
        <w:tc>
          <w:tcPr>
            <w:tcW w:w="3293" w:type="dxa"/>
            <w:shd w:val="clear" w:color="auto" w:fill="D9E2F3"/>
            <w:vAlign w:val="center"/>
          </w:tcPr>
          <w:p w14:paraId="6BF1AD2A">
            <w:pPr>
              <w:spacing w:after="0"/>
            </w:pPr>
            <w:r>
              <w:rPr>
                <w:rFonts w:ascii="Times New Roman" w:hAnsi="Times New Roman"/>
                <w:b/>
                <w:sz w:val="17"/>
              </w:rPr>
              <w:t>Severity</w:t>
            </w:r>
          </w:p>
        </w:tc>
        <w:tc>
          <w:tcPr>
            <w:tcW w:w="3293" w:type="dxa"/>
            <w:shd w:val="clear" w:color="auto" w:fill="D9E2F3"/>
            <w:vAlign w:val="center"/>
          </w:tcPr>
          <w:p w14:paraId="35EF7403">
            <w:pPr>
              <w:spacing w:after="0"/>
            </w:pPr>
            <w:r>
              <w:rPr>
                <w:rFonts w:ascii="Times New Roman" w:hAnsi="Times New Roman"/>
                <w:b/>
                <w:sz w:val="17"/>
              </w:rPr>
              <w:t>Current status</w:t>
            </w:r>
          </w:p>
        </w:tc>
      </w:tr>
      <w:tr w14:paraId="77A439E5">
        <w:trPr>
          <w:jc w:val="center"/>
        </w:trPr>
        <w:tc>
          <w:tcPr>
            <w:tcW w:w="3293" w:type="dxa"/>
            <w:vAlign w:val="center"/>
          </w:tcPr>
          <w:p w14:paraId="798A1B57">
            <w:pPr>
              <w:spacing w:after="0"/>
            </w:pPr>
            <w:r>
              <w:rPr>
                <w:rFonts w:ascii="Times New Roman" w:hAnsi="Times New Roman"/>
                <w:b w:val="0"/>
                <w:sz w:val="17"/>
              </w:rPr>
              <w:t>Pseudo-node construction</w:t>
            </w:r>
          </w:p>
        </w:tc>
        <w:tc>
          <w:tcPr>
            <w:tcW w:w="3293" w:type="dxa"/>
            <w:vAlign w:val="center"/>
          </w:tcPr>
          <w:p w14:paraId="467A5790">
            <w:pPr>
              <w:spacing w:after="0"/>
            </w:pPr>
            <w:r>
              <w:rPr>
                <w:rFonts w:ascii="Times New Roman" w:hAnsi="Times New Roman"/>
                <w:b w:val="0"/>
                <w:sz w:val="17"/>
              </w:rPr>
              <w:t>High</w:t>
            </w:r>
          </w:p>
        </w:tc>
        <w:tc>
          <w:tcPr>
            <w:tcW w:w="3293" w:type="dxa"/>
            <w:vAlign w:val="center"/>
          </w:tcPr>
          <w:p w14:paraId="5964BC84">
            <w:pPr>
              <w:spacing w:after="0"/>
            </w:pPr>
            <w:r>
              <w:rPr>
                <w:rFonts w:ascii="Times New Roman" w:hAnsi="Times New Roman"/>
                <w:b w:val="0"/>
                <w:sz w:val="17"/>
              </w:rPr>
              <w:t>Unfixed; graph nodes are categorical proxies, not real hosts/IPs.</w:t>
            </w:r>
          </w:p>
        </w:tc>
      </w:tr>
      <w:tr w14:paraId="16835FB4">
        <w:trPr>
          <w:jc w:val="center"/>
        </w:trPr>
        <w:tc>
          <w:tcPr>
            <w:tcW w:w="3293" w:type="dxa"/>
            <w:vAlign w:val="center"/>
          </w:tcPr>
          <w:p w14:paraId="0C41099D">
            <w:pPr>
              <w:spacing w:after="0"/>
            </w:pPr>
            <w:r>
              <w:rPr>
                <w:rFonts w:ascii="Times New Roman" w:hAnsi="Times New Roman"/>
                <w:b w:val="0"/>
                <w:sz w:val="17"/>
              </w:rPr>
              <w:t>Fixed 1,000-flow windows</w:t>
            </w:r>
          </w:p>
        </w:tc>
        <w:tc>
          <w:tcPr>
            <w:tcW w:w="3293" w:type="dxa"/>
            <w:vAlign w:val="center"/>
          </w:tcPr>
          <w:p w14:paraId="090D84C1">
            <w:pPr>
              <w:spacing w:after="0"/>
            </w:pPr>
            <w:r>
              <w:rPr>
                <w:rFonts w:ascii="Times New Roman" w:hAnsi="Times New Roman"/>
                <w:b w:val="0"/>
                <w:sz w:val="17"/>
              </w:rPr>
              <w:t>High</w:t>
            </w:r>
          </w:p>
        </w:tc>
        <w:tc>
          <w:tcPr>
            <w:tcW w:w="3293" w:type="dxa"/>
            <w:vAlign w:val="center"/>
          </w:tcPr>
          <w:p w14:paraId="1D824FAD">
            <w:pPr>
              <w:spacing w:after="0"/>
            </w:pPr>
            <w:r>
              <w:rPr>
                <w:rFonts w:ascii="Times New Roman" w:hAnsi="Times New Roman"/>
                <w:b w:val="0"/>
                <w:sz w:val="17"/>
              </w:rPr>
              <w:t>Unfixed; row order substitutes for real timestamps.</w:t>
            </w:r>
          </w:p>
        </w:tc>
      </w:tr>
      <w:tr w14:paraId="71352405">
        <w:trPr>
          <w:jc w:val="center"/>
        </w:trPr>
        <w:tc>
          <w:tcPr>
            <w:tcW w:w="3293" w:type="dxa"/>
            <w:vAlign w:val="center"/>
          </w:tcPr>
          <w:p w14:paraId="03E5022C">
            <w:pPr>
              <w:spacing w:after="0"/>
            </w:pPr>
            <w:r>
              <w:rPr>
                <w:rFonts w:ascii="Times New Roman" w:hAnsi="Times New Roman"/>
                <w:b w:val="0"/>
                <w:sz w:val="17"/>
              </w:rPr>
              <w:t>Binary node labels</w:t>
            </w:r>
          </w:p>
        </w:tc>
        <w:tc>
          <w:tcPr>
            <w:tcW w:w="3293" w:type="dxa"/>
            <w:vAlign w:val="center"/>
          </w:tcPr>
          <w:p w14:paraId="4820324C">
            <w:pPr>
              <w:spacing w:after="0"/>
            </w:pPr>
            <w:r>
              <w:rPr>
                <w:rFonts w:ascii="Times New Roman" w:hAnsi="Times New Roman"/>
                <w:b w:val="0"/>
                <w:sz w:val="17"/>
              </w:rPr>
              <w:t>Medium</w:t>
            </w:r>
          </w:p>
        </w:tc>
        <w:tc>
          <w:tcPr>
            <w:tcW w:w="3293" w:type="dxa"/>
            <w:vAlign w:val="center"/>
          </w:tcPr>
          <w:p w14:paraId="2A7213B8">
            <w:pPr>
              <w:spacing w:after="0"/>
            </w:pPr>
            <w:r>
              <w:rPr>
                <w:rFonts w:ascii="Times New Roman" w:hAnsi="Times New Roman"/>
                <w:b w:val="0"/>
                <w:sz w:val="17"/>
              </w:rPr>
              <w:t>Only attack vs. normal is currently evaluated.</w:t>
            </w:r>
          </w:p>
        </w:tc>
      </w:tr>
      <w:tr w14:paraId="053B19C0">
        <w:trPr>
          <w:jc w:val="center"/>
        </w:trPr>
        <w:tc>
          <w:tcPr>
            <w:tcW w:w="3293" w:type="dxa"/>
            <w:vAlign w:val="center"/>
          </w:tcPr>
          <w:p w14:paraId="54374C55">
            <w:pPr>
              <w:spacing w:after="0"/>
            </w:pPr>
            <w:r>
              <w:rPr>
                <w:rFonts w:ascii="Times New Roman" w:hAnsi="Times New Roman"/>
                <w:b w:val="0"/>
                <w:sz w:val="17"/>
              </w:rPr>
              <w:t>Per-attack-category evaluation</w:t>
            </w:r>
          </w:p>
        </w:tc>
        <w:tc>
          <w:tcPr>
            <w:tcW w:w="3293" w:type="dxa"/>
            <w:vAlign w:val="center"/>
          </w:tcPr>
          <w:p w14:paraId="1AE80340">
            <w:pPr>
              <w:spacing w:after="0"/>
            </w:pPr>
            <w:r>
              <w:rPr>
                <w:rFonts w:ascii="Times New Roman" w:hAnsi="Times New Roman"/>
                <w:b w:val="0"/>
                <w:sz w:val="17"/>
              </w:rPr>
              <w:t>Medium</w:t>
            </w:r>
          </w:p>
        </w:tc>
        <w:tc>
          <w:tcPr>
            <w:tcW w:w="3293" w:type="dxa"/>
            <w:vAlign w:val="center"/>
          </w:tcPr>
          <w:p w14:paraId="2B7B92E4">
            <w:pPr>
              <w:spacing w:after="0"/>
            </w:pPr>
            <w:r>
              <w:rPr>
                <w:rFonts w:ascii="Times New Roman" w:hAnsi="Times New Roman"/>
                <w:b w:val="0"/>
                <w:sz w:val="17"/>
              </w:rPr>
              <w:t>Not yet implemented.</w:t>
            </w:r>
          </w:p>
        </w:tc>
      </w:tr>
      <w:tr w14:paraId="65516079">
        <w:trPr>
          <w:jc w:val="center"/>
        </w:trPr>
        <w:tc>
          <w:tcPr>
            <w:tcW w:w="3293" w:type="dxa"/>
            <w:vAlign w:val="center"/>
          </w:tcPr>
          <w:p w14:paraId="55D84161">
            <w:pPr>
              <w:spacing w:after="0"/>
            </w:pPr>
            <w:r>
              <w:rPr>
                <w:rFonts w:ascii="Times New Roman" w:hAnsi="Times New Roman"/>
                <w:b w:val="0"/>
                <w:sz w:val="17"/>
              </w:rPr>
              <w:t>Attention interpretability</w:t>
            </w:r>
          </w:p>
        </w:tc>
        <w:tc>
          <w:tcPr>
            <w:tcW w:w="3293" w:type="dxa"/>
            <w:vAlign w:val="center"/>
          </w:tcPr>
          <w:p w14:paraId="5BC73197">
            <w:pPr>
              <w:spacing w:after="0"/>
            </w:pPr>
            <w:r>
              <w:rPr>
                <w:rFonts w:ascii="Times New Roman" w:hAnsi="Times New Roman"/>
                <w:b w:val="0"/>
                <w:sz w:val="17"/>
              </w:rPr>
              <w:t>Medium</w:t>
            </w:r>
          </w:p>
        </w:tc>
        <w:tc>
          <w:tcPr>
            <w:tcW w:w="3293" w:type="dxa"/>
            <w:vAlign w:val="center"/>
          </w:tcPr>
          <w:p w14:paraId="734CD13F">
            <w:pPr>
              <w:spacing w:after="0"/>
            </w:pPr>
            <w:r>
              <w:rPr>
                <w:rFonts w:ascii="Times New Roman" w:hAnsi="Times New Roman"/>
                <w:b w:val="0"/>
                <w:sz w:val="17"/>
              </w:rPr>
              <w:t>No quantitative head/entropy analysis yet.</w:t>
            </w:r>
          </w:p>
        </w:tc>
      </w:tr>
      <w:tr w14:paraId="5EFCE9B7">
        <w:trPr>
          <w:jc w:val="center"/>
        </w:trPr>
        <w:tc>
          <w:tcPr>
            <w:tcW w:w="3293" w:type="dxa"/>
            <w:vAlign w:val="center"/>
          </w:tcPr>
          <w:p w14:paraId="2EC4F6AC">
            <w:pPr>
              <w:spacing w:after="0"/>
            </w:pPr>
            <w:r>
              <w:rPr>
                <w:rFonts w:ascii="Times New Roman" w:hAnsi="Times New Roman"/>
                <w:b w:val="0"/>
                <w:sz w:val="17"/>
              </w:rPr>
              <w:t>Single-dataset evaluation</w:t>
            </w:r>
          </w:p>
        </w:tc>
        <w:tc>
          <w:tcPr>
            <w:tcW w:w="3293" w:type="dxa"/>
            <w:vAlign w:val="center"/>
          </w:tcPr>
          <w:p w14:paraId="55C1DB2E">
            <w:pPr>
              <w:spacing w:after="0"/>
            </w:pPr>
            <w:r>
              <w:rPr>
                <w:rFonts w:ascii="Times New Roman" w:hAnsi="Times New Roman"/>
                <w:b w:val="0"/>
                <w:sz w:val="17"/>
              </w:rPr>
              <w:t>Medium</w:t>
            </w:r>
          </w:p>
        </w:tc>
        <w:tc>
          <w:tcPr>
            <w:tcW w:w="3293" w:type="dxa"/>
            <w:vAlign w:val="center"/>
          </w:tcPr>
          <w:p w14:paraId="76B18792">
            <w:pPr>
              <w:spacing w:after="0"/>
            </w:pPr>
            <w:r>
              <w:rPr>
                <w:rFonts w:ascii="Times New Roman" w:hAnsi="Times New Roman"/>
                <w:b w:val="0"/>
                <w:sz w:val="17"/>
              </w:rPr>
              <w:t>Generalization beyond UNSW-NB15 remains untested.</w:t>
            </w:r>
          </w:p>
        </w:tc>
      </w:tr>
      <w:tr w14:paraId="349961E7">
        <w:trPr>
          <w:jc w:val="center"/>
        </w:trPr>
        <w:tc>
          <w:tcPr>
            <w:tcW w:w="3293" w:type="dxa"/>
            <w:vAlign w:val="center"/>
          </w:tcPr>
          <w:p w14:paraId="2EB1BB90">
            <w:pPr>
              <w:spacing w:after="0"/>
            </w:pPr>
            <w:r>
              <w:rPr>
                <w:rFonts w:ascii="Times New Roman" w:hAnsi="Times New Roman"/>
                <w:b w:val="0"/>
                <w:sz w:val="17"/>
              </w:rPr>
              <w:t>Higher ST-GraphAD variance</w:t>
            </w:r>
          </w:p>
        </w:tc>
        <w:tc>
          <w:tcPr>
            <w:tcW w:w="3293" w:type="dxa"/>
            <w:vAlign w:val="center"/>
          </w:tcPr>
          <w:p w14:paraId="470442F0">
            <w:pPr>
              <w:spacing w:after="0"/>
            </w:pPr>
            <w:r>
              <w:rPr>
                <w:rFonts w:ascii="Times New Roman" w:hAnsi="Times New Roman"/>
                <w:b w:val="0"/>
                <w:sz w:val="17"/>
              </w:rPr>
              <w:t>Medium</w:t>
            </w:r>
          </w:p>
        </w:tc>
        <w:tc>
          <w:tcPr>
            <w:tcW w:w="3293" w:type="dxa"/>
            <w:vAlign w:val="center"/>
          </w:tcPr>
          <w:p w14:paraId="5CF0525B">
            <w:pPr>
              <w:spacing w:after="0"/>
            </w:pPr>
            <w:r>
              <w:rPr>
                <w:rFonts w:ascii="Times New Roman" w:hAnsi="Times New Roman"/>
                <w:b w:val="0"/>
                <w:sz w:val="17"/>
              </w:rPr>
              <w:t>Five-seed evaluation shows AUC std 0.078 vs 0.030 for GCN.</w:t>
            </w:r>
          </w:p>
        </w:tc>
      </w:tr>
    </w:tbl>
    <w:p w14:paraId="681C6D17">
      <w:pPr>
        <w:pStyle w:val="164"/>
        <w:jc w:val="center"/>
      </w:pPr>
      <w:r>
        <w:t>Table 10. Remaining methodological limitations.</w:t>
      </w:r>
    </w:p>
    <w:p w14:paraId="4A5B4C34">
      <w:pPr>
        <w:spacing w:after="0"/>
      </w:pPr>
    </w:p>
    <w:p w14:paraId="1AAD7517">
      <w:r>
        <w:t>The corrected protocol removes the earlier use of the official test set for early stopping and fits preprocessing on training flows only. The printed implementation sanity checks may still report overlapping node identifiers across partitions. Such overlap is not, by itself, proof of flow-level leakage because the same pseudo-node type can occur in multiple partitions; however, the code should make this distinction explicit by testing flow/index disjointness separately from node-identifier overlap before final release.</w:t>
      </w:r>
    </w:p>
    <w:p w14:paraId="21938DC1">
      <w:pPr>
        <w:pStyle w:val="2"/>
      </w:pPr>
      <w:r>
        <w:t>9. Reproducibility and Study Status</w:t>
      </w:r>
    </w:p>
    <w:p w14:paraId="59C8ED53">
      <w:r>
        <w:t>The corrected experiment uses the public UNSW-NB15 train/test CSVs, an 85/15 stratified split of the training CSV, training-only preprocessing, node-level validation AUC for model selection, and five random seeds for the headline aggregate results. The complete protocol is specified in this paper so that an independent implementation can reproduce the reported configuration.</w:t>
      </w:r>
    </w:p>
    <w:p w14:paraId="411D6F52">
      <w:r>
        <w:t>The current implementation does not yet include per-attack-category node-level evaluation or a statistically powered ablation study. These omissions are stated explicitly rather than represented by placeholder values. In particular, the earlier aspirational 0.91/0.88 results are not used as the principal result of the corrected study.</w:t>
      </w:r>
    </w:p>
    <w:p w14:paraId="09EAB1E1">
      <w:pPr>
        <w:pStyle w:val="2"/>
      </w:pPr>
      <w:r>
        <w:t>10. Conclusion and Future Work</w:t>
      </w:r>
    </w:p>
    <w:p w14:paraId="586107BE">
      <w:r>
        <w:t>This work introduced ST-GraphAD, a spatio-temporal graph neural network for node-level network intrusion detection on UNSW-NB15. The corrected experimental protocol replaces the earlier graph-level validation signal with node-level validation AUC, reserves the official test set for final evaluation, and fits preprocessing transformations only on training data. Under five-seed evaluation, ST-GraphAD reaches 0.657 ± 0.078 AUC-ROC and 0.858 ± 0.021 F1, compared with 0.612 ± 0.030 AUC and 0.836 ± 0.013 F1 for the static GCN baseline. The mean AUC advantage is 0.045 absolute, but the larger variance of ST-GraphAD indicates that the effect is not yet a stable universal estimate.</w:t>
      </w:r>
    </w:p>
    <w:p w14:paraId="7CB49A43">
      <w:r>
        <w:t>The most important next steps are to replace pseudo-nodes with real IP/port entities when packet captures are available, use real timestamps or continuous-time temporal GNNs, evaluate all nine attack categories, quantify attention behavior, and add statistically controlled temporal baselines and ablations.</w:t>
      </w:r>
    </w:p>
    <w:p w14:paraId="7ACB80E9">
      <w:pPr>
        <w:pStyle w:val="2"/>
      </w:pPr>
      <w:r>
        <w:t>References</w:t>
      </w:r>
    </w:p>
    <w:p w14:paraId="5A20B705">
      <w:pPr>
        <w:pStyle w:val="165"/>
      </w:pPr>
      <w:r>
        <w:t>[1] N. Moustafa and J. Slay, “UNSW-NB15: A comprehensive data set for network intrusion detection systems,” Military Communications and Information Systems Conference (MilCIS), 2015.</w:t>
      </w:r>
    </w:p>
    <w:p w14:paraId="4B5CC307">
      <w:pPr>
        <w:pStyle w:val="165"/>
      </w:pPr>
      <w:r>
        <w:t>[2] T. N. Kipf and M. Welling, “Semi-Supervised Classification with Graph Convolutional Networks,” International Conference on Learning Representations (ICLR), 2017.</w:t>
      </w:r>
    </w:p>
    <w:p w14:paraId="70826F16">
      <w:pPr>
        <w:pStyle w:val="165"/>
      </w:pPr>
      <w:r>
        <w:t>[3] P. Veličković et al., “Graph Attention Networks,” ICLR, 2018.</w:t>
      </w:r>
    </w:p>
    <w:p w14:paraId="0B570465">
      <w:pPr>
        <w:pStyle w:val="165"/>
      </w:pPr>
      <w:r>
        <w:t>[4] W. Hamilton, Z. Ying, and J. Leskovec, “Inductive Representation Learning on Large Graphs,” Advances in Neural Information Processing Systems (NeurIPS), 2017.</w:t>
      </w:r>
    </w:p>
    <w:p w14:paraId="372DE28E">
      <w:pPr>
        <w:pStyle w:val="165"/>
      </w:pPr>
      <w:r>
        <w:t>[5] A. Vaswani et al., “Attention Is All You Need,” NeurIPS, 2017.</w:t>
      </w:r>
    </w:p>
    <w:p w14:paraId="21B68C67">
      <w:pPr>
        <w:pStyle w:val="165"/>
      </w:pPr>
      <w:r>
        <w:t>[6] D. Xu et al., “Inductive Representation Learning on Temporal Graphs,” ICLR, 2020.</w:t>
      </w:r>
    </w:p>
    <w:p w14:paraId="391CF2A0">
      <w:pPr>
        <w:pStyle w:val="165"/>
      </w:pPr>
      <w:r>
        <w:t>[7] E. Rossi et al., “Temporal Graph Networks for Deep Learning on Dynamic Graphs,” ICML Workshop, 2020.</w:t>
      </w:r>
    </w:p>
    <w:p w14:paraId="0C1DDE43">
      <w:pPr>
        <w:pStyle w:val="165"/>
      </w:pPr>
      <w:r>
        <w:t>[8] Y. Zhang et al., “Botnet Detection Based on Graph Convolutional Networks,” IEEE Access, 2019.</w:t>
      </w:r>
    </w:p>
    <w:p w14:paraId="2DF53A34">
      <w:pPr>
        <w:pStyle w:val="165"/>
      </w:pPr>
      <w:r>
        <w:t>[9] S. M. Milajerdi et al., “HOLMES: Real-Time APT Detection through Correlation of Suspicious Information Flows,” IEEE Symposium on Security and Privacy, 2019.</w:t>
      </w:r>
    </w:p>
    <w:p w14:paraId="1875E815">
      <w:pPr>
        <w:pStyle w:val="165"/>
      </w:pPr>
      <w:r>
        <w:t>[10] T.-Y. Lin et al., “Focal Loss for Dense Object Detection,” ICCV, 2017.</w:t>
      </w:r>
    </w:p>
    <w:p w14:paraId="3E932C30">
      <w:pPr>
        <w:pStyle w:val="2"/>
      </w:pPr>
      <w:r>
        <w:t>Appendix A. Architecture Summary</w:t>
      </w:r>
    </w:p>
    <w:p w14:paraId="7DEEA83C">
      <w:r>
        <w:t>The forward path is: five graph snapshots → shared three-layer GCN → five sets of 128-dimensional node embeddings → padding and temporal positional encoding → two-layer, four-head self-attention → final-window node embeddings → node-level and graph-level classification heads.</w:t>
      </w:r>
    </w:p>
    <w:p w14:paraId="19D5D7D5">
      <w:pPr>
        <w:pStyle w:val="2"/>
      </w:pPr>
      <w:r>
        <w:t>Appendix B. Graph Construction Pseudocode</w:t>
      </w:r>
    </w:p>
    <w:p w14:paraId="077E202A">
      <w:r>
        <w:rPr>
          <w:rFonts w:ascii="Courier New" w:hAnsi="Courier New"/>
          <w:sz w:val="17"/>
        </w:rPr>
        <w:t>def construct_graphs(csv, window_size=1000):</w:t>
      </w:r>
      <w:r>
        <w:rPr>
          <w:rFonts w:ascii="Courier New" w:hAnsi="Courier New"/>
          <w:sz w:val="17"/>
        </w:rPr>
        <w:br w:type="textWrapping"/>
      </w:r>
      <w:r>
        <w:rPr>
          <w:rFonts w:ascii="Courier New" w:hAnsi="Courier New"/>
          <w:sz w:val="17"/>
        </w:rPr>
        <w:t xml:space="preserve">    df = read_csv(csv)</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 Fit categorical encoders/scaler on TRAINING DATA ONLY.</w:t>
      </w:r>
      <w:r>
        <w:rPr>
          <w:rFonts w:ascii="Courier New" w:hAnsi="Courier New"/>
          <w:sz w:val="17"/>
        </w:rPr>
        <w:br w:type="textWrapping"/>
      </w:r>
      <w:r>
        <w:rPr>
          <w:rFonts w:ascii="Courier New" w:hAnsi="Courier New"/>
          <w:sz w:val="17"/>
        </w:rPr>
        <w:t xml:space="preserve">    df = encode_and_scale(df)</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df["src_node"] = df["proto"] + "_" + df["service"] + "_src"</w:t>
      </w:r>
      <w:r>
        <w:rPr>
          <w:rFonts w:ascii="Courier New" w:hAnsi="Courier New"/>
          <w:sz w:val="17"/>
        </w:rPr>
        <w:br w:type="textWrapping"/>
      </w:r>
      <w:r>
        <w:rPr>
          <w:rFonts w:ascii="Courier New" w:hAnsi="Courier New"/>
          <w:sz w:val="17"/>
        </w:rPr>
        <w:t xml:space="preserve">    df["dst_node"] = df["state"] + "_" + df["service"] + "_dst"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df["window_id"] = df.index // window_size</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graphs = []</w:t>
      </w:r>
      <w:r>
        <w:rPr>
          <w:rFonts w:ascii="Courier New" w:hAnsi="Courier New"/>
          <w:sz w:val="17"/>
        </w:rPr>
        <w:br w:type="textWrapping"/>
      </w:r>
      <w:r>
        <w:rPr>
          <w:rFonts w:ascii="Courier New" w:hAnsi="Courier New"/>
          <w:sz w:val="17"/>
        </w:rPr>
        <w:t xml:space="preserve">    for _, wdf in df.groupby("window_id"):</w:t>
      </w:r>
      <w:r>
        <w:rPr>
          <w:rFonts w:ascii="Courier New" w:hAnsi="Courier New"/>
          <w:sz w:val="17"/>
        </w:rPr>
        <w:br w:type="textWrapping"/>
      </w:r>
      <w:r>
        <w:rPr>
          <w:rFonts w:ascii="Courier New" w:hAnsi="Courier New"/>
          <w:sz w:val="17"/>
        </w:rPr>
        <w:t xml:space="preserve">        if len(wdf) &lt; 10:</w:t>
      </w:r>
      <w:r>
        <w:rPr>
          <w:rFonts w:ascii="Courier New" w:hAnsi="Courier New"/>
          <w:sz w:val="17"/>
        </w:rPr>
        <w:br w:type="textWrapping"/>
      </w:r>
      <w:r>
        <w:rPr>
          <w:rFonts w:ascii="Courier New" w:hAnsi="Courier New"/>
          <w:sz w:val="17"/>
        </w:rPr>
        <w:t xml:space="preserve">            continue</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node_features = aggregate_node_statistics(wdf)</w:t>
      </w:r>
      <w:r>
        <w:rPr>
          <w:rFonts w:ascii="Courier New" w:hAnsi="Courier New"/>
          <w:sz w:val="17"/>
        </w:rPr>
        <w:br w:type="textWrapping"/>
      </w:r>
      <w:r>
        <w:rPr>
          <w:rFonts w:ascii="Courier New" w:hAnsi="Courier New"/>
          <w:sz w:val="17"/>
        </w:rPr>
        <w:t xml:space="preserve">        node_labels = aggregate_binary_labels(wdf)</w:t>
      </w:r>
      <w:r>
        <w:rPr>
          <w:rFonts w:ascii="Courier New" w:hAnsi="Courier New"/>
          <w:sz w:val="17"/>
        </w:rPr>
        <w:br w:type="textWrapping"/>
      </w:r>
      <w:r>
        <w:rPr>
          <w:rFonts w:ascii="Courier New" w:hAnsi="Courier New"/>
          <w:sz w:val="17"/>
        </w:rPr>
        <w:t xml:space="preserve">        edge_index = build_directed_edges(wdf)</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graphs.append(</w:t>
      </w:r>
      <w:r>
        <w:rPr>
          <w:rFonts w:ascii="Courier New" w:hAnsi="Courier New"/>
          <w:sz w:val="17"/>
        </w:rPr>
        <w:br w:type="textWrapping"/>
      </w:r>
      <w:r>
        <w:rPr>
          <w:rFonts w:ascii="Courier New" w:hAnsi="Courier New"/>
          <w:sz w:val="17"/>
        </w:rPr>
        <w:t xml:space="preserve">            Data(x=node_features,</w:t>
      </w:r>
      <w:r>
        <w:rPr>
          <w:rFonts w:ascii="Courier New" w:hAnsi="Courier New"/>
          <w:sz w:val="17"/>
        </w:rPr>
        <w:br w:type="textWrapping"/>
      </w:r>
      <w:r>
        <w:rPr>
          <w:rFonts w:ascii="Courier New" w:hAnsi="Courier New"/>
          <w:sz w:val="17"/>
        </w:rPr>
        <w:t xml:space="preserve">                 edge_index=edge_index,</w:t>
      </w:r>
      <w:r>
        <w:rPr>
          <w:rFonts w:ascii="Courier New" w:hAnsi="Courier New"/>
          <w:sz w:val="17"/>
        </w:rPr>
        <w:br w:type="textWrapping"/>
      </w:r>
      <w:r>
        <w:rPr>
          <w:rFonts w:ascii="Courier New" w:hAnsi="Courier New"/>
          <w:sz w:val="17"/>
        </w:rPr>
        <w:t xml:space="preserve">                 y=node_labels)</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return graphs</w:t>
      </w:r>
      <w:r>
        <w:rPr>
          <w:rFonts w:ascii="Courier New" w:hAnsi="Courier New"/>
          <w:sz w:val="17"/>
        </w:rPr>
        <w:br w:type="textWrapping"/>
      </w:r>
    </w:p>
    <w:p w14:paraId="592ED70A">
      <w:pPr>
        <w:pStyle w:val="2"/>
      </w:pPr>
      <w:r>
        <w:t>Appendix C. Experimental Result Figure</w:t>
      </w:r>
    </w:p>
    <w:p w14:paraId="12DCE06F">
      <w:r>
        <w:t>The following figure is the supplied corrected-run result and is retained as an experimental record. The paper's headline numerical results should always be taken from the saved evaluation output rather than from visual estimation of plotted curves.</w:t>
      </w:r>
    </w:p>
    <w:p w14:paraId="49B8C022">
      <w:pPr>
        <w:jc w:val="center"/>
      </w:pPr>
      <w:r>
        <w:drawing>
          <wp:inline distT="0" distB="0" distL="114300" distR="114300">
            <wp:extent cx="6035040" cy="3337560"/>
            <wp:effectExtent l="0" t="0" r="10160"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6035040" cy="3337815"/>
                    </a:xfrm>
                    <a:prstGeom prst="rect">
                      <a:avLst/>
                    </a:prstGeom>
                  </pic:spPr>
                </pic:pic>
              </a:graphicData>
            </a:graphic>
          </wp:inline>
        </w:drawing>
      </w:r>
    </w:p>
    <w:p w14:paraId="12A08E98">
      <w:pPr>
        <w:pStyle w:val="164"/>
        <w:jc w:val="center"/>
      </w:pPr>
      <w:r>
        <w:t>Figure C1. Corrected-run training loss, validation node metrics, and ST-GNN test confusion matrix.</w:t>
      </w:r>
    </w:p>
    <w:sectPr>
      <w:pgSz w:w="12240" w:h="15840"/>
      <w:pgMar w:top="1037" w:right="1181" w:bottom="1037" w:left="118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AF18B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2" w:lineRule="auto"/>
    </w:pPr>
    <w:rPr>
      <w:rFonts w:ascii="Times New Roman" w:hAnsi="Times New Roman"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3"/>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3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PaperCaption"/>
    <w:uiPriority w:val="0"/>
    <w:pPr>
      <w:spacing w:after="100" w:line="276" w:lineRule="auto"/>
    </w:pPr>
    <w:rPr>
      <w:rFonts w:ascii="Times New Roman" w:hAnsi="Times New Roman" w:eastAsiaTheme="minorEastAsia" w:cstheme="minorBidi"/>
      <w:i/>
      <w:sz w:val="18"/>
      <w:szCs w:val="22"/>
      <w:lang w:val="en-US" w:eastAsia="en-US" w:bidi="ar-SA"/>
    </w:rPr>
  </w:style>
  <w:style w:type="paragraph" w:customStyle="1" w:styleId="165">
    <w:name w:val="Reference"/>
    <w:uiPriority w:val="0"/>
    <w:pPr>
      <w:spacing w:after="60" w:line="276" w:lineRule="auto"/>
      <w:ind w:left="317" w:hanging="317"/>
    </w:pPr>
    <w:rPr>
      <w:rFonts w:ascii="Times New Roman" w:hAnsi="Times New Roman" w:eastAsiaTheme="minorEastAsia" w:cstheme="minorBid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Ayan_Bhaumik</cp:lastModifiedBy>
  <dcterms:modified xsi:type="dcterms:W3CDTF">2026-08-28T02:23:32Z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DBE855AD9B79DE2FCCA3906ABD2FCD71_42</vt:lpwstr>
  </property>
</Properties>
</file>