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762F14">
      <w:pPr>
        <w:spacing w:before="1600"/>
        <w:jc w:val="center"/>
        <w:rPr>
          <w:sz w:val="36"/>
          <w:szCs w:val="36"/>
        </w:rPr>
      </w:pPr>
      <w:r>
        <w:rPr>
          <w:rFonts w:ascii="Times New Roman" w:hAnsi="Times New Roman"/>
          <w:b/>
          <w:sz w:val="36"/>
          <w:szCs w:val="36"/>
        </w:rPr>
        <w:t>ST-GraphAD: A Spatio-Temporal Graph Neural Network</w:t>
      </w:r>
      <w:r>
        <w:rPr>
          <w:rFonts w:ascii="Times New Roman" w:hAnsi="Times New Roman"/>
          <w:b/>
          <w:sz w:val="36"/>
          <w:szCs w:val="36"/>
        </w:rPr>
        <w:br w:type="textWrapping"/>
      </w:r>
      <w:r>
        <w:rPr>
          <w:rFonts w:ascii="Times New Roman" w:hAnsi="Times New Roman"/>
          <w:b/>
          <w:sz w:val="36"/>
          <w:szCs w:val="36"/>
        </w:rPr>
        <w:t>for Network Intrusion Detection on UNSW-NB15</w:t>
      </w:r>
    </w:p>
    <w:p w14:paraId="395CD23B">
      <w:pPr>
        <w:spacing w:before="360"/>
        <w:jc w:val="center"/>
      </w:pPr>
      <w:r>
        <w:rPr>
          <w:b/>
          <w:sz w:val="26"/>
        </w:rPr>
        <w:t>Ayan Bhaumik</w:t>
      </w:r>
    </w:p>
    <w:p w14:paraId="03D4CBB6">
      <w:pPr>
        <w:jc w:val="center"/>
      </w:pPr>
      <w:r>
        <w:t>Independent Researcher</w:t>
      </w:r>
      <w:r>
        <w:br w:type="textWrapping"/>
      </w:r>
      <w:r>
        <w:t>mrayanbhaumik@gmail.com  |  connect@ayanbhaumik.in</w:t>
      </w:r>
    </w:p>
    <w:p w14:paraId="26AD895A">
      <w:pPr>
        <w:spacing w:before="1600"/>
        <w:jc w:val="center"/>
      </w:pPr>
      <w:r>
        <w:rPr>
          <w:i/>
        </w:rPr>
        <w:t>Research Manuscript — Revised, Submission-Oriented Draft</w:t>
      </w:r>
    </w:p>
    <w:p w14:paraId="59AFA2E5">
      <w:r>
        <w:br w:type="page"/>
      </w:r>
    </w:p>
    <w:p w14:paraId="53738563">
      <w:pPr>
        <w:pStyle w:val="2"/>
      </w:pPr>
      <w:r>
        <w:t>Abstract</w:t>
      </w:r>
    </w:p>
    <w:p w14:paraId="2731B09C">
      <w:r>
        <w:t>Network intrusion detection systems (NIDS) increasingly encounter attacks whose evidence is distributed across communicating entities and evolves over time. Conventional flow-level classifiers analyze individual records and therefore have limited ability to represent relational and temporal attack behavior. This paper presents ST-GraphAD, a spatio-temporal graph neural network designed for node-level anomaly detection in network traffic. The method converts the publicly available UNSW-NB15 flow records into a sequence of attributed graph snapshots, applies a shared three-layer graph convolutional network (GCN) to encode spatial structure, and uses a two-layer, four-head temporal self-attention module over five consecutive snapshots to capture temporal dependencies. Because the commonly distributed UNSW-NB15 CSV files do not expose source and destination IP addresses, the proposed preprocessing uses explicitly documented protocol–service–state pseudo-node identifiers; this approximation is treated as a central limitation rather than concealed. Under the current experimental run, ST-GraphAD achieves 0.91 node-level AUC-ROC, 0.88 F1, 0.89 precision, and 0.87 recall, compared with 0.87 AUC, 0.84 F1, 0.86 precision, and 0.82 recall for a static GCN baseline. The observed gains are indicative rather than statistically conclusive because each configuration was trained with a single random seed. Graph-level metrics are also shown to be unsuitable for the present label construction because approximately 95% of nodes are attack-labeled, producing a degenerate graph-level task. The study therefore treats node-level anomaly detection as the primary evaluation target and explicitly documents data leakage risks, pseudo-node construction, fixed temporal windows, class imbalance, and the absence of multi-seed and per-attack-category evaluation.</w:t>
      </w:r>
    </w:p>
    <w:p w14:paraId="5A4E1561">
      <w:r>
        <w:rPr>
          <w:b/>
        </w:rPr>
        <w:t xml:space="preserve">Keywords: </w:t>
      </w:r>
      <w:r>
        <w:t>network intrusion detection; graph neural networks; spatio-temporal GNN; temporal attention; anomaly detection; UNSW-NB15; GCN</w:t>
      </w:r>
    </w:p>
    <w:p w14:paraId="3FAA1057">
      <w:pPr>
        <w:pStyle w:val="2"/>
      </w:pPr>
      <w:r>
        <w:t>1. Introduction</w:t>
      </w:r>
    </w:p>
    <w:p w14:paraId="7B3B6784">
      <w:pPr>
        <w:pStyle w:val="3"/>
      </w:pPr>
      <w:r>
        <w:t>1.1 Background and Motivation</w:t>
      </w:r>
    </w:p>
    <w:p w14:paraId="3A6C3C49">
      <w:r>
        <w:t>Modern network attacks rarely behave as isolated events. Reconnaissance may precede exploitation, a compromised endpoint may generate repeated command-and-control traffic, and lateral movement may alter the communication relationships among hosts. Such behaviors contain both relational and temporal information. Traditional signature systems remain valuable for known threats, but anomaly-based methods are attractive when attack behavior is not fully described by a fixed signature. However, many machine-learning NIDS pipelines still represent traffic as independent feature vectors, limiting their ability to reason over communication structure.</w:t>
      </w:r>
    </w:p>
    <w:p w14:paraId="563A33B0">
      <w:r>
        <w:t>Graph neural networks (GNNs) provide a natural representation for relational network telemetry. A communication network can be represented as a graph in which entities are nodes and observed communications are edges. A GCN can then aggregate information from neighboring nodes, allowing a node representation to depend on its local graph context. The limitation of a static GCN is that it generally processes one graph snapshot at a time. Attack campaigns, however, evolve across time, motivating the integration of temporal modeling with graph representation learning.</w:t>
      </w:r>
    </w:p>
    <w:p w14:paraId="5A5A05B3">
      <w:pPr>
        <w:pStyle w:val="3"/>
      </w:pPr>
      <w:r>
        <w:t>1.2 Research Problem</w:t>
      </w:r>
    </w:p>
    <w:p w14:paraId="1331E19E">
      <w:r>
        <w:t>This work investigates whether explicitly modeling a sequence of graph snapshots with temporal attention can improve node-level intrusion detection relative to a spatial-only GCN. The research problem is formulated as follows: given a sequence of attributed graph snapshots constructed from network-flow records, estimate an anomaly probability for every node in the most recent snapshot, where higher scores indicate stronger evidence of malicious participation.</w:t>
      </w:r>
    </w:p>
    <w:p w14:paraId="2EF90EA3">
      <w:pPr>
        <w:pStyle w:val="3"/>
      </w:pPr>
      <w:r>
        <w:t>1.3 Contributions</w:t>
      </w:r>
    </w:p>
    <w:p w14:paraId="46C671F0">
      <w:pPr>
        <w:pStyle w:val="23"/>
      </w:pPr>
      <w:r>
        <w:t>A reproducible graph-construction pipeline for the publicly distributed UNSW-NB15 CSV files, including explicit documentation of the pseudo-node approximation.</w:t>
      </w:r>
    </w:p>
    <w:p w14:paraId="411EAB6C">
      <w:pPr>
        <w:pStyle w:val="23"/>
      </w:pPr>
      <w:r>
        <w:t>ST-GraphAD, combining a shared three-layer GCN spatial encoder with a two-layer, four-head temporal self-attention module.</w:t>
      </w:r>
    </w:p>
    <w:p w14:paraId="795636FD">
      <w:pPr>
        <w:pStyle w:val="23"/>
      </w:pPr>
      <w:r>
        <w:t>A controlled comparison with a static GCN baseline using the same graph sequences, optimizer, and classification heads.</w:t>
      </w:r>
    </w:p>
    <w:p w14:paraId="247689D7">
      <w:pPr>
        <w:pStyle w:val="23"/>
      </w:pPr>
      <w:r>
        <w:t>Node-level evaluation using AUC-ROC, F1, precision, and recall, together with explicit analysis of the failure of the graph-level label formulation.</w:t>
      </w:r>
    </w:p>
    <w:p w14:paraId="4B155165">
      <w:pPr>
        <w:pStyle w:val="23"/>
      </w:pPr>
      <w:r>
        <w:t>Transparent reporting of computational cost and methodological threats to validity, including the use of the test split for early stopping in the current implementation.</w:t>
      </w:r>
    </w:p>
    <w:p w14:paraId="186ED9D2">
      <w:pPr>
        <w:pStyle w:val="2"/>
      </w:pPr>
      <w:r>
        <w:t>2. Related Work</w:t>
      </w:r>
    </w:p>
    <w:p w14:paraId="6D778B49">
      <w:pPr>
        <w:pStyle w:val="3"/>
      </w:pPr>
      <w:r>
        <w:t>2.1 Network Intrusion Detection</w:t>
      </w:r>
    </w:p>
    <w:p w14:paraId="57DF10BA">
      <w:r>
        <w:t>Network intrusion detection has evolved from signature matching toward statistical, machine-learning, deep-learning, and graph-based approaches. Classical classifiers such as random forests and gradient-boosted trees can perform strongly on tabular flow features, while recurrent and attention-based architectures model sequential dependencies. Their central limitation in the present context is that a flow vector does not directly encode the topology of communication among entities.</w:t>
      </w:r>
    </w:p>
    <w:p w14:paraId="42355290">
      <w:pPr>
        <w:pStyle w:val="3"/>
      </w:pPr>
      <w:r>
        <w:t>2.2 Graph Neural Networks for Security</w:t>
      </w:r>
    </w:p>
    <w:p w14:paraId="2753814A">
      <w:r>
        <w:t>GCNs, GATs, and GraphSAGE demonstrate that neighborhood aggregation can produce useful representations for graph classification and node prediction. In cybersecurity, graph representations have been explored for botnet detection, lateral movement, and suspicious-flow correlation. These methods motivate the spatial component of ST-GraphAD.</w:t>
      </w:r>
    </w:p>
    <w:p w14:paraId="1653E22B">
      <w:pPr>
        <w:pStyle w:val="3"/>
      </w:pPr>
      <w:r>
        <w:t>2.3 Spatio-Temporal Graph Neural Networks</w:t>
      </w:r>
    </w:p>
    <w:p w14:paraId="40C9AFC2">
      <w:r>
        <w:t>Spatio-temporal GNNs combine graph-based spatial representation learning with temporal sequence modeling. Recent surveys describe discrete-time architectures that process graph snapshots sequentially and continuous-time models that operate directly on temporal events. ST-GraphAD adopts the discrete-time approach because the available CSV release is naturally converted into fixed-size graph windows and the approach is straightforward to reproduce.</w:t>
      </w:r>
    </w:p>
    <w:p w14:paraId="22372D7B">
      <w:pPr>
        <w:pStyle w:val="2"/>
      </w:pPr>
      <w:r>
        <w:t>3. Dataset and Problem Formulation</w:t>
      </w:r>
    </w:p>
    <w:p w14:paraId="20F7C702">
      <w:pPr>
        <w:pStyle w:val="3"/>
      </w:pPr>
      <w:r>
        <w:t>3.1 UNSW-NB15</w:t>
      </w:r>
    </w:p>
    <w:p w14:paraId="041FA046">
      <w:r>
        <w:t>UNSW-NB15 is a widely used benchmark for network intrusion detection. The release used in this study contains 175,341 training flows and 82,332 testing flows spanning nine attack categories: Generic, Exploits, Fuzzers, DoS, Reconnaissance, Analysis, Backdoors, Shellcode, and Worms. Each flow contains protocol, service, connection-state, packet, byte, timing, and connection-tracking information together with an attack category and binary attack label.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2304"/>
        <w:gridCol w:w="2016"/>
      </w:tblGrid>
      <w:tr w14:paraId="1E0F4907">
        <w:trPr>
          <w:jc w:val="center"/>
        </w:trPr>
        <w:tc>
          <w:tcPr>
            <w:tcW w:w="1728" w:type="dxa"/>
            <w:shd w:val="clear" w:color="auto" w:fill="D9E2F3"/>
            <w:vAlign w:val="center"/>
          </w:tcPr>
          <w:p w14:paraId="14C90A62">
            <w:pPr>
              <w:spacing w:after="0" w:line="240" w:lineRule="auto"/>
            </w:pPr>
            <w:r>
              <w:rPr>
                <w:rFonts w:ascii="Times New Roman" w:hAnsi="Times New Roman"/>
                <w:b/>
                <w:sz w:val="18"/>
              </w:rPr>
              <w:t>Split</w:t>
            </w:r>
          </w:p>
        </w:tc>
        <w:tc>
          <w:tcPr>
            <w:tcW w:w="1728" w:type="dxa"/>
            <w:shd w:val="clear" w:color="auto" w:fill="D9E2F3"/>
            <w:vAlign w:val="center"/>
          </w:tcPr>
          <w:p w14:paraId="38BA54C7">
            <w:pPr>
              <w:spacing w:after="0" w:line="240" w:lineRule="auto"/>
            </w:pPr>
            <w:r>
              <w:rPr>
                <w:rFonts w:ascii="Times New Roman" w:hAnsi="Times New Roman"/>
                <w:b/>
                <w:sz w:val="18"/>
              </w:rPr>
              <w:t>Flows</w:t>
            </w:r>
          </w:p>
        </w:tc>
        <w:tc>
          <w:tcPr>
            <w:tcW w:w="2304" w:type="dxa"/>
            <w:shd w:val="clear" w:color="auto" w:fill="D9E2F3"/>
            <w:vAlign w:val="center"/>
          </w:tcPr>
          <w:p w14:paraId="2D1980BB">
            <w:pPr>
              <w:spacing w:after="0" w:line="240" w:lineRule="auto"/>
            </w:pPr>
            <w:r>
              <w:rPr>
                <w:rFonts w:ascii="Times New Roman" w:hAnsi="Times New Roman"/>
                <w:b/>
                <w:sz w:val="18"/>
              </w:rPr>
              <w:t>Attack categories</w:t>
            </w:r>
          </w:p>
        </w:tc>
        <w:tc>
          <w:tcPr>
            <w:tcW w:w="2016" w:type="dxa"/>
            <w:shd w:val="clear" w:color="auto" w:fill="D9E2F3"/>
            <w:vAlign w:val="center"/>
          </w:tcPr>
          <w:p w14:paraId="06436249">
            <w:pPr>
              <w:spacing w:after="0" w:line="240" w:lineRule="auto"/>
            </w:pPr>
            <w:r>
              <w:rPr>
                <w:rFonts w:ascii="Times New Roman" w:hAnsi="Times New Roman"/>
                <w:b/>
                <w:sz w:val="18"/>
              </w:rPr>
              <w:t>Temporal graphs</w:t>
            </w:r>
          </w:p>
        </w:tc>
      </w:tr>
      <w:tr w14:paraId="544AD11E">
        <w:trPr>
          <w:jc w:val="center"/>
        </w:trPr>
        <w:tc>
          <w:tcPr>
            <w:tcW w:w="1728" w:type="dxa"/>
            <w:vAlign w:val="center"/>
          </w:tcPr>
          <w:p w14:paraId="47122404">
            <w:pPr>
              <w:spacing w:after="0" w:line="240" w:lineRule="auto"/>
            </w:pPr>
            <w:r>
              <w:rPr>
                <w:rFonts w:ascii="Times New Roman" w:hAnsi="Times New Roman"/>
                <w:b w:val="0"/>
                <w:sz w:val="18"/>
              </w:rPr>
              <w:t>Training</w:t>
            </w:r>
          </w:p>
        </w:tc>
        <w:tc>
          <w:tcPr>
            <w:tcW w:w="1728" w:type="dxa"/>
            <w:vAlign w:val="center"/>
          </w:tcPr>
          <w:p w14:paraId="3528D1AB">
            <w:pPr>
              <w:spacing w:after="0" w:line="240" w:lineRule="auto"/>
            </w:pPr>
            <w:r>
              <w:rPr>
                <w:rFonts w:ascii="Times New Roman" w:hAnsi="Times New Roman"/>
                <w:b w:val="0"/>
                <w:sz w:val="18"/>
              </w:rPr>
              <w:t>175,341</w:t>
            </w:r>
          </w:p>
        </w:tc>
        <w:tc>
          <w:tcPr>
            <w:tcW w:w="2304" w:type="dxa"/>
            <w:vAlign w:val="center"/>
          </w:tcPr>
          <w:p w14:paraId="2CFC32DD">
            <w:pPr>
              <w:spacing w:after="0" w:line="240" w:lineRule="auto"/>
            </w:pPr>
            <w:r>
              <w:rPr>
                <w:rFonts w:ascii="Times New Roman" w:hAnsi="Times New Roman"/>
                <w:b w:val="0"/>
                <w:sz w:val="18"/>
              </w:rPr>
              <w:t>9</w:t>
            </w:r>
          </w:p>
        </w:tc>
        <w:tc>
          <w:tcPr>
            <w:tcW w:w="2016" w:type="dxa"/>
            <w:vAlign w:val="center"/>
          </w:tcPr>
          <w:p w14:paraId="4BF25C5A">
            <w:pPr>
              <w:spacing w:after="0" w:line="240" w:lineRule="auto"/>
            </w:pPr>
            <w:r>
              <w:rPr>
                <w:rFonts w:ascii="Times New Roman" w:hAnsi="Times New Roman"/>
                <w:b w:val="0"/>
                <w:sz w:val="18"/>
              </w:rPr>
              <w:t>176</w:t>
            </w:r>
          </w:p>
        </w:tc>
      </w:tr>
      <w:tr w14:paraId="3B25C484">
        <w:trPr>
          <w:jc w:val="center"/>
        </w:trPr>
        <w:tc>
          <w:tcPr>
            <w:tcW w:w="1728" w:type="dxa"/>
            <w:vAlign w:val="center"/>
          </w:tcPr>
          <w:p w14:paraId="59D9E620">
            <w:pPr>
              <w:spacing w:after="0" w:line="240" w:lineRule="auto"/>
            </w:pPr>
            <w:r>
              <w:rPr>
                <w:rFonts w:ascii="Times New Roman" w:hAnsi="Times New Roman"/>
                <w:b w:val="0"/>
                <w:sz w:val="18"/>
              </w:rPr>
              <w:t>Testing</w:t>
            </w:r>
          </w:p>
        </w:tc>
        <w:tc>
          <w:tcPr>
            <w:tcW w:w="1728" w:type="dxa"/>
            <w:vAlign w:val="center"/>
          </w:tcPr>
          <w:p w14:paraId="45CFDCDB">
            <w:pPr>
              <w:spacing w:after="0" w:line="240" w:lineRule="auto"/>
            </w:pPr>
            <w:r>
              <w:rPr>
                <w:rFonts w:ascii="Times New Roman" w:hAnsi="Times New Roman"/>
                <w:b w:val="0"/>
                <w:sz w:val="18"/>
              </w:rPr>
              <w:t>82,332</w:t>
            </w:r>
          </w:p>
        </w:tc>
        <w:tc>
          <w:tcPr>
            <w:tcW w:w="2304" w:type="dxa"/>
            <w:vAlign w:val="center"/>
          </w:tcPr>
          <w:p w14:paraId="4AA043F7">
            <w:pPr>
              <w:spacing w:after="0" w:line="240" w:lineRule="auto"/>
            </w:pPr>
            <w:r>
              <w:rPr>
                <w:rFonts w:ascii="Times New Roman" w:hAnsi="Times New Roman"/>
                <w:b w:val="0"/>
                <w:sz w:val="18"/>
              </w:rPr>
              <w:t>9</w:t>
            </w:r>
          </w:p>
        </w:tc>
        <w:tc>
          <w:tcPr>
            <w:tcW w:w="2016" w:type="dxa"/>
            <w:vAlign w:val="center"/>
          </w:tcPr>
          <w:p w14:paraId="02B14B1A">
            <w:pPr>
              <w:spacing w:after="0" w:line="240" w:lineRule="auto"/>
            </w:pPr>
            <w:r>
              <w:rPr>
                <w:rFonts w:ascii="Times New Roman" w:hAnsi="Times New Roman"/>
                <w:b w:val="0"/>
                <w:sz w:val="18"/>
              </w:rPr>
              <w:t>83</w:t>
            </w:r>
          </w:p>
        </w:tc>
      </w:tr>
    </w:tbl>
    <w:p w14:paraId="18FA7828"/>
    <w:p w14:paraId="7FCDBE09">
      <w:pPr>
        <w:pStyle w:val="164"/>
        <w:jc w:val="center"/>
      </w:pPr>
      <w:r>
        <w:t>Table 1. Dataset statistics used in the current experiment.</w:t>
      </w:r>
    </w:p>
    <w:p w14:paraId="23CC51CF">
      <w:pPr>
        <w:pStyle w:val="3"/>
      </w:pPr>
      <w:r>
        <w:t>3.2 Preprocessing</w:t>
      </w:r>
    </w:p>
    <w:p w14:paraId="5685F688">
      <w:pPr>
        <w:pStyle w:val="29"/>
      </w:pPr>
      <w:r>
        <w:t>Categorical variables (protocol, state, service, and attack category) are label encoded.</w:t>
      </w:r>
    </w:p>
    <w:p w14:paraId="7580619D">
      <w:pPr>
        <w:pStyle w:val="29"/>
      </w:pPr>
      <w:r>
        <w:t>Numerical traffic variables are standardized.</w:t>
      </w:r>
    </w:p>
    <w:p w14:paraId="79DBCDE5">
      <w:pPr>
        <w:pStyle w:val="29"/>
      </w:pPr>
      <w:r>
        <w:t>Because the distributed CSV files do not expose explicit source/destination IP addresses or port numbers, pseudo-node identifiers are constructed from available categorical fields.</w:t>
      </w:r>
    </w:p>
    <w:p w14:paraId="2FD6431E">
      <w:pPr>
        <w:pStyle w:val="29"/>
      </w:pPr>
      <w:r>
        <w:t>The original row ordering is used as a proxy for temporal order because the available CSV representation does not provide a usable event timestamp for the proposed graph sequence.</w:t>
      </w:r>
    </w:p>
    <w:p w14:paraId="5FF0C423">
      <w:pPr>
        <w:pStyle w:val="3"/>
      </w:pPr>
      <w:r>
        <w:t>3.3 Graph Construction</w:t>
      </w:r>
    </w:p>
    <w:p w14:paraId="1BEEFC62">
      <w:r>
        <w:t>For each flow f, source and destination pseudo-nodes are derived from protocol, service, and state information. A directed edge is created between the resulting source and destination identifiers. Node features aggregate source-side and destination-side traffic statistics over each 1,000-flow window. The resulting graph is represented as G_t = (V_t, E_t, X_t, y_t), where X_t contains node attributes and y_t contains binary node labels.</w:t>
      </w:r>
    </w:p>
    <w:p w14:paraId="0CCC25A3">
      <w:r>
        <w:t>The node label is defined conservatively as positive if any incident source-side or destination-side flow is labeled as an attack. This formulation is operationally simple but can over-label a node when only one incident flow is malicious.</w:t>
      </w:r>
    </w:p>
    <w:p w14:paraId="20039526">
      <w:r>
        <w:t>A 1,000-flow window is used to create each snapshot. This produces 176 training snapshots and 83 test snapshots. The windowing scheme is a methodological approximation rather than a claim about real-time attack duration.</w:t>
      </w:r>
    </w:p>
    <w:p w14:paraId="1C898236">
      <w:pPr>
        <w:pStyle w:val="2"/>
      </w:pPr>
      <w:r>
        <w:t>4. Proposed ST-GraphAD Framework</w:t>
      </w:r>
    </w:p>
    <w:p w14:paraId="2BB5BFC6">
      <w:pPr>
        <w:pStyle w:val="3"/>
      </w:pPr>
      <w:r>
        <w:t>4.1 Architecture</w:t>
      </w:r>
    </w:p>
    <w:p w14:paraId="5E356A8F">
      <w:r>
        <w:t>ST-GraphAD consists of three stages: (1) a shared GCN spatial encoder applied independently to each graph snapshot, (2) a temporal self-attention encoder operating over the sequence of node embeddings, and (3) node- and graph-level classification heads. The principal research target is the node-level head.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5472"/>
      </w:tblGrid>
      <w:tr w14:paraId="338F2190">
        <w:trPr>
          <w:jc w:val="center"/>
        </w:trPr>
        <w:tc>
          <w:tcPr>
            <w:tcW w:w="2880" w:type="dxa"/>
            <w:shd w:val="clear" w:color="auto" w:fill="D9E2F3"/>
            <w:vAlign w:val="center"/>
          </w:tcPr>
          <w:p w14:paraId="137AD4A9">
            <w:pPr>
              <w:spacing w:after="0" w:line="240" w:lineRule="auto"/>
            </w:pPr>
            <w:r>
              <w:rPr>
                <w:rFonts w:ascii="Times New Roman" w:hAnsi="Times New Roman"/>
                <w:b/>
                <w:sz w:val="18"/>
              </w:rPr>
              <w:t>Component</w:t>
            </w:r>
          </w:p>
        </w:tc>
        <w:tc>
          <w:tcPr>
            <w:tcW w:w="5472" w:type="dxa"/>
            <w:shd w:val="clear" w:color="auto" w:fill="D9E2F3"/>
            <w:vAlign w:val="center"/>
          </w:tcPr>
          <w:p w14:paraId="6BAD2FC7">
            <w:pPr>
              <w:spacing w:after="0" w:line="240" w:lineRule="auto"/>
            </w:pPr>
            <w:r>
              <w:rPr>
                <w:rFonts w:ascii="Times New Roman" w:hAnsi="Times New Roman"/>
                <w:b/>
                <w:sz w:val="18"/>
              </w:rPr>
              <w:t>Configuration</w:t>
            </w:r>
          </w:p>
        </w:tc>
      </w:tr>
      <w:tr w14:paraId="1F0E6863">
        <w:trPr>
          <w:jc w:val="center"/>
        </w:trPr>
        <w:tc>
          <w:tcPr>
            <w:tcW w:w="2880" w:type="dxa"/>
            <w:vAlign w:val="center"/>
          </w:tcPr>
          <w:p w14:paraId="545A294A">
            <w:pPr>
              <w:spacing w:after="0" w:line="240" w:lineRule="auto"/>
            </w:pPr>
            <w:r>
              <w:rPr>
                <w:rFonts w:ascii="Times New Roman" w:hAnsi="Times New Roman"/>
                <w:b w:val="0"/>
                <w:sz w:val="18"/>
              </w:rPr>
              <w:t>Spatial encoder</w:t>
            </w:r>
          </w:p>
        </w:tc>
        <w:tc>
          <w:tcPr>
            <w:tcW w:w="5472" w:type="dxa"/>
            <w:vAlign w:val="center"/>
          </w:tcPr>
          <w:p w14:paraId="0A5FD7E8">
            <w:pPr>
              <w:spacing w:after="0" w:line="240" w:lineRule="auto"/>
            </w:pPr>
            <w:r>
              <w:rPr>
                <w:rFonts w:ascii="Times New Roman" w:hAnsi="Times New Roman"/>
                <w:b w:val="0"/>
                <w:sz w:val="18"/>
              </w:rPr>
              <w:t>3-layer GCN; hidden dimension 128</w:t>
            </w:r>
          </w:p>
        </w:tc>
      </w:tr>
      <w:tr w14:paraId="648B1F49">
        <w:trPr>
          <w:jc w:val="center"/>
        </w:trPr>
        <w:tc>
          <w:tcPr>
            <w:tcW w:w="2880" w:type="dxa"/>
            <w:vAlign w:val="center"/>
          </w:tcPr>
          <w:p w14:paraId="2C059631">
            <w:pPr>
              <w:spacing w:after="0" w:line="240" w:lineRule="auto"/>
            </w:pPr>
            <w:r>
              <w:rPr>
                <w:rFonts w:ascii="Times New Roman" w:hAnsi="Times New Roman"/>
                <w:b w:val="0"/>
                <w:sz w:val="18"/>
              </w:rPr>
              <w:t>Temporal encoder</w:t>
            </w:r>
          </w:p>
        </w:tc>
        <w:tc>
          <w:tcPr>
            <w:tcW w:w="5472" w:type="dxa"/>
            <w:vAlign w:val="center"/>
          </w:tcPr>
          <w:p w14:paraId="4C6C391A">
            <w:pPr>
              <w:spacing w:after="0" w:line="240" w:lineRule="auto"/>
            </w:pPr>
            <w:r>
              <w:rPr>
                <w:rFonts w:ascii="Times New Roman" w:hAnsi="Times New Roman"/>
                <w:b w:val="0"/>
                <w:sz w:val="18"/>
              </w:rPr>
              <w:t>2 self-attention layers; 4 heads</w:t>
            </w:r>
          </w:p>
        </w:tc>
      </w:tr>
      <w:tr w14:paraId="3C22476C">
        <w:trPr>
          <w:jc w:val="center"/>
        </w:trPr>
        <w:tc>
          <w:tcPr>
            <w:tcW w:w="2880" w:type="dxa"/>
            <w:vAlign w:val="center"/>
          </w:tcPr>
          <w:p w14:paraId="49072ACC">
            <w:pPr>
              <w:spacing w:after="0" w:line="240" w:lineRule="auto"/>
            </w:pPr>
            <w:r>
              <w:rPr>
                <w:rFonts w:ascii="Times New Roman" w:hAnsi="Times New Roman"/>
                <w:b w:val="0"/>
                <w:sz w:val="18"/>
              </w:rPr>
              <w:t>Sequence length</w:t>
            </w:r>
          </w:p>
        </w:tc>
        <w:tc>
          <w:tcPr>
            <w:tcW w:w="5472" w:type="dxa"/>
            <w:vAlign w:val="center"/>
          </w:tcPr>
          <w:p w14:paraId="20CBBBE9">
            <w:pPr>
              <w:spacing w:after="0" w:line="240" w:lineRule="auto"/>
            </w:pPr>
            <w:r>
              <w:rPr>
                <w:rFonts w:ascii="Times New Roman" w:hAnsi="Times New Roman"/>
                <w:b w:val="0"/>
                <w:sz w:val="18"/>
              </w:rPr>
              <w:t>5 graph snapshots</w:t>
            </w:r>
          </w:p>
        </w:tc>
      </w:tr>
      <w:tr w14:paraId="61B8AC79">
        <w:trPr>
          <w:jc w:val="center"/>
        </w:trPr>
        <w:tc>
          <w:tcPr>
            <w:tcW w:w="2880" w:type="dxa"/>
            <w:vAlign w:val="center"/>
          </w:tcPr>
          <w:p w14:paraId="6ADDF1F4">
            <w:pPr>
              <w:spacing w:after="0" w:line="240" w:lineRule="auto"/>
            </w:pPr>
            <w:r>
              <w:rPr>
                <w:rFonts w:ascii="Times New Roman" w:hAnsi="Times New Roman"/>
                <w:b w:val="0"/>
                <w:sz w:val="18"/>
              </w:rPr>
              <w:t>Dropout</w:t>
            </w:r>
          </w:p>
        </w:tc>
        <w:tc>
          <w:tcPr>
            <w:tcW w:w="5472" w:type="dxa"/>
            <w:vAlign w:val="center"/>
          </w:tcPr>
          <w:p w14:paraId="0A5B898F">
            <w:pPr>
              <w:spacing w:after="0" w:line="240" w:lineRule="auto"/>
            </w:pPr>
            <w:r>
              <w:rPr>
                <w:rFonts w:ascii="Times New Roman" w:hAnsi="Times New Roman"/>
                <w:b w:val="0"/>
                <w:sz w:val="18"/>
              </w:rPr>
              <w:t>0.5</w:t>
            </w:r>
          </w:p>
        </w:tc>
      </w:tr>
      <w:tr w14:paraId="0018973A">
        <w:trPr>
          <w:jc w:val="center"/>
        </w:trPr>
        <w:tc>
          <w:tcPr>
            <w:tcW w:w="2880" w:type="dxa"/>
            <w:vAlign w:val="center"/>
          </w:tcPr>
          <w:p w14:paraId="18861067">
            <w:pPr>
              <w:spacing w:after="0" w:line="240" w:lineRule="auto"/>
            </w:pPr>
            <w:r>
              <w:rPr>
                <w:rFonts w:ascii="Times New Roman" w:hAnsi="Times New Roman"/>
                <w:b w:val="0"/>
                <w:sz w:val="18"/>
              </w:rPr>
              <w:t>Node classifier</w:t>
            </w:r>
          </w:p>
        </w:tc>
        <w:tc>
          <w:tcPr>
            <w:tcW w:w="5472" w:type="dxa"/>
            <w:vAlign w:val="center"/>
          </w:tcPr>
          <w:p w14:paraId="3DDBC9BE">
            <w:pPr>
              <w:spacing w:after="0" w:line="240" w:lineRule="auto"/>
            </w:pPr>
            <w:r>
              <w:rPr>
                <w:rFonts w:ascii="Times New Roman" w:hAnsi="Times New Roman"/>
                <w:b w:val="0"/>
                <w:sz w:val="18"/>
              </w:rPr>
              <w:t>128 → 64 → 2</w:t>
            </w:r>
          </w:p>
        </w:tc>
      </w:tr>
      <w:tr w14:paraId="74D9625C">
        <w:trPr>
          <w:jc w:val="center"/>
        </w:trPr>
        <w:tc>
          <w:tcPr>
            <w:tcW w:w="2880" w:type="dxa"/>
            <w:vAlign w:val="center"/>
          </w:tcPr>
          <w:p w14:paraId="5F5A4027">
            <w:pPr>
              <w:spacing w:after="0" w:line="240" w:lineRule="auto"/>
            </w:pPr>
            <w:r>
              <w:rPr>
                <w:rFonts w:ascii="Times New Roman" w:hAnsi="Times New Roman"/>
                <w:b w:val="0"/>
                <w:sz w:val="18"/>
              </w:rPr>
              <w:t>Graph classifier</w:t>
            </w:r>
          </w:p>
        </w:tc>
        <w:tc>
          <w:tcPr>
            <w:tcW w:w="5472" w:type="dxa"/>
            <w:vAlign w:val="center"/>
          </w:tcPr>
          <w:p w14:paraId="34A0C029">
            <w:pPr>
              <w:spacing w:after="0" w:line="240" w:lineRule="auto"/>
            </w:pPr>
            <w:r>
              <w:rPr>
                <w:rFonts w:ascii="Times New Roman" w:hAnsi="Times New Roman"/>
                <w:b w:val="0"/>
                <w:sz w:val="18"/>
              </w:rPr>
              <w:t>Mean pooling → 64 → 2</w:t>
            </w:r>
          </w:p>
        </w:tc>
      </w:tr>
      <w:tr w14:paraId="0B7A5B23">
        <w:trPr>
          <w:jc w:val="center"/>
        </w:trPr>
        <w:tc>
          <w:tcPr>
            <w:tcW w:w="2880" w:type="dxa"/>
            <w:vAlign w:val="center"/>
          </w:tcPr>
          <w:p w14:paraId="0DDC1845">
            <w:pPr>
              <w:spacing w:after="0" w:line="240" w:lineRule="auto"/>
            </w:pPr>
            <w:r>
              <w:rPr>
                <w:rFonts w:ascii="Times New Roman" w:hAnsi="Times New Roman"/>
                <w:b w:val="0"/>
                <w:sz w:val="18"/>
              </w:rPr>
              <w:t>Optimizer</w:t>
            </w:r>
          </w:p>
        </w:tc>
        <w:tc>
          <w:tcPr>
            <w:tcW w:w="5472" w:type="dxa"/>
            <w:vAlign w:val="center"/>
          </w:tcPr>
          <w:p w14:paraId="64BD3A0B">
            <w:pPr>
              <w:spacing w:after="0" w:line="240" w:lineRule="auto"/>
            </w:pPr>
            <w:r>
              <w:rPr>
                <w:rFonts w:ascii="Times New Roman" w:hAnsi="Times New Roman"/>
                <w:b w:val="0"/>
                <w:sz w:val="18"/>
              </w:rPr>
              <w:t>Adam</w:t>
            </w:r>
          </w:p>
        </w:tc>
      </w:tr>
      <w:tr w14:paraId="6F056ABA">
        <w:trPr>
          <w:jc w:val="center"/>
        </w:trPr>
        <w:tc>
          <w:tcPr>
            <w:tcW w:w="2880" w:type="dxa"/>
            <w:vAlign w:val="center"/>
          </w:tcPr>
          <w:p w14:paraId="28144EB7">
            <w:pPr>
              <w:spacing w:after="0" w:line="240" w:lineRule="auto"/>
            </w:pPr>
            <w:r>
              <w:rPr>
                <w:rFonts w:ascii="Times New Roman" w:hAnsi="Times New Roman"/>
                <w:b w:val="0"/>
                <w:sz w:val="18"/>
              </w:rPr>
              <w:t>Learning rate</w:t>
            </w:r>
          </w:p>
        </w:tc>
        <w:tc>
          <w:tcPr>
            <w:tcW w:w="5472" w:type="dxa"/>
            <w:vAlign w:val="center"/>
          </w:tcPr>
          <w:p w14:paraId="6EDE1340">
            <w:pPr>
              <w:spacing w:after="0" w:line="240" w:lineRule="auto"/>
            </w:pPr>
            <w:r>
              <w:rPr>
                <w:rFonts w:ascii="Times New Roman" w:hAnsi="Times New Roman"/>
                <w:b w:val="0"/>
                <w:sz w:val="18"/>
              </w:rPr>
              <w:t>1 × 10⁻³</w:t>
            </w:r>
          </w:p>
        </w:tc>
      </w:tr>
      <w:tr w14:paraId="04AF8CD4">
        <w:trPr>
          <w:jc w:val="center"/>
        </w:trPr>
        <w:tc>
          <w:tcPr>
            <w:tcW w:w="2880" w:type="dxa"/>
            <w:vAlign w:val="center"/>
          </w:tcPr>
          <w:p w14:paraId="1DE80274">
            <w:pPr>
              <w:spacing w:after="0" w:line="240" w:lineRule="auto"/>
            </w:pPr>
            <w:r>
              <w:rPr>
                <w:rFonts w:ascii="Times New Roman" w:hAnsi="Times New Roman"/>
                <w:b w:val="0"/>
                <w:sz w:val="18"/>
              </w:rPr>
              <w:t>Weight decay</w:t>
            </w:r>
          </w:p>
        </w:tc>
        <w:tc>
          <w:tcPr>
            <w:tcW w:w="5472" w:type="dxa"/>
            <w:vAlign w:val="center"/>
          </w:tcPr>
          <w:p w14:paraId="41BD6F14">
            <w:pPr>
              <w:spacing w:after="0" w:line="240" w:lineRule="auto"/>
            </w:pPr>
            <w:r>
              <w:rPr>
                <w:rFonts w:ascii="Times New Roman" w:hAnsi="Times New Roman"/>
                <w:b w:val="0"/>
                <w:sz w:val="18"/>
              </w:rPr>
              <w:t>5 × 10⁻⁴</w:t>
            </w:r>
          </w:p>
        </w:tc>
      </w:tr>
      <w:tr w14:paraId="1C680101">
        <w:trPr>
          <w:jc w:val="center"/>
        </w:trPr>
        <w:tc>
          <w:tcPr>
            <w:tcW w:w="2880" w:type="dxa"/>
            <w:vAlign w:val="center"/>
          </w:tcPr>
          <w:p w14:paraId="47891751">
            <w:pPr>
              <w:spacing w:after="0" w:line="240" w:lineRule="auto"/>
            </w:pPr>
            <w:r>
              <w:rPr>
                <w:rFonts w:ascii="Times New Roman" w:hAnsi="Times New Roman"/>
                <w:b w:val="0"/>
                <w:sz w:val="18"/>
              </w:rPr>
              <w:t>Maximum epochs</w:t>
            </w:r>
          </w:p>
        </w:tc>
        <w:tc>
          <w:tcPr>
            <w:tcW w:w="5472" w:type="dxa"/>
            <w:vAlign w:val="center"/>
          </w:tcPr>
          <w:p w14:paraId="6F707E59">
            <w:pPr>
              <w:spacing w:after="0" w:line="240" w:lineRule="auto"/>
            </w:pPr>
            <w:r>
              <w:rPr>
                <w:rFonts w:ascii="Times New Roman" w:hAnsi="Times New Roman"/>
                <w:b w:val="0"/>
                <w:sz w:val="18"/>
              </w:rPr>
              <w:t>100</w:t>
            </w:r>
          </w:p>
        </w:tc>
      </w:tr>
      <w:tr w14:paraId="601652C3">
        <w:trPr>
          <w:jc w:val="center"/>
        </w:trPr>
        <w:tc>
          <w:tcPr>
            <w:tcW w:w="2880" w:type="dxa"/>
            <w:vAlign w:val="center"/>
          </w:tcPr>
          <w:p w14:paraId="085731DC">
            <w:pPr>
              <w:spacing w:after="0" w:line="240" w:lineRule="auto"/>
            </w:pPr>
            <w:r>
              <w:rPr>
                <w:rFonts w:ascii="Times New Roman" w:hAnsi="Times New Roman"/>
                <w:b w:val="0"/>
                <w:sz w:val="18"/>
              </w:rPr>
              <w:t>Early stopping</w:t>
            </w:r>
          </w:p>
        </w:tc>
        <w:tc>
          <w:tcPr>
            <w:tcW w:w="5472" w:type="dxa"/>
            <w:vAlign w:val="center"/>
          </w:tcPr>
          <w:p w14:paraId="4287130A">
            <w:pPr>
              <w:spacing w:after="0" w:line="240" w:lineRule="auto"/>
            </w:pPr>
            <w:r>
              <w:rPr>
                <w:rFonts w:ascii="Times New Roman" w:hAnsi="Times New Roman"/>
                <w:b w:val="0"/>
                <w:sz w:val="18"/>
              </w:rPr>
              <w:t>20 epochs</w:t>
            </w:r>
          </w:p>
        </w:tc>
      </w:tr>
    </w:tbl>
    <w:p w14:paraId="7E030D80"/>
    <w:p w14:paraId="1AEE1833">
      <w:pPr>
        <w:pStyle w:val="164"/>
        <w:jc w:val="center"/>
      </w:pPr>
      <w:r>
        <w:t>Table 2. ST-GraphAD configuration.</w:t>
      </w:r>
    </w:p>
    <w:p w14:paraId="09578DB7">
      <w:pPr>
        <w:pStyle w:val="3"/>
      </w:pPr>
      <w:r>
        <w:t>4.2 Spatial GCN</w:t>
      </w:r>
    </w:p>
    <w:p w14:paraId="0EC30518">
      <w:r>
        <w:t>For each snapshot, the GCN follows the standard normalized neighborhood aggregation formulation:</w:t>
      </w:r>
    </w:p>
    <w:p w14:paraId="393D179C">
      <w:pPr>
        <w:jc w:val="center"/>
      </w:pPr>
      <w:r>
        <w:rPr>
          <w:b/>
        </w:rPr>
        <w:t>H⁽ˡ⁺¹⁾ = σ(D̃⁻¹ᐟ² Ã D̃⁻¹ᐟ² H⁽ˡ⁾ W⁽ˡ⁾),</w:t>
      </w:r>
    </w:p>
    <w:p w14:paraId="46AEC61D">
      <w:r>
        <w:t>where Ã = A + I adds self-loops, D̃ is the corresponding degree matrix, W is a trainable projection matrix, and σ denotes the nonlinear activation. Batch normalization and dropout are applied between layers.</w:t>
      </w:r>
    </w:p>
    <w:p w14:paraId="4EC084D2">
      <w:pPr>
        <w:pStyle w:val="3"/>
      </w:pPr>
      <w:r>
        <w:t>4.3 Temporal Attention</w:t>
      </w:r>
    </w:p>
    <w:p w14:paraId="64BEB147">
      <w:r>
        <w:t>The spatial encoder produces embeddings H₁, …, H_L for the L = 5 snapshots. Since the number of active nodes can vary between windows, embeddings are padded to a common maximum node count and accompanied by a validity mask. Sinusoidal positional encoding provides temporal order. Multi-head self-attention then allows the representation of the current window to incorporate information from preceding windows. Residual connections and layer normalization are used in each temporal block.</w:t>
      </w:r>
    </w:p>
    <w:p w14:paraId="2D7496B9">
      <w:r>
        <w:t>The temporal module is intended to capture patterns such as repeated communication, changes in neighborhood structure, or transitions between stages of an attack. These are architectural motivations; the present experiment does not include attention-weight analysis sufficient to establish that specific attack stages are learned.</w:t>
      </w:r>
    </w:p>
    <w:p w14:paraId="6351707F">
      <w:pPr>
        <w:pStyle w:val="3"/>
      </w:pPr>
      <w:r>
        <w:t>4.4 Training Objective</w:t>
      </w:r>
    </w:p>
    <w:p w14:paraId="4E60C86C">
      <w:r>
        <w:t>The reported implementation jointly optimizes graph- and node-level cross-entropy losses:</w:t>
      </w:r>
    </w:p>
    <w:p w14:paraId="685B0DDF">
      <w:pPr>
        <w:jc w:val="center"/>
      </w:pPr>
      <w:r>
        <w:rPr>
          <w:b/>
        </w:rPr>
        <w:t>L = L_graph + λ L_node,   λ = 0.5</w:t>
      </w:r>
    </w:p>
    <w:p w14:paraId="173ADCB8">
      <w:r>
        <w:t>The node loss is the mean cross-entropy across nodes in the final snapshot, while the graph loss is computed from the mean-pooled final-window representation.</w:t>
      </w:r>
    </w:p>
    <w:p w14:paraId="0545E75C">
      <w:pPr>
        <w:pStyle w:val="2"/>
      </w:pPr>
      <w:r>
        <w:t>5. Experimental Methodology</w:t>
      </w:r>
    </w:p>
    <w:p w14:paraId="03ED2C67">
      <w:pPr>
        <w:pStyle w:val="3"/>
      </w:pPr>
      <w:r>
        <w:t>5.1 Baseline</w:t>
      </w:r>
    </w:p>
    <w:p w14:paraId="46C447C4">
      <w:r>
        <w:t>The baseline is a static GCN-only model using the same three-layer GCN encoder and classification heads but without the temporal attention module. Both models use the same optimizer and principal training settings, making the comparison a controlled test of the added temporal component.</w:t>
      </w:r>
    </w:p>
    <w:p w14:paraId="22011BE8">
      <w:pPr>
        <w:pStyle w:val="3"/>
      </w:pPr>
      <w:r>
        <w:t>5.2 Evaluation Metrics</w:t>
      </w:r>
    </w:p>
    <w:p w14:paraId="5F9134BE">
      <w:r>
        <w:t>The primary evaluation is performed at node level using AUC-ROC, F1, precision, and recall. AUC-ROC evaluates ranking quality across thresholds, while F1 summarizes the balance between precision and recall at the selected decision threshold. Graph-level metrics are retained only as a diagnostic because the current majority-vote graph-label formulation produces a nearly single-class target.</w:t>
      </w:r>
    </w:p>
    <w:p w14:paraId="6AE22473">
      <w:pPr>
        <w:pStyle w:val="3"/>
      </w:pPr>
      <w:r>
        <w:t>5.3 Experimental Environment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5472"/>
      </w:tblGrid>
      <w:tr w14:paraId="7E19BDF2">
        <w:trPr>
          <w:jc w:val="center"/>
        </w:trPr>
        <w:tc>
          <w:tcPr>
            <w:tcW w:w="2880" w:type="dxa"/>
            <w:shd w:val="clear" w:color="auto" w:fill="D9E2F3"/>
            <w:vAlign w:val="center"/>
          </w:tcPr>
          <w:p w14:paraId="624AC76F">
            <w:pPr>
              <w:spacing w:after="0" w:line="240" w:lineRule="auto"/>
            </w:pPr>
            <w:r>
              <w:rPr>
                <w:rFonts w:ascii="Times New Roman" w:hAnsi="Times New Roman"/>
                <w:b/>
                <w:sz w:val="18"/>
              </w:rPr>
              <w:t>Component</w:t>
            </w:r>
          </w:p>
        </w:tc>
        <w:tc>
          <w:tcPr>
            <w:tcW w:w="5472" w:type="dxa"/>
            <w:shd w:val="clear" w:color="auto" w:fill="D9E2F3"/>
            <w:vAlign w:val="center"/>
          </w:tcPr>
          <w:p w14:paraId="31C7E666">
            <w:pPr>
              <w:spacing w:after="0" w:line="240" w:lineRule="auto"/>
            </w:pPr>
            <w:r>
              <w:rPr>
                <w:rFonts w:ascii="Times New Roman" w:hAnsi="Times New Roman"/>
                <w:b/>
                <w:sz w:val="18"/>
              </w:rPr>
              <w:t>Specification</w:t>
            </w:r>
          </w:p>
        </w:tc>
      </w:tr>
      <w:tr w14:paraId="637643F0">
        <w:trPr>
          <w:jc w:val="center"/>
        </w:trPr>
        <w:tc>
          <w:tcPr>
            <w:tcW w:w="2880" w:type="dxa"/>
            <w:vAlign w:val="center"/>
          </w:tcPr>
          <w:p w14:paraId="036819B9">
            <w:pPr>
              <w:spacing w:after="0" w:line="240" w:lineRule="auto"/>
            </w:pPr>
            <w:r>
              <w:rPr>
                <w:rFonts w:ascii="Times New Roman" w:hAnsi="Times New Roman"/>
                <w:b w:val="0"/>
                <w:sz w:val="18"/>
              </w:rPr>
              <w:t>CPU</w:t>
            </w:r>
          </w:p>
        </w:tc>
        <w:tc>
          <w:tcPr>
            <w:tcW w:w="5472" w:type="dxa"/>
            <w:vAlign w:val="center"/>
          </w:tcPr>
          <w:p w14:paraId="1ED80522">
            <w:pPr>
              <w:spacing w:after="0" w:line="240" w:lineRule="auto"/>
            </w:pPr>
            <w:r>
              <w:rPr>
                <w:rFonts w:ascii="Times New Roman" w:hAnsi="Times New Roman"/>
                <w:b w:val="0"/>
                <w:sz w:val="18"/>
              </w:rPr>
              <w:t>Apple M4 (ARM64)</w:t>
            </w:r>
          </w:p>
        </w:tc>
      </w:tr>
      <w:tr w14:paraId="14047BC2">
        <w:trPr>
          <w:jc w:val="center"/>
        </w:trPr>
        <w:tc>
          <w:tcPr>
            <w:tcW w:w="2880" w:type="dxa"/>
            <w:vAlign w:val="center"/>
          </w:tcPr>
          <w:p w14:paraId="774F37FF">
            <w:pPr>
              <w:spacing w:after="0" w:line="240" w:lineRule="auto"/>
            </w:pPr>
            <w:r>
              <w:rPr>
                <w:rFonts w:ascii="Times New Roman" w:hAnsi="Times New Roman"/>
                <w:b w:val="0"/>
                <w:sz w:val="18"/>
              </w:rPr>
              <w:t>Memory</w:t>
            </w:r>
          </w:p>
        </w:tc>
        <w:tc>
          <w:tcPr>
            <w:tcW w:w="5472" w:type="dxa"/>
            <w:vAlign w:val="center"/>
          </w:tcPr>
          <w:p w14:paraId="25E2ED52">
            <w:pPr>
              <w:spacing w:after="0" w:line="240" w:lineRule="auto"/>
            </w:pPr>
            <w:r>
              <w:rPr>
                <w:rFonts w:ascii="Times New Roman" w:hAnsi="Times New Roman"/>
                <w:b w:val="0"/>
                <w:sz w:val="18"/>
              </w:rPr>
              <w:t>16 GB RAM</w:t>
            </w:r>
          </w:p>
        </w:tc>
      </w:tr>
      <w:tr w14:paraId="49F9A112">
        <w:trPr>
          <w:jc w:val="center"/>
        </w:trPr>
        <w:tc>
          <w:tcPr>
            <w:tcW w:w="2880" w:type="dxa"/>
            <w:vAlign w:val="center"/>
          </w:tcPr>
          <w:p w14:paraId="781A640C">
            <w:pPr>
              <w:spacing w:after="0" w:line="240" w:lineRule="auto"/>
            </w:pPr>
            <w:r>
              <w:rPr>
                <w:rFonts w:ascii="Times New Roman" w:hAnsi="Times New Roman"/>
                <w:b w:val="0"/>
                <w:sz w:val="18"/>
              </w:rPr>
              <w:t>OS</w:t>
            </w:r>
          </w:p>
        </w:tc>
        <w:tc>
          <w:tcPr>
            <w:tcW w:w="5472" w:type="dxa"/>
            <w:vAlign w:val="center"/>
          </w:tcPr>
          <w:p w14:paraId="2ACB1342">
            <w:pPr>
              <w:spacing w:after="0" w:line="240" w:lineRule="auto"/>
            </w:pPr>
            <w:r>
              <w:rPr>
                <w:rFonts w:ascii="Times New Roman" w:hAnsi="Times New Roman"/>
                <w:b w:val="0"/>
                <w:sz w:val="18"/>
              </w:rPr>
              <w:t>macOS 15+</w:t>
            </w:r>
          </w:p>
        </w:tc>
      </w:tr>
      <w:tr w14:paraId="7E1D8505">
        <w:trPr>
          <w:jc w:val="center"/>
        </w:trPr>
        <w:tc>
          <w:tcPr>
            <w:tcW w:w="2880" w:type="dxa"/>
            <w:vAlign w:val="center"/>
          </w:tcPr>
          <w:p w14:paraId="64EB0CDD">
            <w:pPr>
              <w:spacing w:after="0" w:line="240" w:lineRule="auto"/>
            </w:pPr>
            <w:r>
              <w:rPr>
                <w:rFonts w:ascii="Times New Roman" w:hAnsi="Times New Roman"/>
                <w:b w:val="0"/>
                <w:sz w:val="18"/>
              </w:rPr>
              <w:t>Python</w:t>
            </w:r>
          </w:p>
        </w:tc>
        <w:tc>
          <w:tcPr>
            <w:tcW w:w="5472" w:type="dxa"/>
            <w:vAlign w:val="center"/>
          </w:tcPr>
          <w:p w14:paraId="5F6CEC40">
            <w:pPr>
              <w:spacing w:after="0" w:line="240" w:lineRule="auto"/>
            </w:pPr>
            <w:r>
              <w:rPr>
                <w:rFonts w:ascii="Times New Roman" w:hAnsi="Times New Roman"/>
                <w:b w:val="0"/>
                <w:sz w:val="18"/>
              </w:rPr>
              <w:t>3.12</w:t>
            </w:r>
          </w:p>
        </w:tc>
      </w:tr>
      <w:tr w14:paraId="4C8AA50C">
        <w:trPr>
          <w:jc w:val="center"/>
        </w:trPr>
        <w:tc>
          <w:tcPr>
            <w:tcW w:w="2880" w:type="dxa"/>
            <w:vAlign w:val="center"/>
          </w:tcPr>
          <w:p w14:paraId="414621C3">
            <w:pPr>
              <w:spacing w:after="0" w:line="240" w:lineRule="auto"/>
            </w:pPr>
            <w:r>
              <w:rPr>
                <w:rFonts w:ascii="Times New Roman" w:hAnsi="Times New Roman"/>
                <w:b w:val="0"/>
                <w:sz w:val="18"/>
              </w:rPr>
              <w:t>PyTorch</w:t>
            </w:r>
          </w:p>
        </w:tc>
        <w:tc>
          <w:tcPr>
            <w:tcW w:w="5472" w:type="dxa"/>
            <w:vAlign w:val="center"/>
          </w:tcPr>
          <w:p w14:paraId="50C12500">
            <w:pPr>
              <w:spacing w:after="0" w:line="240" w:lineRule="auto"/>
            </w:pPr>
            <w:r>
              <w:rPr>
                <w:rFonts w:ascii="Times New Roman" w:hAnsi="Times New Roman"/>
                <w:b w:val="0"/>
                <w:sz w:val="18"/>
              </w:rPr>
              <w:t>2.13.0 (CPU)</w:t>
            </w:r>
          </w:p>
        </w:tc>
      </w:tr>
      <w:tr w14:paraId="4E8232E6">
        <w:trPr>
          <w:jc w:val="center"/>
        </w:trPr>
        <w:tc>
          <w:tcPr>
            <w:tcW w:w="2880" w:type="dxa"/>
            <w:vAlign w:val="center"/>
          </w:tcPr>
          <w:p w14:paraId="050DD727">
            <w:pPr>
              <w:spacing w:after="0" w:line="240" w:lineRule="auto"/>
            </w:pPr>
            <w:r>
              <w:rPr>
                <w:rFonts w:ascii="Times New Roman" w:hAnsi="Times New Roman"/>
                <w:b w:val="0"/>
                <w:sz w:val="18"/>
              </w:rPr>
              <w:t>PyTorch Geometric</w:t>
            </w:r>
          </w:p>
        </w:tc>
        <w:tc>
          <w:tcPr>
            <w:tcW w:w="5472" w:type="dxa"/>
            <w:vAlign w:val="center"/>
          </w:tcPr>
          <w:p w14:paraId="75FB8FF2">
            <w:pPr>
              <w:spacing w:after="0" w:line="240" w:lineRule="auto"/>
            </w:pPr>
            <w:r>
              <w:rPr>
                <w:rFonts w:ascii="Times New Roman" w:hAnsi="Times New Roman"/>
                <w:b w:val="0"/>
                <w:sz w:val="18"/>
              </w:rPr>
              <w:t>2.8.0</w:t>
            </w:r>
          </w:p>
        </w:tc>
      </w:tr>
      <w:tr w14:paraId="2E5D9A97">
        <w:trPr>
          <w:jc w:val="center"/>
        </w:trPr>
        <w:tc>
          <w:tcPr>
            <w:tcW w:w="2880" w:type="dxa"/>
            <w:vAlign w:val="center"/>
          </w:tcPr>
          <w:p w14:paraId="2E662EFB">
            <w:pPr>
              <w:spacing w:after="0" w:line="240" w:lineRule="auto"/>
            </w:pPr>
            <w:r>
              <w:rPr>
                <w:rFonts w:ascii="Times New Roman" w:hAnsi="Times New Roman"/>
                <w:b w:val="0"/>
                <w:sz w:val="18"/>
              </w:rPr>
              <w:t>Training device</w:t>
            </w:r>
          </w:p>
        </w:tc>
        <w:tc>
          <w:tcPr>
            <w:tcW w:w="5472" w:type="dxa"/>
            <w:vAlign w:val="center"/>
          </w:tcPr>
          <w:p w14:paraId="10D2B986">
            <w:pPr>
              <w:spacing w:after="0" w:line="240" w:lineRule="auto"/>
            </w:pPr>
            <w:r>
              <w:rPr>
                <w:rFonts w:ascii="Times New Roman" w:hAnsi="Times New Roman"/>
                <w:b w:val="0"/>
                <w:sz w:val="18"/>
              </w:rPr>
              <w:t>CPU</w:t>
            </w:r>
          </w:p>
        </w:tc>
      </w:tr>
    </w:tbl>
    <w:p w14:paraId="2DDB9A7B"/>
    <w:p w14:paraId="41FCC343">
      <w:pPr>
        <w:pStyle w:val="164"/>
        <w:jc w:val="center"/>
      </w:pPr>
      <w:r>
        <w:t>Table 3. Experimental environment reported for the current run.</w:t>
      </w:r>
    </w:p>
    <w:p w14:paraId="14B4A802">
      <w:pPr>
        <w:pStyle w:val="2"/>
      </w:pPr>
      <w:r>
        <w:br w:type="textWrapping"/>
      </w:r>
      <w:r>
        <w:t>6. Results</w:t>
      </w:r>
    </w:p>
    <w:p w14:paraId="4E61FE55">
      <w:pPr>
        <w:pStyle w:val="3"/>
      </w:pPr>
      <w:r>
        <w:t>6.1 Primary Node-Level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1440"/>
        <w:gridCol w:w="1440"/>
        <w:gridCol w:w="1728"/>
        <w:gridCol w:w="1440"/>
      </w:tblGrid>
      <w:tr w14:paraId="0E195C94">
        <w:trPr>
          <w:jc w:val="center"/>
        </w:trPr>
        <w:tc>
          <w:tcPr>
            <w:tcW w:w="2880" w:type="dxa"/>
            <w:shd w:val="clear" w:color="auto" w:fill="D9E2F3"/>
            <w:vAlign w:val="center"/>
          </w:tcPr>
          <w:p w14:paraId="781A0DC7">
            <w:pPr>
              <w:spacing w:after="0" w:line="240" w:lineRule="auto"/>
            </w:pPr>
            <w:r>
              <w:rPr>
                <w:rFonts w:ascii="Times New Roman" w:hAnsi="Times New Roman"/>
                <w:b/>
                <w:sz w:val="18"/>
              </w:rPr>
              <w:t>Model</w:t>
            </w:r>
          </w:p>
        </w:tc>
        <w:tc>
          <w:tcPr>
            <w:tcW w:w="1440" w:type="dxa"/>
            <w:shd w:val="clear" w:color="auto" w:fill="D9E2F3"/>
            <w:vAlign w:val="center"/>
          </w:tcPr>
          <w:p w14:paraId="21827BBC">
            <w:pPr>
              <w:spacing w:after="0" w:line="240" w:lineRule="auto"/>
            </w:pPr>
            <w:r>
              <w:rPr>
                <w:rFonts w:ascii="Times New Roman" w:hAnsi="Times New Roman"/>
                <w:b/>
                <w:sz w:val="18"/>
              </w:rPr>
              <w:t>AUC-ROC</w:t>
            </w:r>
          </w:p>
        </w:tc>
        <w:tc>
          <w:tcPr>
            <w:tcW w:w="1440" w:type="dxa"/>
            <w:shd w:val="clear" w:color="auto" w:fill="D9E2F3"/>
            <w:vAlign w:val="center"/>
          </w:tcPr>
          <w:p w14:paraId="58E223D4">
            <w:pPr>
              <w:spacing w:after="0" w:line="240" w:lineRule="auto"/>
            </w:pPr>
            <w:r>
              <w:rPr>
                <w:rFonts w:ascii="Times New Roman" w:hAnsi="Times New Roman"/>
                <w:b/>
                <w:sz w:val="18"/>
              </w:rPr>
              <w:t>F1</w:t>
            </w:r>
          </w:p>
        </w:tc>
        <w:tc>
          <w:tcPr>
            <w:tcW w:w="1728" w:type="dxa"/>
            <w:shd w:val="clear" w:color="auto" w:fill="D9E2F3"/>
            <w:vAlign w:val="center"/>
          </w:tcPr>
          <w:p w14:paraId="0746433F">
            <w:pPr>
              <w:spacing w:after="0" w:line="240" w:lineRule="auto"/>
            </w:pPr>
            <w:r>
              <w:rPr>
                <w:rFonts w:ascii="Times New Roman" w:hAnsi="Times New Roman"/>
                <w:b/>
                <w:sz w:val="18"/>
              </w:rPr>
              <w:t>Precision</w:t>
            </w:r>
          </w:p>
        </w:tc>
        <w:tc>
          <w:tcPr>
            <w:tcW w:w="1440" w:type="dxa"/>
            <w:shd w:val="clear" w:color="auto" w:fill="D9E2F3"/>
            <w:vAlign w:val="center"/>
          </w:tcPr>
          <w:p w14:paraId="47346D6A">
            <w:pPr>
              <w:spacing w:after="0" w:line="240" w:lineRule="auto"/>
            </w:pPr>
            <w:r>
              <w:rPr>
                <w:rFonts w:ascii="Times New Roman" w:hAnsi="Times New Roman"/>
                <w:b/>
                <w:sz w:val="18"/>
              </w:rPr>
              <w:t>Recall</w:t>
            </w:r>
          </w:p>
        </w:tc>
      </w:tr>
      <w:tr w14:paraId="278E6850">
        <w:trPr>
          <w:jc w:val="center"/>
        </w:trPr>
        <w:tc>
          <w:tcPr>
            <w:tcW w:w="2880" w:type="dxa"/>
            <w:vAlign w:val="center"/>
          </w:tcPr>
          <w:p w14:paraId="7F815471">
            <w:pPr>
              <w:spacing w:after="0" w:line="240" w:lineRule="auto"/>
            </w:pPr>
            <w:r>
              <w:rPr>
                <w:rFonts w:ascii="Times New Roman" w:hAnsi="Times New Roman"/>
                <w:b w:val="0"/>
                <w:sz w:val="18"/>
              </w:rPr>
              <w:t>GCN-only</w:t>
            </w:r>
          </w:p>
        </w:tc>
        <w:tc>
          <w:tcPr>
            <w:tcW w:w="1440" w:type="dxa"/>
            <w:vAlign w:val="center"/>
          </w:tcPr>
          <w:p w14:paraId="5E87BB16">
            <w:pPr>
              <w:spacing w:after="0" w:line="240" w:lineRule="auto"/>
            </w:pPr>
            <w:r>
              <w:rPr>
                <w:rFonts w:ascii="Times New Roman" w:hAnsi="Times New Roman"/>
                <w:b w:val="0"/>
                <w:sz w:val="18"/>
              </w:rPr>
              <w:t>0.87</w:t>
            </w:r>
          </w:p>
        </w:tc>
        <w:tc>
          <w:tcPr>
            <w:tcW w:w="1440" w:type="dxa"/>
            <w:vAlign w:val="center"/>
          </w:tcPr>
          <w:p w14:paraId="728C42EA">
            <w:pPr>
              <w:spacing w:after="0" w:line="240" w:lineRule="auto"/>
            </w:pPr>
            <w:r>
              <w:rPr>
                <w:rFonts w:ascii="Times New Roman" w:hAnsi="Times New Roman"/>
                <w:b w:val="0"/>
                <w:sz w:val="18"/>
              </w:rPr>
              <w:t>0.84</w:t>
            </w:r>
          </w:p>
        </w:tc>
        <w:tc>
          <w:tcPr>
            <w:tcW w:w="1728" w:type="dxa"/>
            <w:vAlign w:val="center"/>
          </w:tcPr>
          <w:p w14:paraId="11EE3B8F">
            <w:pPr>
              <w:spacing w:after="0" w:line="240" w:lineRule="auto"/>
            </w:pPr>
            <w:r>
              <w:rPr>
                <w:rFonts w:ascii="Times New Roman" w:hAnsi="Times New Roman"/>
                <w:b w:val="0"/>
                <w:sz w:val="18"/>
              </w:rPr>
              <w:t>0.86</w:t>
            </w:r>
          </w:p>
        </w:tc>
        <w:tc>
          <w:tcPr>
            <w:tcW w:w="1440" w:type="dxa"/>
            <w:vAlign w:val="center"/>
          </w:tcPr>
          <w:p w14:paraId="42E02B37">
            <w:pPr>
              <w:spacing w:after="0" w:line="240" w:lineRule="auto"/>
            </w:pPr>
            <w:r>
              <w:rPr>
                <w:rFonts w:ascii="Times New Roman" w:hAnsi="Times New Roman"/>
                <w:b w:val="0"/>
                <w:sz w:val="18"/>
              </w:rPr>
              <w:t>0.82</w:t>
            </w:r>
          </w:p>
        </w:tc>
      </w:tr>
      <w:tr w14:paraId="1E768785">
        <w:trPr>
          <w:jc w:val="center"/>
        </w:trPr>
        <w:tc>
          <w:tcPr>
            <w:tcW w:w="2880" w:type="dxa"/>
            <w:vAlign w:val="center"/>
          </w:tcPr>
          <w:p w14:paraId="54F1DA52">
            <w:pPr>
              <w:spacing w:after="0" w:line="240" w:lineRule="auto"/>
            </w:pPr>
            <w:r>
              <w:rPr>
                <w:rFonts w:ascii="Times New Roman" w:hAnsi="Times New Roman"/>
                <w:b w:val="0"/>
                <w:sz w:val="18"/>
              </w:rPr>
              <w:t>ST-GraphAD</w:t>
            </w:r>
          </w:p>
        </w:tc>
        <w:tc>
          <w:tcPr>
            <w:tcW w:w="1440" w:type="dxa"/>
            <w:vAlign w:val="center"/>
          </w:tcPr>
          <w:p w14:paraId="5E65342D">
            <w:pPr>
              <w:spacing w:after="0" w:line="240" w:lineRule="auto"/>
            </w:pPr>
            <w:r>
              <w:rPr>
                <w:rFonts w:ascii="Times New Roman" w:hAnsi="Times New Roman"/>
                <w:b w:val="0"/>
                <w:sz w:val="18"/>
              </w:rPr>
              <w:t>0.91</w:t>
            </w:r>
          </w:p>
        </w:tc>
        <w:tc>
          <w:tcPr>
            <w:tcW w:w="1440" w:type="dxa"/>
            <w:vAlign w:val="center"/>
          </w:tcPr>
          <w:p w14:paraId="38F87682">
            <w:pPr>
              <w:spacing w:after="0" w:line="240" w:lineRule="auto"/>
            </w:pPr>
            <w:r>
              <w:rPr>
                <w:rFonts w:ascii="Times New Roman" w:hAnsi="Times New Roman"/>
                <w:b w:val="0"/>
                <w:sz w:val="18"/>
              </w:rPr>
              <w:t>0.88</w:t>
            </w:r>
          </w:p>
        </w:tc>
        <w:tc>
          <w:tcPr>
            <w:tcW w:w="1728" w:type="dxa"/>
            <w:vAlign w:val="center"/>
          </w:tcPr>
          <w:p w14:paraId="091D59CC">
            <w:pPr>
              <w:spacing w:after="0" w:line="240" w:lineRule="auto"/>
            </w:pPr>
            <w:r>
              <w:rPr>
                <w:rFonts w:ascii="Times New Roman" w:hAnsi="Times New Roman"/>
                <w:b w:val="0"/>
                <w:sz w:val="18"/>
              </w:rPr>
              <w:t>0.89</w:t>
            </w:r>
          </w:p>
        </w:tc>
        <w:tc>
          <w:tcPr>
            <w:tcW w:w="1440" w:type="dxa"/>
            <w:vAlign w:val="center"/>
          </w:tcPr>
          <w:p w14:paraId="36CDABF9">
            <w:pPr>
              <w:spacing w:after="0" w:line="240" w:lineRule="auto"/>
            </w:pPr>
            <w:r>
              <w:rPr>
                <w:rFonts w:ascii="Times New Roman" w:hAnsi="Times New Roman"/>
                <w:b w:val="0"/>
                <w:sz w:val="18"/>
              </w:rPr>
              <w:t>0.87</w:t>
            </w:r>
          </w:p>
        </w:tc>
      </w:tr>
    </w:tbl>
    <w:p w14:paraId="52E0634A"/>
    <w:p w14:paraId="74382CF6">
      <w:pPr>
        <w:pStyle w:val="164"/>
        <w:jc w:val="center"/>
      </w:pPr>
      <w:r>
        <w:t>Table 4. Node-level intrusion-detection performance on the current test evaluation.</w:t>
      </w:r>
    </w:p>
    <w:p w14:paraId="7968F4DC">
      <w:r>
        <w:t>ST-GraphAD improves AUC-ROC from 0.87 to 0.91 and F1 from 0.84 to 0.88 relative to the static GCN baseline. Precision increases from 0.86 to 0.89, while recall increases from 0.82 to 0.87. The absolute AUC gain is 0.04 and the absolute F1 gain is 0.04. Because the reported configurations represent single training runs, these differences should be interpreted as observed effects rather than statistically established improvements.</w:t>
      </w:r>
    </w:p>
    <w:p w14:paraId="39A15AC9">
      <w:pPr>
        <w:pStyle w:val="3"/>
      </w:pPr>
      <w:r>
        <w:t>6.2 Ablation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88"/>
        <w:gridCol w:w="1440"/>
        <w:gridCol w:w="1440"/>
        <w:gridCol w:w="1440"/>
        <w:gridCol w:w="1440"/>
      </w:tblGrid>
      <w:tr w14:paraId="7DFBF6F5">
        <w:trPr>
          <w:jc w:val="center"/>
        </w:trPr>
        <w:tc>
          <w:tcPr>
            <w:tcW w:w="3888" w:type="dxa"/>
            <w:shd w:val="clear" w:color="auto" w:fill="D9E2F3"/>
            <w:vAlign w:val="center"/>
          </w:tcPr>
          <w:p w14:paraId="2449EB7B">
            <w:pPr>
              <w:spacing w:after="0" w:line="240" w:lineRule="auto"/>
            </w:pPr>
            <w:r>
              <w:rPr>
                <w:rFonts w:ascii="Times New Roman" w:hAnsi="Times New Roman"/>
                <w:b/>
                <w:sz w:val="18"/>
              </w:rPr>
              <w:t>Variant</w:t>
            </w:r>
          </w:p>
        </w:tc>
        <w:tc>
          <w:tcPr>
            <w:tcW w:w="1440" w:type="dxa"/>
            <w:shd w:val="clear" w:color="auto" w:fill="D9E2F3"/>
            <w:vAlign w:val="center"/>
          </w:tcPr>
          <w:p w14:paraId="5741D36D">
            <w:pPr>
              <w:spacing w:after="0" w:line="240" w:lineRule="auto"/>
            </w:pPr>
            <w:r>
              <w:rPr>
                <w:rFonts w:ascii="Times New Roman" w:hAnsi="Times New Roman"/>
                <w:b/>
                <w:sz w:val="18"/>
              </w:rPr>
              <w:t>Node AUC</w:t>
            </w:r>
          </w:p>
        </w:tc>
        <w:tc>
          <w:tcPr>
            <w:tcW w:w="1440" w:type="dxa"/>
            <w:shd w:val="clear" w:color="auto" w:fill="D9E2F3"/>
            <w:vAlign w:val="center"/>
          </w:tcPr>
          <w:p w14:paraId="005E01EF">
            <w:pPr>
              <w:spacing w:after="0" w:line="240" w:lineRule="auto"/>
            </w:pPr>
            <w:r>
              <w:rPr>
                <w:rFonts w:ascii="Times New Roman" w:hAnsi="Times New Roman"/>
                <w:b/>
                <w:sz w:val="18"/>
              </w:rPr>
              <w:t>Δ AUC</w:t>
            </w:r>
          </w:p>
        </w:tc>
        <w:tc>
          <w:tcPr>
            <w:tcW w:w="1440" w:type="dxa"/>
            <w:shd w:val="clear" w:color="auto" w:fill="D9E2F3"/>
            <w:vAlign w:val="center"/>
          </w:tcPr>
          <w:p w14:paraId="36CB0072">
            <w:pPr>
              <w:spacing w:after="0" w:line="240" w:lineRule="auto"/>
            </w:pPr>
            <w:r>
              <w:rPr>
                <w:rFonts w:ascii="Times New Roman" w:hAnsi="Times New Roman"/>
                <w:b/>
                <w:sz w:val="18"/>
              </w:rPr>
              <w:t>Node F1</w:t>
            </w:r>
          </w:p>
        </w:tc>
        <w:tc>
          <w:tcPr>
            <w:tcW w:w="1440" w:type="dxa"/>
            <w:shd w:val="clear" w:color="auto" w:fill="D9E2F3"/>
            <w:vAlign w:val="center"/>
          </w:tcPr>
          <w:p w14:paraId="05E383E4">
            <w:pPr>
              <w:spacing w:after="0" w:line="240" w:lineRule="auto"/>
            </w:pPr>
            <w:r>
              <w:rPr>
                <w:rFonts w:ascii="Times New Roman" w:hAnsi="Times New Roman"/>
                <w:b/>
                <w:sz w:val="18"/>
              </w:rPr>
              <w:t>Δ F1</w:t>
            </w:r>
          </w:p>
        </w:tc>
      </w:tr>
      <w:tr w14:paraId="36E99043">
        <w:trPr>
          <w:jc w:val="center"/>
        </w:trPr>
        <w:tc>
          <w:tcPr>
            <w:tcW w:w="3888" w:type="dxa"/>
            <w:vAlign w:val="center"/>
          </w:tcPr>
          <w:p w14:paraId="41DA2A1B">
            <w:pPr>
              <w:spacing w:after="0" w:line="240" w:lineRule="auto"/>
            </w:pPr>
            <w:r>
              <w:rPr>
                <w:rFonts w:ascii="Times New Roman" w:hAnsi="Times New Roman"/>
                <w:b w:val="0"/>
                <w:sz w:val="18"/>
              </w:rPr>
              <w:t>ST-GraphAD (full)</w:t>
            </w:r>
          </w:p>
        </w:tc>
        <w:tc>
          <w:tcPr>
            <w:tcW w:w="1440" w:type="dxa"/>
            <w:vAlign w:val="center"/>
          </w:tcPr>
          <w:p w14:paraId="0E7C7865">
            <w:pPr>
              <w:spacing w:after="0" w:line="240" w:lineRule="auto"/>
            </w:pPr>
            <w:r>
              <w:rPr>
                <w:rFonts w:ascii="Times New Roman" w:hAnsi="Times New Roman"/>
                <w:b w:val="0"/>
                <w:sz w:val="18"/>
              </w:rPr>
              <w:t>0.91</w:t>
            </w:r>
          </w:p>
        </w:tc>
        <w:tc>
          <w:tcPr>
            <w:tcW w:w="1440" w:type="dxa"/>
            <w:vAlign w:val="center"/>
          </w:tcPr>
          <w:p w14:paraId="2FE86FA8">
            <w:pPr>
              <w:spacing w:after="0" w:line="240" w:lineRule="auto"/>
            </w:pPr>
            <w:r>
              <w:rPr>
                <w:rFonts w:ascii="Times New Roman" w:hAnsi="Times New Roman"/>
                <w:b w:val="0"/>
                <w:sz w:val="18"/>
              </w:rPr>
              <w:t>—</w:t>
            </w:r>
          </w:p>
        </w:tc>
        <w:tc>
          <w:tcPr>
            <w:tcW w:w="1440" w:type="dxa"/>
            <w:vAlign w:val="center"/>
          </w:tcPr>
          <w:p w14:paraId="6CEF4E70">
            <w:pPr>
              <w:spacing w:after="0" w:line="240" w:lineRule="auto"/>
            </w:pPr>
            <w:r>
              <w:rPr>
                <w:rFonts w:ascii="Times New Roman" w:hAnsi="Times New Roman"/>
                <w:b w:val="0"/>
                <w:sz w:val="18"/>
              </w:rPr>
              <w:t>0.88</w:t>
            </w:r>
          </w:p>
        </w:tc>
        <w:tc>
          <w:tcPr>
            <w:tcW w:w="1440" w:type="dxa"/>
            <w:vAlign w:val="center"/>
          </w:tcPr>
          <w:p w14:paraId="7473CC94">
            <w:pPr>
              <w:spacing w:after="0" w:line="240" w:lineRule="auto"/>
            </w:pPr>
            <w:r>
              <w:rPr>
                <w:rFonts w:ascii="Times New Roman" w:hAnsi="Times New Roman"/>
                <w:b w:val="0"/>
                <w:sz w:val="18"/>
              </w:rPr>
              <w:t>—</w:t>
            </w:r>
          </w:p>
        </w:tc>
      </w:tr>
      <w:tr w14:paraId="5C3989A5">
        <w:trPr>
          <w:jc w:val="center"/>
        </w:trPr>
        <w:tc>
          <w:tcPr>
            <w:tcW w:w="3888" w:type="dxa"/>
            <w:vAlign w:val="center"/>
          </w:tcPr>
          <w:p w14:paraId="74677822">
            <w:pPr>
              <w:spacing w:after="0" w:line="240" w:lineRule="auto"/>
            </w:pPr>
            <w:r>
              <w:rPr>
                <w:rFonts w:ascii="Times New Roman" w:hAnsi="Times New Roman"/>
                <w:b w:val="0"/>
                <w:sz w:val="18"/>
              </w:rPr>
              <w:t>No temporal attention / GCN-only</w:t>
            </w:r>
          </w:p>
        </w:tc>
        <w:tc>
          <w:tcPr>
            <w:tcW w:w="1440" w:type="dxa"/>
            <w:vAlign w:val="center"/>
          </w:tcPr>
          <w:p w14:paraId="5A1C511C">
            <w:pPr>
              <w:spacing w:after="0" w:line="240" w:lineRule="auto"/>
            </w:pPr>
            <w:r>
              <w:rPr>
                <w:rFonts w:ascii="Times New Roman" w:hAnsi="Times New Roman"/>
                <w:b w:val="0"/>
                <w:sz w:val="18"/>
              </w:rPr>
              <w:t>0.87</w:t>
            </w:r>
          </w:p>
        </w:tc>
        <w:tc>
          <w:tcPr>
            <w:tcW w:w="1440" w:type="dxa"/>
            <w:vAlign w:val="center"/>
          </w:tcPr>
          <w:p w14:paraId="68183FCB">
            <w:pPr>
              <w:spacing w:after="0" w:line="240" w:lineRule="auto"/>
            </w:pPr>
            <w:r>
              <w:rPr>
                <w:rFonts w:ascii="Times New Roman" w:hAnsi="Times New Roman"/>
                <w:b w:val="0"/>
                <w:sz w:val="18"/>
              </w:rPr>
              <w:t>−0.04</w:t>
            </w:r>
          </w:p>
        </w:tc>
        <w:tc>
          <w:tcPr>
            <w:tcW w:w="1440" w:type="dxa"/>
            <w:vAlign w:val="center"/>
          </w:tcPr>
          <w:p w14:paraId="04DD4F81">
            <w:pPr>
              <w:spacing w:after="0" w:line="240" w:lineRule="auto"/>
            </w:pPr>
            <w:r>
              <w:rPr>
                <w:rFonts w:ascii="Times New Roman" w:hAnsi="Times New Roman"/>
                <w:b w:val="0"/>
                <w:sz w:val="18"/>
              </w:rPr>
              <w:t>0.84</w:t>
            </w:r>
          </w:p>
        </w:tc>
        <w:tc>
          <w:tcPr>
            <w:tcW w:w="1440" w:type="dxa"/>
            <w:vAlign w:val="center"/>
          </w:tcPr>
          <w:p w14:paraId="30CE5A01">
            <w:pPr>
              <w:spacing w:after="0" w:line="240" w:lineRule="auto"/>
            </w:pPr>
            <w:r>
              <w:rPr>
                <w:rFonts w:ascii="Times New Roman" w:hAnsi="Times New Roman"/>
                <w:b w:val="0"/>
                <w:sz w:val="18"/>
              </w:rPr>
              <w:t>−0.04</w:t>
            </w:r>
          </w:p>
        </w:tc>
      </w:tr>
      <w:tr w14:paraId="7E3803EF">
        <w:trPr>
          <w:jc w:val="center"/>
        </w:trPr>
        <w:tc>
          <w:tcPr>
            <w:tcW w:w="3888" w:type="dxa"/>
            <w:vAlign w:val="center"/>
          </w:tcPr>
          <w:p w14:paraId="7202FF75">
            <w:pPr>
              <w:spacing w:after="0" w:line="240" w:lineRule="auto"/>
            </w:pPr>
            <w:r>
              <w:rPr>
                <w:rFonts w:ascii="Times New Roman" w:hAnsi="Times New Roman"/>
                <w:b w:val="0"/>
                <w:sz w:val="18"/>
              </w:rPr>
              <w:t>1 attention head</w:t>
            </w:r>
          </w:p>
        </w:tc>
        <w:tc>
          <w:tcPr>
            <w:tcW w:w="1440" w:type="dxa"/>
            <w:vAlign w:val="center"/>
          </w:tcPr>
          <w:p w14:paraId="45502E74">
            <w:pPr>
              <w:spacing w:after="0" w:line="240" w:lineRule="auto"/>
            </w:pPr>
            <w:r>
              <w:rPr>
                <w:rFonts w:ascii="Times New Roman" w:hAnsi="Times New Roman"/>
                <w:b w:val="0"/>
                <w:sz w:val="18"/>
              </w:rPr>
              <w:t>0.89</w:t>
            </w:r>
          </w:p>
        </w:tc>
        <w:tc>
          <w:tcPr>
            <w:tcW w:w="1440" w:type="dxa"/>
            <w:vAlign w:val="center"/>
          </w:tcPr>
          <w:p w14:paraId="4F8A71E8">
            <w:pPr>
              <w:spacing w:after="0" w:line="240" w:lineRule="auto"/>
            </w:pPr>
            <w:r>
              <w:rPr>
                <w:rFonts w:ascii="Times New Roman" w:hAnsi="Times New Roman"/>
                <w:b w:val="0"/>
                <w:sz w:val="18"/>
              </w:rPr>
              <w:t>−0.02</w:t>
            </w:r>
          </w:p>
        </w:tc>
        <w:tc>
          <w:tcPr>
            <w:tcW w:w="1440" w:type="dxa"/>
            <w:vAlign w:val="center"/>
          </w:tcPr>
          <w:p w14:paraId="58BF3F29">
            <w:pPr>
              <w:spacing w:after="0" w:line="240" w:lineRule="auto"/>
            </w:pPr>
            <w:r>
              <w:rPr>
                <w:rFonts w:ascii="Times New Roman" w:hAnsi="Times New Roman"/>
                <w:b w:val="0"/>
                <w:sz w:val="18"/>
              </w:rPr>
              <w:t>0.86</w:t>
            </w:r>
          </w:p>
        </w:tc>
        <w:tc>
          <w:tcPr>
            <w:tcW w:w="1440" w:type="dxa"/>
            <w:vAlign w:val="center"/>
          </w:tcPr>
          <w:p w14:paraId="47EC8FDD">
            <w:pPr>
              <w:spacing w:after="0" w:line="240" w:lineRule="auto"/>
            </w:pPr>
            <w:r>
              <w:rPr>
                <w:rFonts w:ascii="Times New Roman" w:hAnsi="Times New Roman"/>
                <w:b w:val="0"/>
                <w:sz w:val="18"/>
              </w:rPr>
              <w:t>−0.02</w:t>
            </w:r>
          </w:p>
        </w:tc>
      </w:tr>
      <w:tr w14:paraId="25887CB5">
        <w:trPr>
          <w:jc w:val="center"/>
        </w:trPr>
        <w:tc>
          <w:tcPr>
            <w:tcW w:w="3888" w:type="dxa"/>
            <w:vAlign w:val="center"/>
          </w:tcPr>
          <w:p w14:paraId="1327989F">
            <w:pPr>
              <w:spacing w:after="0" w:line="240" w:lineRule="auto"/>
            </w:pPr>
            <w:r>
              <w:rPr>
                <w:rFonts w:ascii="Times New Roman" w:hAnsi="Times New Roman"/>
                <w:b w:val="0"/>
                <w:sz w:val="18"/>
              </w:rPr>
              <w:t>4 temporal layers</w:t>
            </w:r>
          </w:p>
        </w:tc>
        <w:tc>
          <w:tcPr>
            <w:tcW w:w="1440" w:type="dxa"/>
            <w:vAlign w:val="center"/>
          </w:tcPr>
          <w:p w14:paraId="214374A2">
            <w:pPr>
              <w:spacing w:after="0" w:line="240" w:lineRule="auto"/>
            </w:pPr>
            <w:r>
              <w:rPr>
                <w:rFonts w:ascii="Times New Roman" w:hAnsi="Times New Roman"/>
                <w:b w:val="0"/>
                <w:sz w:val="18"/>
              </w:rPr>
              <w:t>0.90</w:t>
            </w:r>
          </w:p>
        </w:tc>
        <w:tc>
          <w:tcPr>
            <w:tcW w:w="1440" w:type="dxa"/>
            <w:vAlign w:val="center"/>
          </w:tcPr>
          <w:p w14:paraId="5CBC93E7">
            <w:pPr>
              <w:spacing w:after="0" w:line="240" w:lineRule="auto"/>
            </w:pPr>
            <w:r>
              <w:rPr>
                <w:rFonts w:ascii="Times New Roman" w:hAnsi="Times New Roman"/>
                <w:b w:val="0"/>
                <w:sz w:val="18"/>
              </w:rPr>
              <w:t>−0.01</w:t>
            </w:r>
          </w:p>
        </w:tc>
        <w:tc>
          <w:tcPr>
            <w:tcW w:w="1440" w:type="dxa"/>
            <w:vAlign w:val="center"/>
          </w:tcPr>
          <w:p w14:paraId="397688FB">
            <w:pPr>
              <w:spacing w:after="0" w:line="240" w:lineRule="auto"/>
            </w:pPr>
            <w:r>
              <w:rPr>
                <w:rFonts w:ascii="Times New Roman" w:hAnsi="Times New Roman"/>
                <w:b w:val="0"/>
                <w:sz w:val="18"/>
              </w:rPr>
              <w:t>0.87</w:t>
            </w:r>
          </w:p>
        </w:tc>
        <w:tc>
          <w:tcPr>
            <w:tcW w:w="1440" w:type="dxa"/>
            <w:vAlign w:val="center"/>
          </w:tcPr>
          <w:p w14:paraId="224F81F8">
            <w:pPr>
              <w:spacing w:after="0" w:line="240" w:lineRule="auto"/>
            </w:pPr>
            <w:r>
              <w:rPr>
                <w:rFonts w:ascii="Times New Roman" w:hAnsi="Times New Roman"/>
                <w:b w:val="0"/>
                <w:sz w:val="18"/>
              </w:rPr>
              <w:t>−0.01</w:t>
            </w:r>
          </w:p>
        </w:tc>
      </w:tr>
      <w:tr w14:paraId="5665349F">
        <w:trPr>
          <w:jc w:val="center"/>
        </w:trPr>
        <w:tc>
          <w:tcPr>
            <w:tcW w:w="3888" w:type="dxa"/>
            <w:vAlign w:val="center"/>
          </w:tcPr>
          <w:p w14:paraId="1F70798C">
            <w:pPr>
              <w:spacing w:after="0" w:line="240" w:lineRule="auto"/>
            </w:pPr>
            <w:r>
              <w:rPr>
                <w:rFonts w:ascii="Times New Roman" w:hAnsi="Times New Roman"/>
                <w:b w:val="0"/>
                <w:sz w:val="18"/>
              </w:rPr>
              <w:t>Sequence length L=10</w:t>
            </w:r>
          </w:p>
        </w:tc>
        <w:tc>
          <w:tcPr>
            <w:tcW w:w="1440" w:type="dxa"/>
            <w:vAlign w:val="center"/>
          </w:tcPr>
          <w:p w14:paraId="0A9FD0FD">
            <w:pPr>
              <w:spacing w:after="0" w:line="240" w:lineRule="auto"/>
            </w:pPr>
            <w:r>
              <w:rPr>
                <w:rFonts w:ascii="Times New Roman" w:hAnsi="Times New Roman"/>
                <w:b w:val="0"/>
                <w:sz w:val="18"/>
              </w:rPr>
              <w:t>0.92</w:t>
            </w:r>
          </w:p>
        </w:tc>
        <w:tc>
          <w:tcPr>
            <w:tcW w:w="1440" w:type="dxa"/>
            <w:vAlign w:val="center"/>
          </w:tcPr>
          <w:p w14:paraId="24C87171">
            <w:pPr>
              <w:spacing w:after="0" w:line="240" w:lineRule="auto"/>
            </w:pPr>
            <w:r>
              <w:rPr>
                <w:rFonts w:ascii="Times New Roman" w:hAnsi="Times New Roman"/>
                <w:b w:val="0"/>
                <w:sz w:val="18"/>
              </w:rPr>
              <w:t>+0.01</w:t>
            </w:r>
          </w:p>
        </w:tc>
        <w:tc>
          <w:tcPr>
            <w:tcW w:w="1440" w:type="dxa"/>
            <w:vAlign w:val="center"/>
          </w:tcPr>
          <w:p w14:paraId="064F0B5B">
            <w:pPr>
              <w:spacing w:after="0" w:line="240" w:lineRule="auto"/>
            </w:pPr>
            <w:r>
              <w:rPr>
                <w:rFonts w:ascii="Times New Roman" w:hAnsi="Times New Roman"/>
                <w:b w:val="0"/>
                <w:sz w:val="18"/>
              </w:rPr>
              <w:t>0.89</w:t>
            </w:r>
          </w:p>
        </w:tc>
        <w:tc>
          <w:tcPr>
            <w:tcW w:w="1440" w:type="dxa"/>
            <w:vAlign w:val="center"/>
          </w:tcPr>
          <w:p w14:paraId="75BD10DC">
            <w:pPr>
              <w:spacing w:after="0" w:line="240" w:lineRule="auto"/>
            </w:pPr>
            <w:r>
              <w:rPr>
                <w:rFonts w:ascii="Times New Roman" w:hAnsi="Times New Roman"/>
                <w:b w:val="0"/>
                <w:sz w:val="18"/>
              </w:rPr>
              <w:t>+0.01</w:t>
            </w:r>
          </w:p>
        </w:tc>
      </w:tr>
    </w:tbl>
    <w:p w14:paraId="1A00C4DA"/>
    <w:p w14:paraId="5BBBF7E0">
      <w:pPr>
        <w:pStyle w:val="164"/>
        <w:jc w:val="center"/>
      </w:pPr>
      <w:r>
        <w:t>Table 5. Ablation results. Each configuration represents a single run.</w:t>
      </w:r>
    </w:p>
    <w:p w14:paraId="1F4CB994">
      <w:r>
        <w:t>Removing temporal attention returns performance to the static GCN level, which is consistent with a contribution from temporal modeling. Four heads outperform a single head in the observed run, while increasing the number of temporal layers to four produces a small reduction. Increasing sequence length to ten gives a marginal improvement but increases memory requirements. These patterns require confirmation across multiple random seeds.</w:t>
      </w:r>
    </w:p>
    <w:p w14:paraId="18BE5B1C">
      <w:pPr>
        <w:pStyle w:val="3"/>
      </w:pPr>
      <w:r>
        <w:t>6.3 Computational Cost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2016"/>
        <w:gridCol w:w="2592"/>
        <w:gridCol w:w="1872"/>
      </w:tblGrid>
      <w:tr w14:paraId="71B0AB62">
        <w:trPr>
          <w:jc w:val="center"/>
        </w:trPr>
        <w:tc>
          <w:tcPr>
            <w:tcW w:w="2592" w:type="dxa"/>
            <w:shd w:val="clear" w:color="auto" w:fill="D9E2F3"/>
            <w:vAlign w:val="center"/>
          </w:tcPr>
          <w:p w14:paraId="5C646A0B">
            <w:pPr>
              <w:spacing w:after="0" w:line="240" w:lineRule="auto"/>
            </w:pPr>
            <w:r>
              <w:rPr>
                <w:rFonts w:ascii="Times New Roman" w:hAnsi="Times New Roman"/>
                <w:b/>
                <w:sz w:val="18"/>
              </w:rPr>
              <w:t>Model</w:t>
            </w:r>
          </w:p>
        </w:tc>
        <w:tc>
          <w:tcPr>
            <w:tcW w:w="2016" w:type="dxa"/>
            <w:shd w:val="clear" w:color="auto" w:fill="D9E2F3"/>
            <w:vAlign w:val="center"/>
          </w:tcPr>
          <w:p w14:paraId="0619EC4B">
            <w:pPr>
              <w:spacing w:after="0" w:line="240" w:lineRule="auto"/>
            </w:pPr>
            <w:r>
              <w:rPr>
                <w:rFonts w:ascii="Times New Roman" w:hAnsi="Times New Roman"/>
                <w:b/>
                <w:sz w:val="18"/>
              </w:rPr>
              <w:t>Parameters</w:t>
            </w:r>
          </w:p>
        </w:tc>
        <w:tc>
          <w:tcPr>
            <w:tcW w:w="2592" w:type="dxa"/>
            <w:shd w:val="clear" w:color="auto" w:fill="D9E2F3"/>
            <w:vAlign w:val="center"/>
          </w:tcPr>
          <w:p w14:paraId="36F5CC05">
            <w:pPr>
              <w:spacing w:after="0" w:line="240" w:lineRule="auto"/>
            </w:pPr>
            <w:r>
              <w:rPr>
                <w:rFonts w:ascii="Times New Roman" w:hAnsi="Times New Roman"/>
                <w:b/>
                <w:sz w:val="18"/>
              </w:rPr>
              <w:t>Training time (100 ep.)</w:t>
            </w:r>
          </w:p>
        </w:tc>
        <w:tc>
          <w:tcPr>
            <w:tcW w:w="1872" w:type="dxa"/>
            <w:shd w:val="clear" w:color="auto" w:fill="D9E2F3"/>
            <w:vAlign w:val="center"/>
          </w:tcPr>
          <w:p w14:paraId="4E082F9E">
            <w:pPr>
              <w:spacing w:after="0" w:line="240" w:lineRule="auto"/>
            </w:pPr>
            <w:r>
              <w:rPr>
                <w:rFonts w:ascii="Times New Roman" w:hAnsi="Times New Roman"/>
                <w:b/>
                <w:sz w:val="18"/>
              </w:rPr>
              <w:t>Peak memory</w:t>
            </w:r>
          </w:p>
        </w:tc>
      </w:tr>
      <w:tr w14:paraId="44E7FDAC">
        <w:trPr>
          <w:jc w:val="center"/>
        </w:trPr>
        <w:tc>
          <w:tcPr>
            <w:tcW w:w="2592" w:type="dxa"/>
            <w:vAlign w:val="center"/>
          </w:tcPr>
          <w:p w14:paraId="2AB57D75">
            <w:pPr>
              <w:spacing w:after="0" w:line="240" w:lineRule="auto"/>
            </w:pPr>
            <w:r>
              <w:rPr>
                <w:rFonts w:ascii="Times New Roman" w:hAnsi="Times New Roman"/>
                <w:b w:val="0"/>
                <w:sz w:val="18"/>
              </w:rPr>
              <w:t>GCN-only</w:t>
            </w:r>
          </w:p>
        </w:tc>
        <w:tc>
          <w:tcPr>
            <w:tcW w:w="2016" w:type="dxa"/>
            <w:vAlign w:val="center"/>
          </w:tcPr>
          <w:p w14:paraId="7CF472E1">
            <w:pPr>
              <w:spacing w:after="0" w:line="240" w:lineRule="auto"/>
            </w:pPr>
            <w:r>
              <w:rPr>
                <w:rFonts w:ascii="Times New Roman" w:hAnsi="Times New Roman"/>
                <w:b w:val="0"/>
                <w:sz w:val="18"/>
              </w:rPr>
              <w:t>≈180K</w:t>
            </w:r>
          </w:p>
        </w:tc>
        <w:tc>
          <w:tcPr>
            <w:tcW w:w="2592" w:type="dxa"/>
            <w:vAlign w:val="center"/>
          </w:tcPr>
          <w:p w14:paraId="162E8E37">
            <w:pPr>
              <w:spacing w:after="0" w:line="240" w:lineRule="auto"/>
            </w:pPr>
            <w:r>
              <w:rPr>
                <w:rFonts w:ascii="Times New Roman" w:hAnsi="Times New Roman"/>
                <w:b w:val="0"/>
                <w:sz w:val="18"/>
              </w:rPr>
              <w:t>≈45 s</w:t>
            </w:r>
          </w:p>
        </w:tc>
        <w:tc>
          <w:tcPr>
            <w:tcW w:w="1872" w:type="dxa"/>
            <w:vAlign w:val="center"/>
          </w:tcPr>
          <w:p w14:paraId="3DB34F2E">
            <w:pPr>
              <w:spacing w:after="0" w:line="240" w:lineRule="auto"/>
            </w:pPr>
            <w:r>
              <w:rPr>
                <w:rFonts w:ascii="Times New Roman" w:hAnsi="Times New Roman"/>
                <w:b w:val="0"/>
                <w:sz w:val="18"/>
              </w:rPr>
              <w:t>≈230 MB</w:t>
            </w:r>
          </w:p>
        </w:tc>
      </w:tr>
      <w:tr w14:paraId="1FD0B3F5">
        <w:trPr>
          <w:jc w:val="center"/>
        </w:trPr>
        <w:tc>
          <w:tcPr>
            <w:tcW w:w="2592" w:type="dxa"/>
            <w:vAlign w:val="center"/>
          </w:tcPr>
          <w:p w14:paraId="1485747B">
            <w:pPr>
              <w:spacing w:after="0" w:line="240" w:lineRule="auto"/>
            </w:pPr>
            <w:r>
              <w:rPr>
                <w:rFonts w:ascii="Times New Roman" w:hAnsi="Times New Roman"/>
                <w:b w:val="0"/>
                <w:sz w:val="18"/>
              </w:rPr>
              <w:t>ST-GraphAD</w:t>
            </w:r>
          </w:p>
        </w:tc>
        <w:tc>
          <w:tcPr>
            <w:tcW w:w="2016" w:type="dxa"/>
            <w:vAlign w:val="center"/>
          </w:tcPr>
          <w:p w14:paraId="0F24F68E">
            <w:pPr>
              <w:spacing w:after="0" w:line="240" w:lineRule="auto"/>
            </w:pPr>
            <w:r>
              <w:rPr>
                <w:rFonts w:ascii="Times New Roman" w:hAnsi="Times New Roman"/>
                <w:b w:val="0"/>
                <w:sz w:val="18"/>
              </w:rPr>
              <w:t>≈4.2M</w:t>
            </w:r>
          </w:p>
        </w:tc>
        <w:tc>
          <w:tcPr>
            <w:tcW w:w="2592" w:type="dxa"/>
            <w:vAlign w:val="center"/>
          </w:tcPr>
          <w:p w14:paraId="344070D0">
            <w:pPr>
              <w:spacing w:after="0" w:line="240" w:lineRule="auto"/>
            </w:pPr>
            <w:r>
              <w:rPr>
                <w:rFonts w:ascii="Times New Roman" w:hAnsi="Times New Roman"/>
                <w:b w:val="0"/>
                <w:sz w:val="18"/>
              </w:rPr>
              <w:t>≈120 s</w:t>
            </w:r>
          </w:p>
        </w:tc>
        <w:tc>
          <w:tcPr>
            <w:tcW w:w="1872" w:type="dxa"/>
            <w:vAlign w:val="center"/>
          </w:tcPr>
          <w:p w14:paraId="65577974">
            <w:pPr>
              <w:spacing w:after="0" w:line="240" w:lineRule="auto"/>
            </w:pPr>
            <w:r>
              <w:rPr>
                <w:rFonts w:ascii="Times New Roman" w:hAnsi="Times New Roman"/>
                <w:b w:val="0"/>
                <w:sz w:val="18"/>
              </w:rPr>
              <w:t>≈5.9 GB</w:t>
            </w:r>
          </w:p>
        </w:tc>
      </w:tr>
    </w:tbl>
    <w:p w14:paraId="79C686A7"/>
    <w:p w14:paraId="37F6D5ED">
      <w:pPr>
        <w:pStyle w:val="164"/>
        <w:jc w:val="center"/>
      </w:pPr>
      <w:r>
        <w:t>Table 6. Computational comparison.</w:t>
      </w:r>
    </w:p>
    <w:p w14:paraId="46FCEB71">
      <w:r>
        <w:t>The temporal model is substantially more expensive: approximately 23× more parameters, 26× more peak memory, and 2.7× the reported training time of the GCN baseline. This trade-off is important for deployment and motivates future work on pruning, distillation, sparse attention, and more memory-efficient temporal operators.</w:t>
      </w:r>
    </w:p>
    <w:p w14:paraId="743C4C5D">
      <w:pPr>
        <w:pStyle w:val="3"/>
      </w:pPr>
      <w:r>
        <w:t>6.4 Graph-Level Evaluation: A Diagnostic Failure</w:t>
      </w:r>
    </w:p>
    <w:p w14:paraId="0124549F">
      <w:r>
        <w:t>The graph-level target is defined by majority voting over node labels in the final snapshot. Because approximately 95% of nodes are attack-labeled, nearly every graph is assigned the positive class. Consequently, graph-level AUC is not a meaningful measure under this formulation. AUC requires both positive and negative examples for a meaningful ranking interpretation; a single-class target makes the conventional ROC analysis undefined or degenerate.</w:t>
      </w:r>
    </w:p>
    <w:p w14:paraId="72CB8AC3">
      <w:r>
        <w:t>This point is especially important for interpreting the training figure supplied with the current experiment. The figure shows validation AUC remaining at 0.00 and F1/precision/recall remaining at 1.00. Those curves should NOT be used as evidence that the proposed model achieves perfect validation performance. They are consistent with a metric pipeline operating on a degenerate graph-level label. The final paper should instead plot the node-level validation metrics across epochs after introducing a genuine validation split.</w:t>
      </w:r>
    </w:p>
    <w:p w14:paraId="122BD9E7">
      <w:pPr>
        <w:pStyle w:val="2"/>
      </w:pPr>
      <w:r>
        <w:t>7. Discussion</w:t>
      </w:r>
    </w:p>
    <w:p w14:paraId="75DCAF27">
      <w:pPr>
        <w:pStyle w:val="3"/>
      </w:pPr>
      <w:r>
        <w:t>7.1 Interpretation of the Results</w:t>
      </w:r>
    </w:p>
    <w:p w14:paraId="1E5CC243">
      <w:r>
        <w:t>The central result is that adding temporal attention to a spatial GCN improves the observed node-level detection metrics. A plausible explanation is that the current node representation can incorporate recent graph history, whereas the static baseline sees only the current snapshot. This can be beneficial when malicious behavior is expressed through repeated or evolving interactions rather than a single anomalous flow.</w:t>
      </w:r>
    </w:p>
    <w:p w14:paraId="733D0BDB">
      <w:r>
        <w:t>However, the evidence does not establish that individual attention heads have learned specific attack stages. No attention visualization, entropy analysis, or case-level attribution was performed. Therefore, claims such as “the model detects reconnaissance followed by exploitation” should be presented as hypotheses supported by the architecture, not as experimentally verified findings.</w:t>
      </w:r>
    </w:p>
    <w:p w14:paraId="7B6D44E3">
      <w:pPr>
        <w:pStyle w:val="3"/>
      </w:pPr>
      <w:r>
        <w:t>7.2 Practical Implications</w:t>
      </w:r>
    </w:p>
    <w:p w14:paraId="54E51511">
      <w:pPr>
        <w:pStyle w:val="23"/>
      </w:pPr>
      <w:r>
        <w:t>Node-level anomaly scores can support analyst triage by prioritizing suspicious graph entities.</w:t>
      </w:r>
    </w:p>
    <w:p w14:paraId="6A09604E">
      <w:pPr>
        <w:pStyle w:val="23"/>
      </w:pPr>
      <w:r>
        <w:t>Temporal context may help identify attacks whose evidence accumulates over multiple observation windows.</w:t>
      </w:r>
    </w:p>
    <w:p w14:paraId="37B4AF05">
      <w:pPr>
        <w:pStyle w:val="23"/>
      </w:pPr>
      <w:r>
        <w:t>The GCN component is compatible with CPU execution for the relatively small graph sizes in this study.</w:t>
      </w:r>
    </w:p>
    <w:p w14:paraId="5A11A3C9">
      <w:pPr>
        <w:pStyle w:val="23"/>
      </w:pPr>
      <w:r>
        <w:t>The computational overhead of temporal attention must be considered before deployment on large enterprise graphs.</w:t>
      </w:r>
    </w:p>
    <w:p w14:paraId="29D3263B">
      <w:pPr>
        <w:pStyle w:val="2"/>
      </w:pPr>
      <w:r>
        <w:t>8. Limitations and Threats to Validity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5760"/>
      </w:tblGrid>
      <w:tr w14:paraId="05A6EF87">
        <w:trPr>
          <w:jc w:val="center"/>
        </w:trPr>
        <w:tc>
          <w:tcPr>
            <w:tcW w:w="2880" w:type="dxa"/>
            <w:shd w:val="clear" w:color="auto" w:fill="D9E2F3"/>
            <w:vAlign w:val="center"/>
          </w:tcPr>
          <w:p w14:paraId="54B9F543">
            <w:pPr>
              <w:spacing w:after="0" w:line="240" w:lineRule="auto"/>
            </w:pPr>
            <w:r>
              <w:rPr>
                <w:rFonts w:ascii="Times New Roman" w:hAnsi="Times New Roman"/>
                <w:b/>
                <w:sz w:val="18"/>
              </w:rPr>
              <w:t>Threat</w:t>
            </w:r>
          </w:p>
        </w:tc>
        <w:tc>
          <w:tcPr>
            <w:tcW w:w="5760" w:type="dxa"/>
            <w:shd w:val="clear" w:color="auto" w:fill="D9E2F3"/>
            <w:vAlign w:val="center"/>
          </w:tcPr>
          <w:p w14:paraId="2B272247">
            <w:pPr>
              <w:spacing w:after="0" w:line="240" w:lineRule="auto"/>
            </w:pPr>
            <w:r>
              <w:rPr>
                <w:rFonts w:ascii="Times New Roman" w:hAnsi="Times New Roman"/>
                <w:b/>
                <w:sz w:val="18"/>
              </w:rPr>
              <w:t>Implication</w:t>
            </w:r>
          </w:p>
        </w:tc>
      </w:tr>
      <w:tr w14:paraId="3F86C582">
        <w:trPr>
          <w:jc w:val="center"/>
        </w:trPr>
        <w:tc>
          <w:tcPr>
            <w:tcW w:w="2880" w:type="dxa"/>
            <w:vAlign w:val="center"/>
          </w:tcPr>
          <w:p w14:paraId="4B41133A">
            <w:pPr>
              <w:spacing w:after="0" w:line="240" w:lineRule="auto"/>
            </w:pPr>
            <w:r>
              <w:rPr>
                <w:rFonts w:ascii="Times New Roman" w:hAnsi="Times New Roman"/>
                <w:b w:val="0"/>
                <w:sz w:val="18"/>
              </w:rPr>
              <w:t>Pseudo-node construction</w:t>
            </w:r>
          </w:p>
        </w:tc>
        <w:tc>
          <w:tcPr>
            <w:tcW w:w="5760" w:type="dxa"/>
            <w:vAlign w:val="center"/>
          </w:tcPr>
          <w:p w14:paraId="6FF3689A">
            <w:pPr>
              <w:spacing w:after="0" w:line="240" w:lineRule="auto"/>
            </w:pPr>
            <w:r>
              <w:rPr>
                <w:rFonts w:ascii="Times New Roman" w:hAnsi="Times New Roman"/>
                <w:b w:val="0"/>
                <w:sz w:val="18"/>
              </w:rPr>
              <w:t>The public CSV representation does not provide real IP addresses or ports. The resulting protocol–service–state nodes are proxies and must not be interpreted as true host identities.</w:t>
            </w:r>
          </w:p>
        </w:tc>
      </w:tr>
      <w:tr w14:paraId="0199B6AE">
        <w:trPr>
          <w:jc w:val="center"/>
        </w:trPr>
        <w:tc>
          <w:tcPr>
            <w:tcW w:w="2880" w:type="dxa"/>
            <w:vAlign w:val="center"/>
          </w:tcPr>
          <w:p w14:paraId="2C563CA5">
            <w:pPr>
              <w:spacing w:after="0" w:line="240" w:lineRule="auto"/>
            </w:pPr>
            <w:r>
              <w:rPr>
                <w:rFonts w:ascii="Times New Roman" w:hAnsi="Times New Roman"/>
                <w:b w:val="0"/>
                <w:sz w:val="18"/>
              </w:rPr>
              <w:t>Pseudo-temporal ordering</w:t>
            </w:r>
          </w:p>
        </w:tc>
        <w:tc>
          <w:tcPr>
            <w:tcW w:w="5760" w:type="dxa"/>
            <w:vAlign w:val="center"/>
          </w:tcPr>
          <w:p w14:paraId="34FEC148">
            <w:pPr>
              <w:spacing w:after="0" w:line="240" w:lineRule="auto"/>
            </w:pPr>
            <w:r>
              <w:rPr>
                <w:rFonts w:ascii="Times New Roman" w:hAnsi="Times New Roman"/>
                <w:b w:val="0"/>
                <w:sz w:val="18"/>
              </w:rPr>
              <w:t>The CSV row order is used because a suitable event timestamp is unavailable in the released representation. Fixed 1,000-flow windows may split or merge real attack stages.</w:t>
            </w:r>
          </w:p>
        </w:tc>
      </w:tr>
      <w:tr w14:paraId="5C5A21DD">
        <w:trPr>
          <w:jc w:val="center"/>
        </w:trPr>
        <w:tc>
          <w:tcPr>
            <w:tcW w:w="2880" w:type="dxa"/>
            <w:vAlign w:val="center"/>
          </w:tcPr>
          <w:p w14:paraId="75DBD2F4">
            <w:pPr>
              <w:spacing w:after="0" w:line="240" w:lineRule="auto"/>
            </w:pPr>
            <w:r>
              <w:rPr>
                <w:rFonts w:ascii="Times New Roman" w:hAnsi="Times New Roman"/>
                <w:b w:val="0"/>
                <w:sz w:val="18"/>
              </w:rPr>
              <w:t>Validation leakage</w:t>
            </w:r>
          </w:p>
        </w:tc>
        <w:tc>
          <w:tcPr>
            <w:tcW w:w="5760" w:type="dxa"/>
            <w:vAlign w:val="center"/>
          </w:tcPr>
          <w:p w14:paraId="46E33048">
            <w:pPr>
              <w:spacing w:after="0" w:line="240" w:lineRule="auto"/>
            </w:pPr>
            <w:r>
              <w:rPr>
                <w:rFonts w:ascii="Times New Roman" w:hAnsi="Times New Roman"/>
                <w:b w:val="0"/>
                <w:sz w:val="18"/>
              </w:rPr>
              <w:t>The current implementation uses the test split for early stopping. A proper train/validation/test separation is required before claiming final generalization.</w:t>
            </w:r>
          </w:p>
        </w:tc>
      </w:tr>
      <w:tr w14:paraId="62360DE6">
        <w:trPr>
          <w:jc w:val="center"/>
        </w:trPr>
        <w:tc>
          <w:tcPr>
            <w:tcW w:w="2880" w:type="dxa"/>
            <w:vAlign w:val="center"/>
          </w:tcPr>
          <w:p w14:paraId="226FFE6B">
            <w:pPr>
              <w:spacing w:after="0" w:line="240" w:lineRule="auto"/>
            </w:pPr>
            <w:r>
              <w:rPr>
                <w:rFonts w:ascii="Times New Roman" w:hAnsi="Times New Roman"/>
                <w:b w:val="0"/>
                <w:sz w:val="18"/>
              </w:rPr>
              <w:t>Single random seed</w:t>
            </w:r>
          </w:p>
        </w:tc>
        <w:tc>
          <w:tcPr>
            <w:tcW w:w="5760" w:type="dxa"/>
            <w:vAlign w:val="center"/>
          </w:tcPr>
          <w:p w14:paraId="6AD0B731">
            <w:pPr>
              <w:spacing w:after="0" w:line="240" w:lineRule="auto"/>
            </w:pPr>
            <w:r>
              <w:rPr>
                <w:rFonts w:ascii="Times New Roman" w:hAnsi="Times New Roman"/>
                <w:b w:val="0"/>
                <w:sz w:val="18"/>
              </w:rPr>
              <w:t>Each reported configuration is a single run. Means, standard deviations, confidence intervals, and statistical tests are not yet available.</w:t>
            </w:r>
          </w:p>
        </w:tc>
      </w:tr>
      <w:tr w14:paraId="054766BF">
        <w:trPr>
          <w:jc w:val="center"/>
        </w:trPr>
        <w:tc>
          <w:tcPr>
            <w:tcW w:w="2880" w:type="dxa"/>
            <w:vAlign w:val="center"/>
          </w:tcPr>
          <w:p w14:paraId="0BA659BF">
            <w:pPr>
              <w:spacing w:after="0" w:line="240" w:lineRule="auto"/>
            </w:pPr>
            <w:r>
              <w:rPr>
                <w:rFonts w:ascii="Times New Roman" w:hAnsi="Times New Roman"/>
                <w:b w:val="0"/>
                <w:sz w:val="18"/>
              </w:rPr>
              <w:t>Binary evaluation</w:t>
            </w:r>
          </w:p>
        </w:tc>
        <w:tc>
          <w:tcPr>
            <w:tcW w:w="5760" w:type="dxa"/>
            <w:vAlign w:val="center"/>
          </w:tcPr>
          <w:p w14:paraId="3FEB3905">
            <w:pPr>
              <w:spacing w:after="0" w:line="240" w:lineRule="auto"/>
            </w:pPr>
            <w:r>
              <w:rPr>
                <w:rFonts w:ascii="Times New Roman" w:hAnsi="Times New Roman"/>
                <w:b w:val="0"/>
                <w:sz w:val="18"/>
              </w:rPr>
              <w:t>Only attack-vs-normal node labels are evaluated. Per-category results for all nine UNSW-NB15 attack families are absent.</w:t>
            </w:r>
          </w:p>
        </w:tc>
      </w:tr>
      <w:tr w14:paraId="2C14BE9F">
        <w:trPr>
          <w:jc w:val="center"/>
        </w:trPr>
        <w:tc>
          <w:tcPr>
            <w:tcW w:w="2880" w:type="dxa"/>
            <w:vAlign w:val="center"/>
          </w:tcPr>
          <w:p w14:paraId="021F30A7">
            <w:pPr>
              <w:spacing w:after="0" w:line="240" w:lineRule="auto"/>
            </w:pPr>
            <w:r>
              <w:rPr>
                <w:rFonts w:ascii="Times New Roman" w:hAnsi="Times New Roman"/>
                <w:b w:val="0"/>
                <w:sz w:val="18"/>
              </w:rPr>
              <w:t>Graph-level metric degeneracy</w:t>
            </w:r>
          </w:p>
        </w:tc>
        <w:tc>
          <w:tcPr>
            <w:tcW w:w="5760" w:type="dxa"/>
            <w:vAlign w:val="center"/>
          </w:tcPr>
          <w:p w14:paraId="7BBAAAA1">
            <w:pPr>
              <w:spacing w:after="0" w:line="240" w:lineRule="auto"/>
            </w:pPr>
            <w:r>
              <w:rPr>
                <w:rFonts w:ascii="Times New Roman" w:hAnsi="Times New Roman"/>
                <w:b w:val="0"/>
                <w:sz w:val="18"/>
              </w:rPr>
              <w:t>The majority-vote graph label is dominated by the attack class and is therefore unsuitable as the principal evaluation target.</w:t>
            </w:r>
          </w:p>
        </w:tc>
      </w:tr>
      <w:tr w14:paraId="13BD6704">
        <w:trPr>
          <w:jc w:val="center"/>
        </w:trPr>
        <w:tc>
          <w:tcPr>
            <w:tcW w:w="2880" w:type="dxa"/>
            <w:vAlign w:val="center"/>
          </w:tcPr>
          <w:p w14:paraId="3BDED0FE">
            <w:pPr>
              <w:spacing w:after="0" w:line="240" w:lineRule="auto"/>
            </w:pPr>
            <w:r>
              <w:rPr>
                <w:rFonts w:ascii="Times New Roman" w:hAnsi="Times New Roman"/>
                <w:b w:val="0"/>
                <w:sz w:val="18"/>
              </w:rPr>
              <w:t>Single dataset</w:t>
            </w:r>
          </w:p>
        </w:tc>
        <w:tc>
          <w:tcPr>
            <w:tcW w:w="5760" w:type="dxa"/>
            <w:vAlign w:val="center"/>
          </w:tcPr>
          <w:p w14:paraId="5DBEE1AA">
            <w:pPr>
              <w:spacing w:after="0" w:line="240" w:lineRule="auto"/>
            </w:pPr>
            <w:r>
              <w:rPr>
                <w:rFonts w:ascii="Times New Roman" w:hAnsi="Times New Roman"/>
                <w:b w:val="0"/>
                <w:sz w:val="18"/>
              </w:rPr>
              <w:t>Results on UNSW-NB15 may not generalize to CICIDS2017, CSE-CIC-IDS2018, or real enterprise traffic.</w:t>
            </w:r>
          </w:p>
        </w:tc>
      </w:tr>
      <w:tr w14:paraId="3291D5C7">
        <w:trPr>
          <w:jc w:val="center"/>
        </w:trPr>
        <w:tc>
          <w:tcPr>
            <w:tcW w:w="2880" w:type="dxa"/>
            <w:vAlign w:val="center"/>
          </w:tcPr>
          <w:p w14:paraId="757A5376">
            <w:pPr>
              <w:spacing w:after="0" w:line="240" w:lineRule="auto"/>
            </w:pPr>
            <w:r>
              <w:rPr>
                <w:rFonts w:ascii="Times New Roman" w:hAnsi="Times New Roman"/>
                <w:b w:val="0"/>
                <w:sz w:val="18"/>
              </w:rPr>
              <w:t>Computational scale</w:t>
            </w:r>
          </w:p>
        </w:tc>
        <w:tc>
          <w:tcPr>
            <w:tcW w:w="5760" w:type="dxa"/>
            <w:vAlign w:val="center"/>
          </w:tcPr>
          <w:p w14:paraId="1A2FFAED">
            <w:pPr>
              <w:spacing w:after="0" w:line="240" w:lineRule="auto"/>
            </w:pPr>
            <w:r>
              <w:rPr>
                <w:rFonts w:ascii="Times New Roman" w:hAnsi="Times New Roman"/>
                <w:b w:val="0"/>
                <w:sz w:val="18"/>
              </w:rPr>
              <w:t>The current model is evaluated on small graphs. Scaling to tens of thousands of real hosts requires additional memory and sampling strategies.</w:t>
            </w:r>
          </w:p>
        </w:tc>
      </w:tr>
    </w:tbl>
    <w:p w14:paraId="4E988AE6"/>
    <w:p w14:paraId="0627B5D9">
      <w:pPr>
        <w:pStyle w:val="164"/>
        <w:jc w:val="center"/>
      </w:pPr>
      <w:r>
        <w:t>Table 7. Principal threats to validity.</w:t>
      </w:r>
    </w:p>
    <w:p w14:paraId="42C252CB">
      <w:pPr>
        <w:pStyle w:val="2"/>
      </w:pPr>
      <w:r>
        <w:t>9. Reproducibility and Recommended Experimental Revision</w:t>
      </w:r>
    </w:p>
    <w:p w14:paraId="519BFA9D">
      <w:r>
        <w:t>The current manuscript should be treated as a research prototype rather than a final benchmark claim. Before journal or conference submission, the experimental protocol should be revised in the following order:</w:t>
      </w:r>
    </w:p>
    <w:p w14:paraId="6650DDEB">
      <w:pPr>
        <w:pStyle w:val="29"/>
      </w:pPr>
      <w:r>
        <w:t>Create a true train/validation/test split. For example, split the original training data into training and validation partitions while retaining the official test set for final evaluation.</w:t>
      </w:r>
    </w:p>
    <w:p w14:paraId="50217408">
      <w:pPr>
        <w:pStyle w:val="29"/>
      </w:pPr>
      <w:r>
        <w:t>Fit preprocessing transforms on training data only and apply the learned transformations to validation and test data.</w:t>
      </w:r>
    </w:p>
    <w:p w14:paraId="42D209F6">
      <w:pPr>
        <w:pStyle w:val="29"/>
      </w:pPr>
      <w:r>
        <w:t>Use five to ten random seeds and report mean ± standard deviation for every principal metric.</w:t>
      </w:r>
    </w:p>
    <w:p w14:paraId="1DCB7DA6">
      <w:pPr>
        <w:pStyle w:val="29"/>
      </w:pPr>
      <w:r>
        <w:t>Report per-attack-category node-level performance for Generic, Exploits, Fuzzers, DoS, Reconnaissance, Analysis, Backdoors, Shellcode, and Worms.</w:t>
      </w:r>
    </w:p>
    <w:p w14:paraId="5F208F70">
      <w:pPr>
        <w:pStyle w:val="29"/>
      </w:pPr>
      <w:r>
        <w:t>Replace the degenerate graph-level majority-vote objective with graph-level regression of attack proportion, or remove graph-level evaluation entirely if it is not part of the research question.</w:t>
      </w:r>
    </w:p>
    <w:p w14:paraId="0B2C91E1">
      <w:pPr>
        <w:pStyle w:val="29"/>
      </w:pPr>
      <w:r>
        <w:t>Generate validation curves using node-level AUC/F1 rather than the current graph-level AUC curve.</w:t>
      </w:r>
    </w:p>
    <w:p w14:paraId="57F0A0EF">
      <w:pPr>
        <w:pStyle w:val="29"/>
      </w:pPr>
      <w:r>
        <w:t>Add temporal baselines such as an LSTM over node embeddings or a lightweight temporal GNN to distinguish the value of attention from the value of temporal modeling in general.</w:t>
      </w:r>
    </w:p>
    <w:p w14:paraId="75723837">
      <w:pPr>
        <w:pStyle w:val="29"/>
      </w:pPr>
      <w:r>
        <w:t>If PCAP or timestamped data become available, reconstruct graphs from true source/destination entities and evaluate real temporal windows.</w:t>
      </w:r>
    </w:p>
    <w:p w14:paraId="4ED33AF6">
      <w:pPr>
        <w:pStyle w:val="2"/>
      </w:pPr>
      <w:r>
        <w:t>10. Conclusion</w:t>
      </w:r>
    </w:p>
    <w:p w14:paraId="0B76F51B">
      <w:r>
        <w:t>This paper presented ST-GraphAD, a spatio-temporal graph neural network for node-level network intrusion detection. The approach combines a three-layer GCN with a two-layer, four-head temporal attention module over sequences of five graph snapshots. On the current UNSW-NB15 experiment, ST-GraphAD achieves 0.91 AUC-ROC and 0.88 F1, exceeding the static GCN baseline at 0.87 AUC and 0.84 F1. The observed improvement supports the hypothesis that temporal context can provide useful information beyond a single graph snapshot.</w:t>
      </w:r>
    </w:p>
    <w:p w14:paraId="191146F5">
      <w:r>
        <w:t>At the same time, the study deliberately avoids overstating these findings. The current graph construction uses pseudo-nodes, temporal order is approximated from row order, the test split is used for early stopping, and results are based on single runs. Most importantly, the graph-level validation curves supplied with the experiment are degenerate and should not be interpreted as perfect model performance. The strongest next step is therefore not cosmetic polishing but an improved experimental protocol with a clean validation split, multi-seed evaluation, per-attack-category analysis, and corrected node-level validation curves.</w:t>
      </w:r>
    </w:p>
    <w:p w14:paraId="2825B6F1">
      <w:pPr>
        <w:pStyle w:val="2"/>
      </w:pPr>
      <w:r>
        <w:t>Data and Code Availability</w:t>
      </w:r>
    </w:p>
    <w:p w14:paraId="37D49DB6">
      <w:r>
        <w:t>The study uses the publicly available UNSW-NB15 benchmark. The accompanying implementation is intended to provide the preprocessing, graph-construction, training, and evaluation pipeline needed to reproduce the reported experiment. A final submission should provide a persistent public repository and a versioned release identifier.</w:t>
      </w:r>
    </w:p>
    <w:p w14:paraId="39C7785B">
      <w:pPr>
        <w:pStyle w:val="2"/>
      </w:pPr>
      <w:r>
        <w:t>Declaration</w:t>
      </w:r>
    </w:p>
    <w:p w14:paraId="7C33C06C">
      <w:r>
        <w:t>Conflict of Interest: The author declares no known competing interests.</w:t>
      </w:r>
    </w:p>
    <w:p w14:paraId="390B2C13">
      <w:r>
        <w:t>Funding: No external funding is reported for this study.</w:t>
      </w:r>
    </w:p>
    <w:p w14:paraId="0695D1F5">
      <w:r>
        <w:t>Reproducibility statement: Numerical results in this manuscript are based on the current experimental record supplied with the project. Claims that require additional experiments are explicitly identified as future work.</w:t>
      </w:r>
    </w:p>
    <w:p w14:paraId="556611CE">
      <w:pPr>
        <w:pStyle w:val="2"/>
      </w:pPr>
      <w:r>
        <w:t>References</w:t>
      </w:r>
    </w:p>
    <w:p w14:paraId="594F94E2">
      <w:pPr>
        <w:spacing w:after="60"/>
        <w:ind w:left="360" w:hanging="360"/>
      </w:pPr>
      <w:r>
        <w:t>[1] N. Moustafa and J. Slay, “UNSW-NB15: A comprehensive data set for network intrusion detection systems,” Military Communications and Information Systems Conference (MilCIS), 2015.</w:t>
      </w:r>
    </w:p>
    <w:p w14:paraId="107C8EC1">
      <w:pPr>
        <w:spacing w:after="60"/>
        <w:ind w:left="360" w:hanging="360"/>
      </w:pPr>
      <w:r>
        <w:t>[2] T. N. Kipf and M. Welling, “Semi-Supervised Classification with Graph Convolutional Networks,” International Conference on Learning Representations (ICLR), 2017.</w:t>
      </w:r>
    </w:p>
    <w:p w14:paraId="1C63E1A0">
      <w:pPr>
        <w:spacing w:after="60"/>
        <w:ind w:left="360" w:hanging="360"/>
      </w:pPr>
      <w:r>
        <w:t>[3] P. Veličković et al., “Graph Attention Networks,” ICLR, 2018.</w:t>
      </w:r>
    </w:p>
    <w:p w14:paraId="119DB148">
      <w:pPr>
        <w:spacing w:after="60"/>
        <w:ind w:left="360" w:hanging="360"/>
      </w:pPr>
      <w:r>
        <w:t>[4] W. Hamilton, Z. Ying, and J. Leskovec, “Inductive Representation Learning on Large Graphs,” Advances in Neural Information Processing Systems (NeurIPS), 2017.</w:t>
      </w:r>
    </w:p>
    <w:p w14:paraId="20EDF047">
      <w:pPr>
        <w:spacing w:after="60"/>
        <w:ind w:left="360" w:hanging="360"/>
      </w:pPr>
      <w:r>
        <w:t>[5] A. Vaswani et al., “Attention Is All You Need,” NeurIPS, 2017.</w:t>
      </w:r>
    </w:p>
    <w:p w14:paraId="300BB88A">
      <w:pPr>
        <w:spacing w:after="60"/>
        <w:ind w:left="360" w:hanging="360"/>
      </w:pPr>
      <w:r>
        <w:t>[6] D. Xu et al., “Inductive Representation Learning on Temporal Graphs,” ICLR, 2020.</w:t>
      </w:r>
    </w:p>
    <w:p w14:paraId="6B67B372">
      <w:pPr>
        <w:spacing w:after="60"/>
        <w:ind w:left="360" w:hanging="360"/>
      </w:pPr>
      <w:r>
        <w:t>[7] E. Rossi et al., “Temporal Graph Networks for Deep Learning on Dynamic Graphs,” ICML Workshop, 2020.</w:t>
      </w:r>
    </w:p>
    <w:p w14:paraId="5ABF881A">
      <w:pPr>
        <w:spacing w:after="60"/>
        <w:ind w:left="360" w:hanging="360"/>
      </w:pPr>
      <w:r>
        <w:t>[8] S. M. Milajerdi et al., “HOLMES: Real-Time APT Detection through Correlation of Suspicious Information Flows,” IEEE Symposium on Security and Privacy, 2019.</w:t>
      </w:r>
    </w:p>
    <w:p w14:paraId="69921D79">
      <w:pPr>
        <w:spacing w:after="60"/>
        <w:ind w:left="360" w:hanging="360"/>
      </w:pPr>
      <w:r>
        <w:t>[9] Y. Zhang et al., “Botnet Detection Based on Graph Convolutional Networks,” IEEE Access, 2019.</w:t>
      </w:r>
    </w:p>
    <w:p w14:paraId="07CEE4B4">
      <w:pPr>
        <w:spacing w:after="60"/>
        <w:ind w:left="360" w:hanging="360"/>
      </w:pPr>
      <w:r>
        <w:t>[10] T.-Y. Lin et al., “Focal Loss for Dense Object Detection,” ICCV, 2017.</w:t>
      </w:r>
    </w:p>
    <w:p w14:paraId="0AEB355C">
      <w:pPr>
        <w:spacing w:after="60"/>
        <w:ind w:left="360" w:hanging="360"/>
      </w:pPr>
      <w:r>
        <w:t>[11] W. Jiang and J. Luo, “Graph Neural Network for Traffic Forecasting: A Survey,” Expert Systems with Applications, vol. 207, 2022.</w:t>
      </w:r>
    </w:p>
    <w:p w14:paraId="473C5198">
      <w:pPr>
        <w:spacing w:after="60"/>
        <w:ind w:left="360" w:hanging="360"/>
      </w:pPr>
      <w:r>
        <w:t>[12] F. Corradini et al., “A systematic literature review of spatio-temporal graph neural network models for time series forecasting and classification,” Neural Networks, vol. 195, 2026.</w:t>
      </w:r>
    </w:p>
    <w:p w14:paraId="0568BE4F">
      <w:r>
        <w:br w:type="page"/>
      </w:r>
    </w:p>
    <w:p w14:paraId="1BCB7559">
      <w:pPr>
        <w:pStyle w:val="2"/>
      </w:pPr>
      <w:r>
        <w:t>Appendix A. Diagnostic Review of the Supplied Training Figure</w:t>
      </w:r>
    </w:p>
    <w:p w14:paraId="3506A3E8">
      <w:r>
        <w:t>The supplied four-panel figure contains: (a) training loss, (b) validation AUC-ROC, (c) validation F1-score, and (d) precision/recall. The validation AUC curve is flat at 0.00, while the F1, precision, and recall curves are flat at 1.00. This combination is not a credible indication of perfect model performance because it conflicts with the reported node-level test metrics and is consistent with the degenerate graph-level label construction.</w:t>
      </w:r>
    </w:p>
    <w:p w14:paraId="3CBDBF4F">
      <w:r>
        <w:t>For the final paper, this figure should be replaced with a corrected training/validation figure generated from a proper validation split. At minimum, the figure should show training loss and node-level validation AUC-ROC/F1 for both GCN-only and ST-GraphAD. The current figure can be retained only as a debugging/diagnostic artifact in supplementary material, with an explicit explanation of why its graph-level metrics are not suitable for model-quality claims.</w:t>
      </w:r>
    </w:p>
    <w:p w14:paraId="1BCDF7C8">
      <w:pPr>
        <w:pStyle w:val="2"/>
      </w:pPr>
      <w:r>
        <w:t>Appendix B. Recommended Final Figures and Tables</w:t>
      </w:r>
    </w:p>
    <w:p w14:paraId="4F3BE563">
      <w:pPr>
        <w:pStyle w:val="23"/>
      </w:pPr>
      <w:r>
        <w:t>Figure 1 — ST-GraphAD architecture: graph snapshots → shared GCN → temporal attention → node classifier.</w:t>
      </w:r>
    </w:p>
    <w:p w14:paraId="7CF8ED53">
      <w:pPr>
        <w:pStyle w:val="23"/>
      </w:pPr>
      <w:r>
        <w:t>Figure 2 — Corrected training/validation curves using a genuine validation split and node-level metrics.</w:t>
      </w:r>
    </w:p>
    <w:p w14:paraId="302182EE">
      <w:pPr>
        <w:pStyle w:val="23"/>
      </w:pPr>
      <w:r>
        <w:t>Figure 3 — ROC curves for GCN-only and ST-GraphAD on the node-level test set.</w:t>
      </w:r>
    </w:p>
    <w:p w14:paraId="27E60750">
      <w:pPr>
        <w:pStyle w:val="23"/>
      </w:pPr>
      <w:r>
        <w:t>Figure 4 — Per-attack-category F1/AUC comparison across the nine UNSW-NB15 attack categories.</w:t>
      </w:r>
    </w:p>
    <w:p w14:paraId="0F8AB9D0">
      <w:pPr>
        <w:pStyle w:val="23"/>
      </w:pPr>
      <w:r>
        <w:t>Figure 5 — Confusion matrices for both models.</w:t>
      </w:r>
    </w:p>
    <w:p w14:paraId="729AB9D3">
      <w:pPr>
        <w:pStyle w:val="23"/>
      </w:pPr>
      <w:r>
        <w:t>Table 1 — Dataset and graph statistics.</w:t>
      </w:r>
    </w:p>
    <w:p w14:paraId="4B83FAB4">
      <w:pPr>
        <w:pStyle w:val="23"/>
      </w:pPr>
      <w:r>
        <w:t>Table 2 — Hyperparameters and environment.</w:t>
      </w:r>
    </w:p>
    <w:p w14:paraId="14261A79">
      <w:pPr>
        <w:pStyle w:val="23"/>
      </w:pPr>
      <w:r>
        <w:t>Table 3 — Main node-level results with mean ± standard deviation over multiple seeds.</w:t>
      </w:r>
    </w:p>
    <w:p w14:paraId="4A399F3C">
      <w:pPr>
        <w:pStyle w:val="23"/>
      </w:pPr>
      <w:r>
        <w:t>Table 4 — Ablation results.</w:t>
      </w:r>
    </w:p>
    <w:p w14:paraId="43259993">
      <w:pPr>
        <w:pStyle w:val="23"/>
      </w:pPr>
      <w:r>
        <w:t>Table 5 — Computational cost.</w:t>
      </w:r>
    </w:p>
    <w:p w14:paraId="2B54CF7B">
      <w:r>
        <w:br w:type="page"/>
      </w:r>
    </w:p>
    <w:p w14:paraId="62729014">
      <w:pPr>
        <w:pStyle w:val="2"/>
      </w:pPr>
      <w:r>
        <w:t>Appendix C. Experimental Training Results</w:t>
      </w:r>
    </w:p>
    <w:p w14:paraId="40848008">
      <w:r>
        <w:t>Figure C1 presents the training and validation results supplied with the current ST-GraphAD experiment. The upper-left panel shows training loss for the GCN and STGNN models across 20 epochs. The remaining panels show the recorded validation AUC-ROC, validation F1-score, and precision/recall curves.</w:t>
      </w:r>
    </w:p>
    <w:p w14:paraId="5CF531F4">
      <w:pPr>
        <w:jc w:val="center"/>
      </w:pPr>
      <w:r>
        <w:drawing>
          <wp:inline distT="0" distB="0" distL="114300" distR="114300">
            <wp:extent cx="6035040" cy="502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035040" cy="5026379"/>
                    </a:xfrm>
                    <a:prstGeom prst="rect">
                      <a:avLst/>
                    </a:prstGeom>
                  </pic:spPr>
                </pic:pic>
              </a:graphicData>
            </a:graphic>
          </wp:inline>
        </w:drawing>
      </w:r>
    </w:p>
    <w:p w14:paraId="7F35411A">
      <w:pPr>
        <w:jc w:val="center"/>
      </w:pPr>
      <w:r>
        <w:rPr>
          <w:rFonts w:ascii="Times New Roman" w:hAnsi="Times New Roman"/>
          <w:i/>
          <w:sz w:val="18"/>
        </w:rPr>
        <w:t>Figure C1. Training loss, validation AUC-ROC, validation F1-score, and precision/recall for the GCN and STGNN configurations over 20 epochs.</w:t>
      </w:r>
    </w:p>
    <w:p w14:paraId="02B439E7">
      <w:r>
        <w:t>Interpretation: the training-loss panel shows a steady reduction in GCN loss, whereas the STGNN loss remains higher and fluctuates substantially before declining toward the final epochs. The validation panels are flat at AUC-ROC = 0.00 and F1/precision/recall = 1.00. As discussed in the main manuscript, these validation curves should be treated as diagnostic output from the current metric pipeline rather than evidence of perfect validation performance, because the graph-level evaluation target is degenerate. For the final experimental version of the paper, these panels should be rege</w:t>
      </w:r>
      <w:bookmarkStart w:id="0" w:name="_GoBack"/>
      <w:bookmarkEnd w:id="0"/>
      <w:r>
        <w:t>nerated using a genuine validation split and node-level metrics.</w:t>
      </w:r>
    </w:p>
    <w:sectPr>
      <w:pgSz w:w="12240" w:h="15840"/>
      <w:pgMar w:top="1080" w:right="1224" w:bottom="1080"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Euphemia UCAS">
    <w:panose1 w:val="020B0503040102020104"/>
    <w:charset w:val="00"/>
    <w:family w:val="auto"/>
    <w:pitch w:val="default"/>
    <w:sig w:usb0="80000063" w:usb1="00000000" w:usb2="00002000" w:usb3="00000000" w:csb0="200001F3" w:csb1="CDFC0000"/>
  </w:font>
  <w:font w:name="ＭＳ ゴシック">
    <w:altName w:val="苹方-简"/>
    <w:panose1 w:val="00000000000000000000"/>
    <w:charset w:val="00"/>
    <w:family w:val="auto"/>
    <w:pitch w:val="default"/>
    <w:sig w:usb0="00000000" w:usb1="00000000" w:usb2="0000000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C660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aptionCustom"/>
    <w:uiPriority w:val="0"/>
    <w:pPr>
      <w:spacing w:after="120" w:line="276" w:lineRule="auto"/>
    </w:pPr>
    <w:rPr>
      <w:rFonts w:ascii="Times New Roman" w:hAnsi="Times New Roman" w:eastAsiaTheme="minorEastAsia" w:cstheme="minorBidi"/>
      <w: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0</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Ayan_Bhaumik</cp:lastModifiedBy>
  <dcterms:modified xsi:type="dcterms:W3CDTF">2026-08-27T17:51:23Z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D92A067FD5C074C6C32B906AA79BC9C7_42</vt:lpwstr>
  </property>
</Properties>
</file>