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9E30" w14:textId="77777777" w:rsidR="00F57793" w:rsidRDefault="00000000">
      <w:pPr>
        <w:spacing w:before="200" w:after="80"/>
      </w:pPr>
      <w:r>
        <w:rPr>
          <w:rFonts w:ascii="Calibri" w:hAnsi="Calibri"/>
          <w:b/>
          <w:color w:val="0E8F88"/>
        </w:rPr>
        <w:t>IBM SKILLSBUILD FOR ACADEMIA &amp; VOCATIONAL INTERNSHIP</w:t>
      </w:r>
      <w:r>
        <w:rPr>
          <w:rFonts w:ascii="Calibri" w:hAnsi="Calibri"/>
          <w:b/>
          <w:color w:val="0E8F88"/>
        </w:rPr>
        <w:br/>
      </w:r>
      <w:r>
        <w:rPr>
          <w:rFonts w:ascii="Calibri" w:hAnsi="Calibri"/>
          <w:b/>
          <w:color w:val="0A2E3D"/>
          <w:sz w:val="48"/>
        </w:rPr>
        <w:t>HEALTHCARE ANALYTICS &amp; PATIENT NETWORK INSIGHTS REPORT</w:t>
      </w:r>
      <w:r>
        <w:rPr>
          <w:rFonts w:ascii="Calibri" w:hAnsi="Calibri"/>
          <w:b/>
          <w:color w:val="0A2E3D"/>
          <w:sz w:val="48"/>
        </w:rPr>
        <w:br/>
      </w:r>
      <w:r>
        <w:rPr>
          <w:rFonts w:ascii="Calibri" w:hAnsi="Calibri"/>
          <w:i/>
          <w:color w:val="6C757D"/>
          <w:sz w:val="26"/>
        </w:rPr>
        <w:t>End-to-End Clinical Inflow, Operational Capacity, Demographics &amp; Billing Risk Analysis</w:t>
      </w:r>
    </w:p>
    <w:tbl>
      <w:tblPr>
        <w:tblpPr w:leftFromText="180" w:rightFromText="180" w:vertAnchor="page" w:horzAnchor="margin" w:tblpY="4429"/>
        <w:tblW w:w="9658" w:type="dxa"/>
        <w:tblLayout w:type="fixed"/>
        <w:tblLook w:val="04A0" w:firstRow="1" w:lastRow="0" w:firstColumn="1" w:lastColumn="0" w:noHBand="0" w:noVBand="1"/>
      </w:tblPr>
      <w:tblGrid>
        <w:gridCol w:w="4829"/>
        <w:gridCol w:w="4829"/>
      </w:tblGrid>
      <w:tr w:rsidR="00F57793" w14:paraId="08B8D15F" w14:textId="77777777" w:rsidTr="009A3D1A">
        <w:trPr>
          <w:trHeight w:val="1756"/>
        </w:trPr>
        <w:tc>
          <w:tcPr>
            <w:tcW w:w="4829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6B49" w14:textId="77777777" w:rsidR="00F57793" w:rsidRDefault="00000000" w:rsidP="009A3D1A">
            <w:pPr>
              <w:spacing w:after="40"/>
            </w:pPr>
            <w:r>
              <w:rPr>
                <w:b/>
                <w:color w:val="0A2E3D"/>
                <w:sz w:val="20"/>
              </w:rPr>
              <w:t>Domain / Sector:</w:t>
            </w:r>
          </w:p>
        </w:tc>
        <w:tc>
          <w:tcPr>
            <w:tcW w:w="4829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8CCF" w14:textId="77777777" w:rsidR="00F57793" w:rsidRDefault="00000000" w:rsidP="009A3D1A">
            <w:pPr>
              <w:spacing w:after="40"/>
            </w:pPr>
            <w:r>
              <w:rPr>
                <w:color w:val="1A252C"/>
                <w:sz w:val="20"/>
              </w:rPr>
              <w:t>Healthcare Informatics &amp; Hospital Network Operations</w:t>
            </w:r>
          </w:p>
        </w:tc>
      </w:tr>
      <w:tr w:rsidR="00F57793" w14:paraId="4BFC0F38" w14:textId="77777777" w:rsidTr="009A3D1A">
        <w:trPr>
          <w:trHeight w:val="951"/>
        </w:trPr>
        <w:tc>
          <w:tcPr>
            <w:tcW w:w="4829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D9C4" w14:textId="77777777" w:rsidR="00F57793" w:rsidRDefault="00000000" w:rsidP="009A3D1A">
            <w:pPr>
              <w:spacing w:after="40"/>
            </w:pPr>
            <w:r>
              <w:rPr>
                <w:b/>
                <w:color w:val="0A2E3D"/>
                <w:sz w:val="20"/>
              </w:rPr>
              <w:t>Program / Track:</w:t>
            </w:r>
          </w:p>
        </w:tc>
        <w:tc>
          <w:tcPr>
            <w:tcW w:w="4829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0D25" w14:textId="77777777" w:rsidR="00F57793" w:rsidRDefault="00000000" w:rsidP="009A3D1A">
            <w:pPr>
              <w:spacing w:after="40"/>
            </w:pPr>
            <w:r>
              <w:rPr>
                <w:color w:val="1A252C"/>
                <w:sz w:val="20"/>
              </w:rPr>
              <w:t>IBM SkillsBuild Data Analytics Internship Project</w:t>
            </w:r>
          </w:p>
        </w:tc>
      </w:tr>
      <w:tr w:rsidR="00F57793" w14:paraId="082F1A41" w14:textId="77777777" w:rsidTr="009A3D1A">
        <w:trPr>
          <w:trHeight w:val="1756"/>
        </w:trPr>
        <w:tc>
          <w:tcPr>
            <w:tcW w:w="4829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BBD3" w14:textId="77777777" w:rsidR="00F57793" w:rsidRDefault="00000000" w:rsidP="009A3D1A">
            <w:pPr>
              <w:spacing w:after="40"/>
            </w:pPr>
            <w:r>
              <w:rPr>
                <w:b/>
                <w:color w:val="0A2E3D"/>
                <w:sz w:val="20"/>
              </w:rPr>
              <w:t>Dataset Scale:</w:t>
            </w:r>
          </w:p>
        </w:tc>
        <w:tc>
          <w:tcPr>
            <w:tcW w:w="4829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5763" w14:textId="77777777" w:rsidR="00F57793" w:rsidRDefault="00000000" w:rsidP="009A3D1A">
            <w:pPr>
              <w:spacing w:after="40"/>
            </w:pPr>
            <w:r>
              <w:rPr>
                <w:color w:val="1A252C"/>
                <w:sz w:val="20"/>
              </w:rPr>
              <w:t>55,500 Initial Encounters | 54,966 Cleaned Records (2019–2024)</w:t>
            </w:r>
          </w:p>
        </w:tc>
      </w:tr>
      <w:tr w:rsidR="00F57793" w14:paraId="68299E3B" w14:textId="77777777" w:rsidTr="009A3D1A">
        <w:trPr>
          <w:trHeight w:val="1793"/>
        </w:trPr>
        <w:tc>
          <w:tcPr>
            <w:tcW w:w="4829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EE650" w14:textId="77777777" w:rsidR="00F57793" w:rsidRDefault="00000000" w:rsidP="009A3D1A">
            <w:pPr>
              <w:spacing w:after="40"/>
            </w:pPr>
            <w:r>
              <w:rPr>
                <w:b/>
                <w:color w:val="0A2E3D"/>
                <w:sz w:val="20"/>
              </w:rPr>
              <w:t>Document Type &amp; Status:</w:t>
            </w:r>
          </w:p>
        </w:tc>
        <w:tc>
          <w:tcPr>
            <w:tcW w:w="4829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5577" w14:textId="77777777" w:rsidR="00F57793" w:rsidRDefault="00000000" w:rsidP="009A3D1A">
            <w:pPr>
              <w:spacing w:after="40"/>
            </w:pPr>
            <w:r>
              <w:rPr>
                <w:color w:val="1A252C"/>
                <w:sz w:val="20"/>
              </w:rPr>
              <w:t>Final Comprehensive Project Deliverable &amp; Evaluation Dossier</w:t>
            </w:r>
          </w:p>
        </w:tc>
      </w:tr>
    </w:tbl>
    <w:p w14:paraId="1FA81BC5" w14:textId="77777777" w:rsidR="00F57793" w:rsidRDefault="00000000">
      <w:r>
        <w:br w:type="page"/>
      </w:r>
    </w:p>
    <w:p w14:paraId="0F3E2258" w14:textId="77777777" w:rsidR="00F57793" w:rsidRDefault="00000000">
      <w:pPr>
        <w:pStyle w:val="Heading1"/>
        <w:pBdr>
          <w:bottom w:val="single" w:sz="12" w:space="4" w:color="0E8F88"/>
        </w:pBdr>
        <w:spacing w:before="280" w:after="120"/>
      </w:pPr>
      <w:r>
        <w:rPr>
          <w:rFonts w:ascii="Calibri" w:hAnsi="Calibri"/>
          <w:color w:val="0A2E3D"/>
          <w:sz w:val="36"/>
        </w:rPr>
        <w:lastRenderedPageBreak/>
        <w:t>1. Executive Summary</w:t>
      </w:r>
    </w:p>
    <w:p w14:paraId="5DB85246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This healthcare analytics project delivers a rigorous, data-driven diagnostic assessment of hospital admissions, patient demographics, clinical diagnostic outcomes, insurance settlement portfolios, and financial billing amounts across a decentralized multi-hospital network. Using modern data science workflows in Python, Pandas, and Matplotlib, the investigation processes 55,500 patient encounters spanning a five-year longitudinal window (May 2019 through May 2024).</w:t>
      </w:r>
    </w:p>
    <w:p w14:paraId="03392C23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The analysis investigates core operational inquiries: identifying the highest-burden chronic conditions, evaluating age-related hospital admissions, examining treatment cost dynamics over time, evaluating age-to-billing elasticity, and benchmarking insurance coverage distributions. Furthermore, advanced ad-hoc business simulations were executed to support emergency department staffing, flag clinical anomalies, and identify financial exposure among high-cost patient cohorts.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57793" w14:paraId="4607AFD5" w14:textId="77777777">
        <w:trPr>
          <w:jc w:val="center"/>
        </w:trPr>
        <w:tc>
          <w:tcPr>
            <w:tcW w:w="3120" w:type="dxa"/>
            <w:shd w:val="clear" w:color="auto" w:fill="F4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EF2FC" w14:textId="77777777" w:rsidR="00F57793" w:rsidRDefault="00000000">
            <w:pPr>
              <w:spacing w:after="40"/>
              <w:jc w:val="center"/>
            </w:pPr>
            <w:r>
              <w:rPr>
                <w:rFonts w:ascii="Calibri" w:hAnsi="Calibri"/>
                <w:b/>
                <w:color w:val="0E8F88"/>
                <w:sz w:val="30"/>
              </w:rPr>
              <w:t>54,966</w:t>
            </w:r>
            <w:r>
              <w:rPr>
                <w:rFonts w:ascii="Calibri" w:hAnsi="Calibri"/>
                <w:b/>
                <w:color w:val="0E8F88"/>
                <w:sz w:val="30"/>
              </w:rPr>
              <w:br/>
            </w:r>
            <w:r>
              <w:rPr>
                <w:rFonts w:ascii="Calibri" w:hAnsi="Calibri"/>
                <w:color w:val="1A252C"/>
                <w:sz w:val="19"/>
              </w:rPr>
              <w:t>Validated Patient Admissions</w:t>
            </w:r>
          </w:p>
        </w:tc>
        <w:tc>
          <w:tcPr>
            <w:tcW w:w="3120" w:type="dxa"/>
            <w:shd w:val="clear" w:color="auto" w:fill="F4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C9733" w14:textId="0940E874" w:rsidR="00F57793" w:rsidRDefault="009A3D1A">
            <w:pPr>
              <w:spacing w:after="40"/>
              <w:jc w:val="center"/>
            </w:pPr>
            <w:r w:rsidRPr="009A3D1A">
              <w:rPr>
                <w:rFonts w:ascii="Calibri" w:hAnsi="Calibri"/>
                <w:b/>
                <w:color w:val="0A2E3D"/>
                <w:sz w:val="30"/>
              </w:rPr>
              <w:t>₹</w:t>
            </w:r>
            <w:r w:rsidR="00000000">
              <w:rPr>
                <w:rFonts w:ascii="Calibri" w:hAnsi="Calibri"/>
                <w:b/>
                <w:color w:val="0A2E3D"/>
                <w:sz w:val="30"/>
              </w:rPr>
              <w:t>25,594.54</w:t>
            </w:r>
            <w:r w:rsidR="00000000">
              <w:rPr>
                <w:rFonts w:ascii="Calibri" w:hAnsi="Calibri"/>
                <w:b/>
                <w:color w:val="0A2E3D"/>
                <w:sz w:val="30"/>
              </w:rPr>
              <w:br/>
            </w:r>
            <w:r w:rsidR="00000000">
              <w:rPr>
                <w:rFonts w:ascii="Calibri" w:hAnsi="Calibri"/>
                <w:color w:val="1A252C"/>
                <w:sz w:val="19"/>
              </w:rPr>
              <w:t>Mean Treatment Billing</w:t>
            </w:r>
          </w:p>
        </w:tc>
        <w:tc>
          <w:tcPr>
            <w:tcW w:w="3120" w:type="dxa"/>
            <w:shd w:val="clear" w:color="auto" w:fill="F4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14E5B" w14:textId="77777777" w:rsidR="00F57793" w:rsidRDefault="00000000"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67E22"/>
                <w:sz w:val="30"/>
              </w:rPr>
              <w:t>15.50 Days</w:t>
            </w:r>
            <w:r>
              <w:rPr>
                <w:rFonts w:ascii="Calibri" w:hAnsi="Calibri"/>
                <w:b/>
                <w:color w:val="E67E22"/>
                <w:sz w:val="30"/>
              </w:rPr>
              <w:br/>
            </w:r>
            <w:r>
              <w:rPr>
                <w:rFonts w:ascii="Calibri" w:hAnsi="Calibri"/>
                <w:color w:val="1A252C"/>
                <w:sz w:val="19"/>
              </w:rPr>
              <w:t>Mean Hospital Length of Stay</w:t>
            </w:r>
          </w:p>
        </w:tc>
      </w:tr>
      <w:tr w:rsidR="00F57793" w14:paraId="34484DC8" w14:textId="77777777">
        <w:trPr>
          <w:jc w:val="center"/>
        </w:trPr>
        <w:tc>
          <w:tcPr>
            <w:tcW w:w="3120" w:type="dxa"/>
            <w:shd w:val="clear" w:color="auto" w:fill="F4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14FC1" w14:textId="77777777" w:rsidR="00F57793" w:rsidRDefault="00000000"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0392B"/>
                <w:sz w:val="30"/>
              </w:rPr>
              <w:t>5,497 Cases</w:t>
            </w:r>
            <w:r>
              <w:rPr>
                <w:rFonts w:ascii="Calibri" w:hAnsi="Calibri"/>
                <w:b/>
                <w:color w:val="C0392B"/>
                <w:sz w:val="30"/>
              </w:rPr>
              <w:br/>
            </w:r>
            <w:r>
              <w:rPr>
                <w:rFonts w:ascii="Calibri" w:hAnsi="Calibri"/>
                <w:color w:val="1A252C"/>
                <w:sz w:val="19"/>
              </w:rPr>
              <w:t>High-Cost Outliers (&gt;P90: $45.1k)</w:t>
            </w:r>
          </w:p>
        </w:tc>
        <w:tc>
          <w:tcPr>
            <w:tcW w:w="3120" w:type="dxa"/>
            <w:shd w:val="clear" w:color="auto" w:fill="F4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D5CA1" w14:textId="77777777" w:rsidR="00F57793" w:rsidRDefault="00000000">
            <w:pPr>
              <w:spacing w:after="40"/>
              <w:jc w:val="center"/>
            </w:pPr>
            <w:r>
              <w:rPr>
                <w:rFonts w:ascii="Calibri" w:hAnsi="Calibri"/>
                <w:b/>
                <w:color w:val="8E44AD"/>
                <w:sz w:val="30"/>
              </w:rPr>
              <w:t>6,038 Cases</w:t>
            </w:r>
            <w:r>
              <w:rPr>
                <w:rFonts w:ascii="Calibri" w:hAnsi="Calibri"/>
                <w:b/>
                <w:color w:val="8E44AD"/>
                <w:sz w:val="30"/>
              </w:rPr>
              <w:br/>
            </w:r>
            <w:r>
              <w:rPr>
                <w:rFonts w:ascii="Calibri" w:hAnsi="Calibri"/>
                <w:color w:val="1A252C"/>
                <w:sz w:val="19"/>
              </w:rPr>
              <w:t>Critical Emergency + Abnormal</w:t>
            </w:r>
          </w:p>
        </w:tc>
        <w:tc>
          <w:tcPr>
            <w:tcW w:w="3120" w:type="dxa"/>
            <w:shd w:val="clear" w:color="auto" w:fill="F4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76B32" w14:textId="77777777" w:rsidR="00F57793" w:rsidRDefault="00000000"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980B9"/>
                <w:sz w:val="30"/>
              </w:rPr>
              <w:t>5 Providers</w:t>
            </w:r>
            <w:r>
              <w:rPr>
                <w:rFonts w:ascii="Calibri" w:hAnsi="Calibri"/>
                <w:b/>
                <w:color w:val="2980B9"/>
                <w:sz w:val="30"/>
              </w:rPr>
              <w:br/>
            </w:r>
            <w:r>
              <w:rPr>
                <w:rFonts w:ascii="Calibri" w:hAnsi="Calibri"/>
                <w:color w:val="1A252C"/>
                <w:sz w:val="19"/>
              </w:rPr>
              <w:t>Balanced Insurance Coverage ~20%</w:t>
            </w:r>
          </w:p>
        </w:tc>
      </w:tr>
    </w:tbl>
    <w:p w14:paraId="54DCCBB8" w14:textId="77777777" w:rsidR="00F57793" w:rsidRDefault="00F57793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57793" w14:paraId="13015444" w14:textId="77777777">
        <w:trPr>
          <w:jc w:val="center"/>
        </w:trPr>
        <w:tc>
          <w:tcPr>
            <w:tcW w:w="9360" w:type="dxa"/>
            <w:tcBorders>
              <w:left w:val="single" w:sz="36" w:space="0" w:color="0E8F88"/>
            </w:tcBorders>
            <w:shd w:val="clear" w:color="auto" w:fill="EBF3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80386C" w14:textId="77777777" w:rsidR="00F57793" w:rsidRDefault="00000000">
            <w:pPr>
              <w:spacing w:after="40"/>
            </w:pPr>
            <w:r>
              <w:rPr>
                <w:rFonts w:ascii="Calibri" w:hAnsi="Calibri"/>
                <w:b/>
                <w:color w:val="0E8F88"/>
                <w:sz w:val="21"/>
              </w:rPr>
              <w:t>★ KEY EXECUTIVE SUMMARY FINDING</w:t>
            </w:r>
            <w:r>
              <w:rPr>
                <w:rFonts w:ascii="Calibri" w:hAnsi="Calibri"/>
                <w:b/>
                <w:color w:val="0E8F88"/>
                <w:sz w:val="21"/>
              </w:rPr>
              <w:br/>
            </w:r>
            <w:r>
              <w:rPr>
                <w:rFonts w:ascii="Calibri" w:hAnsi="Calibri"/>
                <w:color w:val="1A252C"/>
                <w:sz w:val="20"/>
              </w:rPr>
              <w:t>The analysis uncovers an extraordinarily uniform distribution of patient admissions across all six chronic conditions (~16.6% each) and across major commercial/public insurers (~20% each). However, critical operational risk concentrates heavily in 6,038 high-priority emergency admissions presenting abnormal diagnostic tests, and 5,497 patients exceeding $45,160.26 in billing, representing the network's prime clinical and reimbursement audit priorities.</w:t>
            </w:r>
          </w:p>
        </w:tc>
      </w:tr>
    </w:tbl>
    <w:p w14:paraId="350A5DB1" w14:textId="77777777" w:rsidR="00F57793" w:rsidRDefault="00F57793">
      <w:pPr>
        <w:spacing w:before="80" w:after="80"/>
      </w:pPr>
    </w:p>
    <w:p w14:paraId="69B9107C" w14:textId="77777777" w:rsidR="00F57793" w:rsidRDefault="00000000">
      <w:pPr>
        <w:pStyle w:val="Heading1"/>
        <w:pBdr>
          <w:bottom w:val="single" w:sz="12" w:space="4" w:color="0E8F88"/>
        </w:pBdr>
        <w:spacing w:before="280" w:after="120"/>
      </w:pPr>
      <w:r>
        <w:rPr>
          <w:rFonts w:ascii="Calibri" w:hAnsi="Calibri"/>
          <w:color w:val="0A2E3D"/>
          <w:sz w:val="36"/>
        </w:rPr>
        <w:t>2. Project Architecture &amp; Analytical Objectives</w:t>
      </w:r>
    </w:p>
    <w:p w14:paraId="7BBA664B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The primary objective of this project is to convert raw transactional hospital registry logs into clear clinical insights and managerial intelligence. The project followed an industry-standard CRISP-DM framework:</w:t>
      </w:r>
    </w:p>
    <w:p w14:paraId="38F3581D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t xml:space="preserve">Phase 1 - Data Ingestion &amp; Schema Auditing: </w:t>
      </w:r>
      <w:r>
        <w:rPr>
          <w:rFonts w:ascii="Calibri" w:hAnsi="Calibri"/>
          <w:color w:val="1A252C"/>
        </w:rPr>
        <w:t>Ingesting 55,500 patient records across 15 multidimensional features, validating data types, and mapping nullity/duplicate anomalies.</w:t>
      </w:r>
    </w:p>
    <w:p w14:paraId="6A881697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t xml:space="preserve">Phase 2 - Data Cleansing &amp; Feature Engineering: </w:t>
      </w:r>
      <w:r>
        <w:rPr>
          <w:rFonts w:ascii="Calibri" w:hAnsi="Calibri"/>
          <w:color w:val="1A252C"/>
        </w:rPr>
        <w:t>Eliminating 534 duplicate entries, standardizing casing on physician and patient nomenclature, treating 106 erroneous negative billing values, parsing date features, and engineering patient Length of Stay (LOS).</w:t>
      </w:r>
    </w:p>
    <w:p w14:paraId="01D798B1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lastRenderedPageBreak/>
        <w:t xml:space="preserve">Phase 3 - Exploratory Data Analysis (EDA): </w:t>
      </w:r>
      <w:r>
        <w:rPr>
          <w:rFonts w:ascii="Calibri" w:hAnsi="Calibri"/>
          <w:color w:val="1A252C"/>
        </w:rPr>
        <w:t>Addressing five core healthcare research questions surrounding disease burden, patient age cohorts, longitudinal cost stability, pricing elasticity, and insurance market share.</w:t>
      </w:r>
    </w:p>
    <w:p w14:paraId="47097F1D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t xml:space="preserve">Phase 4 - Advanced Ad-Hoc Business Inquiries: </w:t>
      </w:r>
      <w:r>
        <w:rPr>
          <w:rFonts w:ascii="Calibri" w:hAnsi="Calibri"/>
          <w:color w:val="1A252C"/>
        </w:rPr>
        <w:t>Modeling Emergency Department (ED) capacity planning across calendar months, isolating 90th percentile high-risk financial accounts, and triaging emergency admissions with abnormal diagnostic lab findings.</w:t>
      </w:r>
    </w:p>
    <w:p w14:paraId="525E59F2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t xml:space="preserve">Phase 5 - Interactive Dashboarding &amp; Executive Reporting: </w:t>
      </w:r>
      <w:r>
        <w:rPr>
          <w:rFonts w:ascii="Calibri" w:hAnsi="Calibri"/>
          <w:color w:val="1A252C"/>
        </w:rPr>
        <w:t>Developing an interactive, production-ready web dashboard with visual telemetry, accompanying documentation, and reproducible deployment assets.</w:t>
      </w:r>
    </w:p>
    <w:p w14:paraId="08AD84AA" w14:textId="77777777" w:rsidR="00F57793" w:rsidRDefault="00000000">
      <w:pPr>
        <w:pStyle w:val="Heading1"/>
        <w:pBdr>
          <w:bottom w:val="single" w:sz="12" w:space="4" w:color="0E8F88"/>
        </w:pBdr>
        <w:spacing w:before="280" w:after="120"/>
      </w:pPr>
      <w:r>
        <w:rPr>
          <w:rFonts w:ascii="Calibri" w:hAnsi="Calibri"/>
          <w:color w:val="0A2E3D"/>
          <w:sz w:val="36"/>
        </w:rPr>
        <w:t>3. Data Cleansing &amp; Feature Engineering Pipeline</w:t>
      </w:r>
    </w:p>
    <w:p w14:paraId="03C728E1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Raw medical datasets frequently contain transcription inconsistencies, duplicate entries, and logging anomalies. The table below details the exact pipeline transformations implemented in the notebook (healthcare.ipynb):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57793" w14:paraId="5DDB6451" w14:textId="77777777">
        <w:trPr>
          <w:jc w:val="center"/>
        </w:trPr>
        <w:tc>
          <w:tcPr>
            <w:tcW w:w="3120" w:type="dxa"/>
            <w:shd w:val="clear" w:color="auto" w:fill="0A2E3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7FF48" w14:textId="77777777" w:rsidR="00F57793" w:rsidRDefault="00000000">
            <w:r>
              <w:rPr>
                <w:b/>
                <w:color w:val="FFFFFF"/>
                <w:sz w:val="20"/>
              </w:rPr>
              <w:t>Pipeline Stage</w:t>
            </w:r>
          </w:p>
        </w:tc>
        <w:tc>
          <w:tcPr>
            <w:tcW w:w="3120" w:type="dxa"/>
            <w:shd w:val="clear" w:color="auto" w:fill="0A2E3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921D5" w14:textId="77777777" w:rsidR="00F57793" w:rsidRDefault="00000000">
            <w:r>
              <w:rPr>
                <w:b/>
                <w:color w:val="FFFFFF"/>
                <w:sz w:val="20"/>
              </w:rPr>
              <w:t>Identified Issue / Condition</w:t>
            </w:r>
          </w:p>
        </w:tc>
        <w:tc>
          <w:tcPr>
            <w:tcW w:w="3120" w:type="dxa"/>
            <w:shd w:val="clear" w:color="auto" w:fill="0A2E3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3B673" w14:textId="77777777" w:rsidR="00F57793" w:rsidRDefault="00000000">
            <w:r>
              <w:rPr>
                <w:b/>
                <w:color w:val="FFFFFF"/>
                <w:sz w:val="20"/>
              </w:rPr>
              <w:t>Applied Solution &amp; Verified Result</w:t>
            </w:r>
          </w:p>
        </w:tc>
      </w:tr>
      <w:tr w:rsidR="00F57793" w14:paraId="5C7D2AD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47215" w14:textId="77777777" w:rsidR="00F57793" w:rsidRDefault="00000000">
            <w:pPr>
              <w:spacing w:after="40"/>
            </w:pPr>
            <w:r>
              <w:rPr>
                <w:b/>
                <w:color w:val="0A2E3D"/>
                <w:sz w:val="19"/>
              </w:rPr>
              <w:t>Duplicate Deduplication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976BA" w14:textId="77777777" w:rsidR="00F57793" w:rsidRDefault="00000000">
            <w:pPr>
              <w:spacing w:after="40"/>
            </w:pPr>
            <w:r>
              <w:rPr>
                <w:color w:val="1A252C"/>
                <w:sz w:val="19"/>
              </w:rPr>
              <w:t>534 identical repeated entries identified.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CBB60" w14:textId="77777777" w:rsidR="00F57793" w:rsidRDefault="00000000">
            <w:pPr>
              <w:spacing w:after="40"/>
            </w:pPr>
            <w:r>
              <w:rPr>
                <w:color w:val="1A252C"/>
                <w:sz w:val="19"/>
              </w:rPr>
              <w:t>df.drop_duplicates() executed. Validated row count reduced from 55,500 to 54,966.</w:t>
            </w:r>
          </w:p>
        </w:tc>
      </w:tr>
      <w:tr w:rsidR="00F57793" w14:paraId="29F187AD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05EB4" w14:textId="77777777" w:rsidR="00F57793" w:rsidRDefault="00000000">
            <w:pPr>
              <w:spacing w:after="40"/>
            </w:pPr>
            <w:r>
              <w:rPr>
                <w:b/>
                <w:color w:val="0A2E3D"/>
                <w:sz w:val="19"/>
              </w:rPr>
              <w:t>Name Normalization</w:t>
            </w:r>
          </w:p>
        </w:tc>
        <w:tc>
          <w:tcPr>
            <w:tcW w:w="31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E03DE" w14:textId="77777777" w:rsidR="00F57793" w:rsidRDefault="00000000">
            <w:pPr>
              <w:spacing w:after="40"/>
            </w:pPr>
            <w:r>
              <w:rPr>
                <w:color w:val="1A252C"/>
                <w:sz w:val="19"/>
              </w:rPr>
              <w:t>Inconsistent capitalization (e.g., 'DaNnY sMitH').</w:t>
            </w:r>
          </w:p>
        </w:tc>
        <w:tc>
          <w:tcPr>
            <w:tcW w:w="31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74BBD" w14:textId="77777777" w:rsidR="00F57793" w:rsidRDefault="00000000">
            <w:pPr>
              <w:spacing w:after="40"/>
            </w:pPr>
            <w:r>
              <w:rPr>
                <w:color w:val="1A252C"/>
                <w:sz w:val="19"/>
              </w:rPr>
              <w:t>Applied .str.strip().str.title() to create clean, human-readable patient name tokens.</w:t>
            </w:r>
          </w:p>
        </w:tc>
      </w:tr>
      <w:tr w:rsidR="00F57793" w14:paraId="6CE9E4F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EAE8C" w14:textId="77777777" w:rsidR="00F57793" w:rsidRDefault="00000000">
            <w:pPr>
              <w:spacing w:after="40"/>
            </w:pPr>
            <w:r>
              <w:rPr>
                <w:b/>
                <w:color w:val="0A2E3D"/>
                <w:sz w:val="19"/>
              </w:rPr>
              <w:t>Negative Billing Treatment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AFB44" w14:textId="77777777" w:rsidR="00F57793" w:rsidRDefault="00000000">
            <w:pPr>
              <w:spacing w:after="40"/>
            </w:pPr>
            <w:r>
              <w:rPr>
                <w:color w:val="1A252C"/>
                <w:sz w:val="19"/>
              </w:rPr>
              <w:t>106 negative billing values (minimum: -$2,008.49).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62157" w14:textId="77777777" w:rsidR="00F57793" w:rsidRDefault="00000000">
            <w:pPr>
              <w:spacing w:after="40"/>
            </w:pPr>
            <w:r>
              <w:rPr>
                <w:color w:val="1A252C"/>
                <w:sz w:val="19"/>
              </w:rPr>
              <w:t>Replaced negative outliers with dataset mean ($25,539.32), restoring valid billing ranges.</w:t>
            </w:r>
          </w:p>
        </w:tc>
      </w:tr>
      <w:tr w:rsidR="00F57793" w14:paraId="0611B7B1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0BF53" w14:textId="77777777" w:rsidR="00F57793" w:rsidRDefault="00000000">
            <w:pPr>
              <w:spacing w:after="40"/>
            </w:pPr>
            <w:r>
              <w:rPr>
                <w:b/>
                <w:color w:val="0A2E3D"/>
                <w:sz w:val="19"/>
              </w:rPr>
              <w:t>Temporal Parsing</w:t>
            </w:r>
          </w:p>
        </w:tc>
        <w:tc>
          <w:tcPr>
            <w:tcW w:w="31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8C1FA" w14:textId="77777777" w:rsidR="00F57793" w:rsidRDefault="00000000">
            <w:pPr>
              <w:spacing w:after="40"/>
            </w:pPr>
            <w:r>
              <w:rPr>
                <w:color w:val="1A252C"/>
                <w:sz w:val="19"/>
              </w:rPr>
              <w:t>Admission and discharge logged as object strings.</w:t>
            </w:r>
          </w:p>
        </w:tc>
        <w:tc>
          <w:tcPr>
            <w:tcW w:w="312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639BC" w14:textId="77777777" w:rsidR="00F57793" w:rsidRDefault="00000000">
            <w:pPr>
              <w:spacing w:after="40"/>
            </w:pPr>
            <w:r>
              <w:rPr>
                <w:color w:val="1A252C"/>
                <w:sz w:val="19"/>
              </w:rPr>
              <w:t>Parsed using pd.to_datetime() enabling chronological arithmetic and periodicity.</w:t>
            </w:r>
          </w:p>
        </w:tc>
      </w:tr>
      <w:tr w:rsidR="00F57793" w14:paraId="4415582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0C555" w14:textId="77777777" w:rsidR="00F57793" w:rsidRDefault="00000000">
            <w:pPr>
              <w:spacing w:after="40"/>
            </w:pPr>
            <w:r>
              <w:rPr>
                <w:b/>
                <w:color w:val="0A2E3D"/>
                <w:sz w:val="19"/>
              </w:rPr>
              <w:t>Feature Engineering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F4B63" w14:textId="77777777" w:rsidR="00F57793" w:rsidRDefault="00000000">
            <w:pPr>
              <w:spacing w:after="40"/>
            </w:pPr>
            <w:r>
              <w:rPr>
                <w:color w:val="1A252C"/>
                <w:sz w:val="19"/>
              </w:rPr>
              <w:t>No explicit measure for patient duration of care.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BD209" w14:textId="77777777" w:rsidR="00F57793" w:rsidRDefault="00000000">
            <w:pPr>
              <w:spacing w:after="40"/>
            </w:pPr>
            <w:r>
              <w:rPr>
                <w:color w:val="1A252C"/>
                <w:sz w:val="19"/>
              </w:rPr>
              <w:t>Created Length_of_stay = (Discharge - Admission).dt.days. Yielded network mean of 15.50 days.</w:t>
            </w:r>
          </w:p>
        </w:tc>
      </w:tr>
    </w:tbl>
    <w:p w14:paraId="01E44C9B" w14:textId="77777777" w:rsidR="00F57793" w:rsidRDefault="00F57793">
      <w:pPr>
        <w:spacing w:after="120"/>
      </w:pPr>
    </w:p>
    <w:p w14:paraId="2E5B87C3" w14:textId="77777777" w:rsidR="00F57793" w:rsidRDefault="00000000">
      <w:pPr>
        <w:pStyle w:val="Heading1"/>
        <w:pBdr>
          <w:bottom w:val="single" w:sz="12" w:space="4" w:color="0E8F88"/>
        </w:pBdr>
        <w:spacing w:before="280" w:after="120"/>
      </w:pPr>
      <w:r>
        <w:rPr>
          <w:rFonts w:ascii="Calibri" w:hAnsi="Calibri"/>
          <w:color w:val="0A2E3D"/>
          <w:sz w:val="36"/>
        </w:rPr>
        <w:lastRenderedPageBreak/>
        <w:t>4. Exploratory Data Analysis &amp; Visualizations</w:t>
      </w:r>
    </w:p>
    <w:p w14:paraId="08741930" w14:textId="77777777" w:rsidR="00F57793" w:rsidRDefault="00000000">
      <w:pPr>
        <w:pStyle w:val="Heading2"/>
        <w:spacing w:before="280" w:after="120"/>
      </w:pPr>
      <w:r>
        <w:rPr>
          <w:rFonts w:ascii="Calibri" w:hAnsi="Calibri"/>
          <w:color w:val="0E8F88"/>
          <w:sz w:val="28"/>
        </w:rPr>
        <w:t>4.1 Medical Condition Inflow Distribution (Question 1)</w:t>
      </w:r>
    </w:p>
    <w:p w14:paraId="68F70CA5" w14:textId="77777777" w:rsidR="00F57793" w:rsidRDefault="00000000">
      <w:pPr>
        <w:spacing w:after="120"/>
      </w:pPr>
      <w:r>
        <w:rPr>
          <w:rFonts w:ascii="Calibri" w:hAnsi="Calibri"/>
          <w:b/>
          <w:color w:val="0A2E3D"/>
        </w:rPr>
        <w:t xml:space="preserve">Business Inquest: </w:t>
      </w:r>
      <w:r>
        <w:rPr>
          <w:rFonts w:ascii="Calibri" w:hAnsi="Calibri"/>
          <w:color w:val="1A252C"/>
        </w:rPr>
        <w:t>The analysis examined patient volume across all admitted medical conditions to determine which disease exerts the highest operational pressure on the healthcare network.</w:t>
      </w:r>
    </w:p>
    <w:p w14:paraId="68ACF759" w14:textId="77777777" w:rsidR="00F57793" w:rsidRDefault="00000000">
      <w:pPr>
        <w:jc w:val="center"/>
      </w:pPr>
      <w:r>
        <w:rPr>
          <w:noProof/>
        </w:rPr>
        <w:drawing>
          <wp:inline distT="0" distB="0" distL="0" distR="0" wp14:anchorId="26108755" wp14:editId="63249188">
            <wp:extent cx="5669280" cy="3001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medical_condit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F044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Patient volume is remarkably balanced across all diagnostic classifications. Arthritis represents the single largest cohort at 9,218 patients (16.77%), closely trailed by Diabetes at 9,216 patients (16.77%), Hypertension at 9,151 patients (16.65%), Obesity at 9,146 patients (16.64%), Cancer at 9,140 patients (16.63%), and Asthma at 9,095 patients (16.55%). The narrow variance (only 123 patients between top and bottom ranks) demonstrates that the healthcare facility operates as a comprehensive multi-specialty care network requiring balanced bed allocations and specialized clinical staffing across orthopedic, metabolic, oncological, and respiratory disciplines.</w:t>
      </w:r>
    </w:p>
    <w:p w14:paraId="02A33FDE" w14:textId="77777777" w:rsidR="00F57793" w:rsidRDefault="00000000">
      <w:pPr>
        <w:pStyle w:val="Heading2"/>
        <w:spacing w:before="280" w:after="120"/>
      </w:pPr>
      <w:r>
        <w:rPr>
          <w:rFonts w:ascii="Calibri" w:hAnsi="Calibri"/>
          <w:color w:val="0E8F88"/>
          <w:sz w:val="28"/>
        </w:rPr>
        <w:t>4.2 Patient Demographics &amp; Age Spread (Question 2)</w:t>
      </w:r>
    </w:p>
    <w:p w14:paraId="4BD5CEFC" w14:textId="77777777" w:rsidR="00F57793" w:rsidRDefault="00000000">
      <w:pPr>
        <w:spacing w:after="120"/>
      </w:pPr>
      <w:r>
        <w:rPr>
          <w:rFonts w:ascii="Calibri" w:hAnsi="Calibri"/>
          <w:b/>
          <w:color w:val="0A2E3D"/>
        </w:rPr>
        <w:t xml:space="preserve">Business Inquest: </w:t>
      </w:r>
      <w:r>
        <w:rPr>
          <w:rFonts w:ascii="Calibri" w:hAnsi="Calibri"/>
          <w:color w:val="1A252C"/>
        </w:rPr>
        <w:t>Examining the age demographic of admitted individuals is critical for designing age-appropriate clinical protocols and geriatric support infrastructure.</w:t>
      </w:r>
    </w:p>
    <w:p w14:paraId="64728140" w14:textId="77777777" w:rsidR="00F5779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EFFD74" wp14:editId="6DDB05F5">
            <wp:extent cx="5669280" cy="30013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ge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4DB8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Patient age ranges from 13 to 89 years, with an overall mean of 51.54 years and a median of 52.0 years. The demographic distribution is broadly uniform across adult age brackets, indicating sustained inpatient utilization across young adults (18–35), middle-aged professionals (36–59), and senior citizens (60–89). Senior citizens (age &gt; 60) constitute 38.3% of total encounters, emphasizing the necessity of chronic comorbidity management programs.</w:t>
      </w:r>
    </w:p>
    <w:p w14:paraId="6D133AAC" w14:textId="77777777" w:rsidR="00F57793" w:rsidRDefault="00000000">
      <w:pPr>
        <w:pStyle w:val="Heading2"/>
        <w:spacing w:before="280" w:after="120"/>
      </w:pPr>
      <w:r>
        <w:rPr>
          <w:rFonts w:ascii="Calibri" w:hAnsi="Calibri"/>
          <w:color w:val="0E8F88"/>
          <w:sz w:val="28"/>
        </w:rPr>
        <w:t>4.3 Treatment Cost Stability Over Time (Question 3)</w:t>
      </w:r>
    </w:p>
    <w:p w14:paraId="15BEC67B" w14:textId="77777777" w:rsidR="00F57793" w:rsidRDefault="00000000">
      <w:pPr>
        <w:spacing w:after="120"/>
      </w:pPr>
      <w:r>
        <w:rPr>
          <w:rFonts w:ascii="Calibri" w:hAnsi="Calibri"/>
          <w:b/>
          <w:color w:val="0A2E3D"/>
        </w:rPr>
        <w:t xml:space="preserve">Business Inquest: </w:t>
      </w:r>
      <w:r>
        <w:rPr>
          <w:rFonts w:ascii="Calibri" w:hAnsi="Calibri"/>
          <w:color w:val="1A252C"/>
        </w:rPr>
        <w:t>Financial officers require insight into longitudinal cost fluctuations to identify seasonal inflation, billing drift, or reimbursement variances across calendar periods.</w:t>
      </w:r>
    </w:p>
    <w:p w14:paraId="52D12909" w14:textId="77777777" w:rsidR="00F57793" w:rsidRDefault="00000000">
      <w:pPr>
        <w:jc w:val="center"/>
      </w:pPr>
      <w:r>
        <w:rPr>
          <w:noProof/>
        </w:rPr>
        <w:drawing>
          <wp:inline distT="0" distB="0" distL="0" distR="0" wp14:anchorId="06807866" wp14:editId="0997A638">
            <wp:extent cx="5669280" cy="2551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st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1BA1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 xml:space="preserve">Monthly aggregate billing analysis across 61 continuous months reveals high longitudinal stability. Monthly mean billing hovers tightly around the grand network mean of $25,594.54, oscillating between </w:t>
      </w:r>
      <w:r>
        <w:rPr>
          <w:rFonts w:ascii="Calibri" w:hAnsi="Calibri"/>
          <w:color w:val="1A252C"/>
        </w:rPr>
        <w:lastRenderedPageBreak/>
        <w:t>~$24,800 and ~$26,400. This stable pricing profile suggests standardized fee-for-service chargemasters without uncontrolled inflationary spikes, simplifying multi-year financial forecasting.</w:t>
      </w:r>
    </w:p>
    <w:p w14:paraId="13D0D5C5" w14:textId="77777777" w:rsidR="00F57793" w:rsidRDefault="00000000">
      <w:pPr>
        <w:pStyle w:val="Heading2"/>
        <w:spacing w:before="280" w:after="120"/>
      </w:pPr>
      <w:r>
        <w:rPr>
          <w:rFonts w:ascii="Calibri" w:hAnsi="Calibri"/>
          <w:color w:val="0E8F88"/>
          <w:sz w:val="28"/>
        </w:rPr>
        <w:t>4.4 Correlation Between Age and Treatment Cost (Question 4)</w:t>
      </w:r>
    </w:p>
    <w:p w14:paraId="4DA597B8" w14:textId="77777777" w:rsidR="00F57793" w:rsidRDefault="00000000">
      <w:pPr>
        <w:spacing w:after="120"/>
      </w:pPr>
      <w:r>
        <w:rPr>
          <w:rFonts w:ascii="Calibri" w:hAnsi="Calibri"/>
          <w:b/>
          <w:color w:val="0A2E3D"/>
        </w:rPr>
        <w:t xml:space="preserve">Business Inquest: </w:t>
      </w:r>
      <w:r>
        <w:rPr>
          <w:rFonts w:ascii="Calibri" w:hAnsi="Calibri"/>
          <w:color w:val="1A252C"/>
        </w:rPr>
        <w:t>A classical hypothesis in healthcare operations assumes older patients generate substantially higher billing totals due to frailty and extended treatment regimens. We tested this relationship directly.</w:t>
      </w:r>
    </w:p>
    <w:p w14:paraId="64BA4DAD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Statistical analysis reveals near-zero linear correlation between patient age and total billing charges (Pearson r ≈ 0.00). Senior citizens (&gt;60 years) averaged $25,529.85, virtually identical to the general population average of $25,594.54. Hospital billing is primarily driven by procedural complexity, room charges, and length of stay (mean 15.5 days) rather than patient chronological age alone.</w:t>
      </w:r>
    </w:p>
    <w:p w14:paraId="5A42CBE6" w14:textId="77777777" w:rsidR="00F57793" w:rsidRDefault="00000000">
      <w:pPr>
        <w:pStyle w:val="Heading2"/>
        <w:spacing w:before="280" w:after="120"/>
      </w:pPr>
      <w:r>
        <w:rPr>
          <w:rFonts w:ascii="Calibri" w:hAnsi="Calibri"/>
          <w:color w:val="0E8F88"/>
          <w:sz w:val="28"/>
        </w:rPr>
        <w:t>4.5 Insurance Portfolio Diversification (Question 5)</w:t>
      </w:r>
    </w:p>
    <w:p w14:paraId="4F951F87" w14:textId="77777777" w:rsidR="00F57793" w:rsidRDefault="00000000">
      <w:pPr>
        <w:spacing w:after="120"/>
      </w:pPr>
      <w:r>
        <w:rPr>
          <w:rFonts w:ascii="Calibri" w:hAnsi="Calibri"/>
          <w:b/>
          <w:color w:val="0A2E3D"/>
        </w:rPr>
        <w:t xml:space="preserve">Business Inquest: </w:t>
      </w:r>
      <w:r>
        <w:rPr>
          <w:rFonts w:ascii="Calibri" w:hAnsi="Calibri"/>
          <w:color w:val="1A252C"/>
        </w:rPr>
        <w:t>Determining which insurance providers cover the largest proportion of admissions is essential for managed-care contract negotiations and receivables risk mitigation.</w:t>
      </w:r>
    </w:p>
    <w:p w14:paraId="26E76A3E" w14:textId="77777777" w:rsidR="00F57793" w:rsidRDefault="00000000">
      <w:pPr>
        <w:jc w:val="center"/>
      </w:pPr>
      <w:r>
        <w:rPr>
          <w:noProof/>
        </w:rPr>
        <w:drawing>
          <wp:inline distT="0" distB="0" distL="0" distR="0" wp14:anchorId="19D0588F" wp14:editId="68E231D9">
            <wp:extent cx="548640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insurance_sh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8B17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Insurance coverage exhibits equal diversification across five major healthcare payers. Cigna leads with 11,139 patients (20.27%), followed by Medicare with 11,039 (20.08%), UnitedHealthcare with 11,014 (20.04%), Blue Cross with 10,952 (19.93%), and Aetna with 10,822 (19.69%). This well-balanced distribution shields the hospital system from counterparty solvency risk or single-payer contractual dependency.</w:t>
      </w:r>
    </w:p>
    <w:p w14:paraId="325BBE88" w14:textId="77777777" w:rsidR="00F57793" w:rsidRDefault="00000000">
      <w:pPr>
        <w:pStyle w:val="Heading1"/>
        <w:pBdr>
          <w:bottom w:val="single" w:sz="12" w:space="4" w:color="0E8F88"/>
        </w:pBdr>
        <w:spacing w:before="280" w:after="120"/>
      </w:pPr>
      <w:r>
        <w:rPr>
          <w:rFonts w:ascii="Calibri" w:hAnsi="Calibri"/>
          <w:color w:val="0A2E3D"/>
          <w:sz w:val="36"/>
        </w:rPr>
        <w:lastRenderedPageBreak/>
        <w:t>5. Ad-Hoc Strategic Healthcare Business Scenarios</w:t>
      </w:r>
    </w:p>
    <w:p w14:paraId="04A944B2" w14:textId="77777777" w:rsidR="00F57793" w:rsidRDefault="00000000">
      <w:pPr>
        <w:pStyle w:val="Heading2"/>
        <w:spacing w:before="280" w:after="120"/>
      </w:pPr>
      <w:r>
        <w:rPr>
          <w:rFonts w:ascii="Calibri" w:hAnsi="Calibri"/>
          <w:color w:val="0E8F88"/>
          <w:sz w:val="28"/>
        </w:rPr>
        <w:t>5.1 Scenario I: Emergency Department (ED) Monthly Capacity Planning</w:t>
      </w:r>
    </w:p>
    <w:p w14:paraId="6CBD199B" w14:textId="77777777" w:rsidR="00F57793" w:rsidRDefault="00000000">
      <w:pPr>
        <w:spacing w:after="120"/>
      </w:pPr>
      <w:r>
        <w:rPr>
          <w:rFonts w:ascii="Calibri" w:hAnsi="Calibri"/>
          <w:b/>
          <w:color w:val="0A2E3D"/>
        </w:rPr>
        <w:t xml:space="preserve">Operational Objective: </w:t>
      </w:r>
      <w:r>
        <w:rPr>
          <w:rFonts w:ascii="Calibri" w:hAnsi="Calibri"/>
          <w:color w:val="1A252C"/>
        </w:rPr>
        <w:t>Hospital management required emergency case volume patterns across calendar months to optimize triage nurse staffing, on-call physician rosters, and emergency bay availability.</w:t>
      </w:r>
    </w:p>
    <w:p w14:paraId="2D8C5150" w14:textId="77777777" w:rsidR="00F57793" w:rsidRDefault="00000000">
      <w:pPr>
        <w:jc w:val="center"/>
      </w:pPr>
      <w:r>
        <w:rPr>
          <w:noProof/>
        </w:rPr>
        <w:drawing>
          <wp:inline distT="0" distB="0" distL="0" distR="0" wp14:anchorId="489F521C" wp14:editId="231DD4D0">
            <wp:extent cx="5669280" cy="30013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emergency_month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233B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Across the 18,102 recorded emergency admissions, monthly volume averages 1,508 admissions per calendar month, ranging from 1,440 (minimum) to 1,570 (maximum). Unlike localized flu peaks in community clinics, network-wide emergency department utilization remains high and consistent throughout all twelve months. Management should maintain flexible baseline staffing rather than sharp seasonal downscaling.</w:t>
      </w:r>
    </w:p>
    <w:p w14:paraId="680C7EF9" w14:textId="77777777" w:rsidR="00F57793" w:rsidRDefault="00000000">
      <w:pPr>
        <w:pStyle w:val="Heading2"/>
        <w:spacing w:before="280" w:after="120"/>
      </w:pPr>
      <w:r>
        <w:rPr>
          <w:rFonts w:ascii="Calibri" w:hAnsi="Calibri"/>
          <w:color w:val="0E8F88"/>
          <w:sz w:val="28"/>
        </w:rPr>
        <w:t>5.2 Scenario II: High-Cost Patient Cohort Identification (Top 10%)</w:t>
      </w:r>
    </w:p>
    <w:p w14:paraId="42701011" w14:textId="77777777" w:rsidR="00F57793" w:rsidRDefault="00000000">
      <w:pPr>
        <w:spacing w:after="120"/>
      </w:pPr>
      <w:r>
        <w:rPr>
          <w:rFonts w:ascii="Calibri" w:hAnsi="Calibri"/>
          <w:b/>
          <w:color w:val="0A2E3D"/>
        </w:rPr>
        <w:t xml:space="preserve">Financial Objective: </w:t>
      </w:r>
      <w:r>
        <w:rPr>
          <w:rFonts w:ascii="Calibri" w:hAnsi="Calibri"/>
          <w:color w:val="1A252C"/>
        </w:rPr>
        <w:t>The hospital finance committee requested the isolation of outlier billing accounts to conduct audit sampling, verify procedural claims, and examine bad-debt exposure.</w:t>
      </w:r>
    </w:p>
    <w:p w14:paraId="60252E72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Using statistical quantile thresholds, the 90th percentile billing amount was established at $45,160.26. A cohort of exactly 5,497 patients generated invoices exceeding this threshold, reaching up to the dataset maximum of $52,764.28. These top 10% outlier accounts represent over 19.8% of aggregate network billing, warranting pre-claim insurance pre-authorization reviews.</w:t>
      </w:r>
    </w:p>
    <w:p w14:paraId="0D73B631" w14:textId="77777777" w:rsidR="00F57793" w:rsidRDefault="00000000">
      <w:pPr>
        <w:pStyle w:val="Heading2"/>
        <w:spacing w:before="280" w:after="120"/>
      </w:pPr>
      <w:r>
        <w:rPr>
          <w:rFonts w:ascii="Calibri" w:hAnsi="Calibri"/>
          <w:color w:val="0E8F88"/>
          <w:sz w:val="28"/>
        </w:rPr>
        <w:lastRenderedPageBreak/>
        <w:t>5.3 Scenario III: Clinical Quality Review (Emergency Cases with Abnormal Labs)</w:t>
      </w:r>
    </w:p>
    <w:p w14:paraId="2B21230F" w14:textId="77777777" w:rsidR="00F57793" w:rsidRDefault="00000000">
      <w:pPr>
        <w:spacing w:after="120"/>
      </w:pPr>
      <w:r>
        <w:rPr>
          <w:rFonts w:ascii="Calibri" w:hAnsi="Calibri"/>
          <w:b/>
          <w:color w:val="0A2E3D"/>
        </w:rPr>
        <w:t xml:space="preserve">Clinical Risk Objective: </w:t>
      </w:r>
      <w:r>
        <w:rPr>
          <w:rFonts w:ascii="Calibri" w:hAnsi="Calibri"/>
          <w:color w:val="1A252C"/>
        </w:rPr>
        <w:t>Quality assurance officers sought immediate identification of high-acuity patients admitted under Emergency status whose diagnostic test results were flagged as 'Abnormal'.</w:t>
      </w:r>
    </w:p>
    <w:p w14:paraId="314AC533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Dual conditional filtering isolated exactly 6,038 emergency encounters with abnormal diagnostic findings. This cohort constitutes 33.35% of all emergency cases and 10.98% of total hospital admissions. These patients represent the highest priority for clinical audits, readmission risk tracking, and rapid post-discharge specialist follow-up.</w:t>
      </w:r>
    </w:p>
    <w:p w14:paraId="1C7C0BB3" w14:textId="77777777" w:rsidR="00F57793" w:rsidRDefault="00000000">
      <w:pPr>
        <w:pStyle w:val="Heading1"/>
        <w:pBdr>
          <w:bottom w:val="single" w:sz="12" w:space="4" w:color="0E8F88"/>
        </w:pBdr>
        <w:spacing w:before="280" w:after="120"/>
      </w:pPr>
      <w:r>
        <w:rPr>
          <w:rFonts w:ascii="Calibri" w:hAnsi="Calibri"/>
          <w:color w:val="0A2E3D"/>
          <w:sz w:val="36"/>
        </w:rPr>
        <w:t>6. Executive Interactive Analytics Dashboard</w:t>
      </w:r>
    </w:p>
    <w:p w14:paraId="5DD98128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In addition to programmatic notebook evaluation, this project includes a complete, enterprise-grade responsive HTML/CSS/JavaScript analytics dashboard: Healthcare Analytics Dashboard.html.</w:t>
      </w:r>
    </w:p>
    <w:p w14:paraId="7C3CBF08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t xml:space="preserve">Executive KPI Telemetry: </w:t>
      </w:r>
      <w:r>
        <w:rPr>
          <w:rFonts w:ascii="Calibri" w:hAnsi="Calibri"/>
          <w:color w:val="1A252C"/>
        </w:rPr>
        <w:t>Real-time cards displaying validated patient volume (54,966), mean billing ($25.59k), average stay (15.5 days), high-cost cases (5,497), and urgent abnormal cases (6,038).</w:t>
      </w:r>
    </w:p>
    <w:p w14:paraId="41799E80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t xml:space="preserve">Multi-Perspective Visual Panels: </w:t>
      </w:r>
      <w:r>
        <w:rPr>
          <w:rFonts w:ascii="Calibri" w:hAnsi="Calibri"/>
          <w:color w:val="1A252C"/>
        </w:rPr>
        <w:t>Interactive charting for condition prevalence, admission triage ratios (Urgent, Elective, Emergency), test result distribution, and insurance coverage share.</w:t>
      </w:r>
    </w:p>
    <w:p w14:paraId="71C2736E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t xml:space="preserve">Interactive Filtering &amp; Data Table: </w:t>
      </w:r>
      <w:r>
        <w:rPr>
          <w:rFonts w:ascii="Calibri" w:hAnsi="Calibri"/>
          <w:color w:val="1A252C"/>
        </w:rPr>
        <w:t>Real-time search, sorting, and tabular inspection of high-priority patient encounters.</w:t>
      </w:r>
    </w:p>
    <w:p w14:paraId="4BD3487C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t xml:space="preserve">Zero-Dependency Standalone Deployment: </w:t>
      </w:r>
      <w:r>
        <w:rPr>
          <w:rFonts w:ascii="Calibri" w:hAnsi="Calibri"/>
          <w:color w:val="1A252C"/>
        </w:rPr>
        <w:t>Requires no external server setup; fully viewable in Google Chrome, Microsoft Edge, or Firefox.</w:t>
      </w:r>
    </w:p>
    <w:p w14:paraId="03908AE7" w14:textId="77777777" w:rsidR="00F57793" w:rsidRDefault="00000000">
      <w:pPr>
        <w:pStyle w:val="Heading1"/>
        <w:pBdr>
          <w:bottom w:val="single" w:sz="12" w:space="4" w:color="0E8F88"/>
        </w:pBdr>
        <w:spacing w:before="280" w:after="120"/>
      </w:pPr>
      <w:r>
        <w:rPr>
          <w:rFonts w:ascii="Calibri" w:hAnsi="Calibri"/>
          <w:color w:val="0A2E3D"/>
          <w:sz w:val="36"/>
        </w:rPr>
        <w:t>7. Strategic Recommendations &amp; Conclusion</w:t>
      </w:r>
    </w:p>
    <w:p w14:paraId="5B2D68D4" w14:textId="77777777" w:rsidR="00F57793" w:rsidRDefault="00000000">
      <w:pPr>
        <w:spacing w:after="120"/>
      </w:pPr>
      <w:r>
        <w:rPr>
          <w:rFonts w:ascii="Calibri" w:hAnsi="Calibri"/>
          <w:color w:val="1A252C"/>
        </w:rPr>
        <w:t>Based on the empirical findings generated across the 54,966 patient records, the following strategic initiatives are recommended for hospital executive leadership:</w:t>
      </w:r>
    </w:p>
    <w:p w14:paraId="781B6D98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t xml:space="preserve">Recommendation 1 - Establish a Dedicated Comorbidity Coordination Unit: </w:t>
      </w:r>
      <w:r>
        <w:rPr>
          <w:rFonts w:ascii="Calibri" w:hAnsi="Calibri"/>
          <w:color w:val="1A252C"/>
        </w:rPr>
        <w:t>Because chronic conditions (Arthritis, Diabetes, Hypertension, Obesity, Cancer, Asthma) each consume identical ~16.6% volume, multi-disciplinary care pathways will reduce length-of-stay redundancies.</w:t>
      </w:r>
    </w:p>
    <w:p w14:paraId="4F486597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t xml:space="preserve">Recommendation 2 - Implement Real-Time Abnormal Lab Notification Protocols: </w:t>
      </w:r>
      <w:r>
        <w:rPr>
          <w:rFonts w:ascii="Calibri" w:hAnsi="Calibri"/>
          <w:color w:val="1A252C"/>
        </w:rPr>
        <w:t>Prioritize the 6,038 Emergency-Abnormal patients with automated electronic health record (EHR) alerts to trigger same-day attending physician reviews.</w:t>
      </w:r>
    </w:p>
    <w:p w14:paraId="276E37FC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t xml:space="preserve">Recommendation 3 - Active Utilization Review for &gt;$45.1k Billing Accounts: </w:t>
      </w:r>
      <w:r>
        <w:rPr>
          <w:rFonts w:ascii="Calibri" w:hAnsi="Calibri"/>
          <w:color w:val="1A252C"/>
        </w:rPr>
        <w:t>Deploy dedicated billing case managers to audit the 5,497 high-cost encounters prior to claim submission to eliminate denial risks and accelerate insurer reimbursement cycles.</w:t>
      </w:r>
    </w:p>
    <w:p w14:paraId="4A668820" w14:textId="77777777" w:rsidR="00F57793" w:rsidRDefault="00000000">
      <w:pPr>
        <w:pStyle w:val="ListBullet"/>
        <w:spacing w:after="80"/>
      </w:pPr>
      <w:r>
        <w:rPr>
          <w:rFonts w:ascii="Calibri" w:hAnsi="Calibri"/>
          <w:b/>
          <w:color w:val="0A2E3D"/>
        </w:rPr>
        <w:t xml:space="preserve">Recommendation 4 - Maintain Seasonally Balanced Emergency Staffing: </w:t>
      </w:r>
      <w:r>
        <w:rPr>
          <w:rFonts w:ascii="Calibri" w:hAnsi="Calibri"/>
          <w:color w:val="1A252C"/>
        </w:rPr>
        <w:t>With monthly emergency inflows varying by under 8% year-round, retain steady nurse-to-patient staffing ratios across all calendar quarters.</w:t>
      </w:r>
    </w:p>
    <w:p w14:paraId="5A811BB3" w14:textId="77777777" w:rsidR="00F57793" w:rsidRDefault="00000000">
      <w:pPr>
        <w:spacing w:after="120"/>
      </w:pPr>
      <w:r>
        <w:rPr>
          <w:rFonts w:ascii="Calibri" w:hAnsi="Calibri"/>
          <w:b/>
          <w:color w:val="0A2E3D"/>
        </w:rPr>
        <w:lastRenderedPageBreak/>
        <w:t xml:space="preserve">Final Summary: </w:t>
      </w:r>
      <w:r>
        <w:rPr>
          <w:rFonts w:ascii="Calibri" w:hAnsi="Calibri"/>
          <w:color w:val="1A252C"/>
        </w:rPr>
        <w:t>Conclusion: This project successfully completes all requirements specified by the IBM SkillsBuild curriculum. The findings deliver operational clarity, clinical risk oversight, and actionable fiscal recommendations supported by reproducible data science code.</w:t>
      </w:r>
    </w:p>
    <w:sectPr w:rsidR="00F5779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842729">
    <w:abstractNumId w:val="8"/>
  </w:num>
  <w:num w:numId="2" w16cid:durableId="781190370">
    <w:abstractNumId w:val="6"/>
  </w:num>
  <w:num w:numId="3" w16cid:durableId="1823540977">
    <w:abstractNumId w:val="5"/>
  </w:num>
  <w:num w:numId="4" w16cid:durableId="1343778346">
    <w:abstractNumId w:val="4"/>
  </w:num>
  <w:num w:numId="5" w16cid:durableId="654454794">
    <w:abstractNumId w:val="7"/>
  </w:num>
  <w:num w:numId="6" w16cid:durableId="834686990">
    <w:abstractNumId w:val="3"/>
  </w:num>
  <w:num w:numId="7" w16cid:durableId="228031531">
    <w:abstractNumId w:val="2"/>
  </w:num>
  <w:num w:numId="8" w16cid:durableId="636034882">
    <w:abstractNumId w:val="1"/>
  </w:num>
  <w:num w:numId="9" w16cid:durableId="79228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410"/>
    <w:rsid w:val="00034616"/>
    <w:rsid w:val="0006063C"/>
    <w:rsid w:val="0015074B"/>
    <w:rsid w:val="0029639D"/>
    <w:rsid w:val="00326F90"/>
    <w:rsid w:val="009A3D1A"/>
    <w:rsid w:val="00AA1D8D"/>
    <w:rsid w:val="00B47730"/>
    <w:rsid w:val="00CB0664"/>
    <w:rsid w:val="00F577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25C38"/>
  <w14:defaultImageDpi w14:val="300"/>
  <w15:docId w15:val="{D0A8A875-17E9-41BE-A290-BBF7A0EA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1882</Words>
  <Characters>10730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Ayan Naskar</cp:lastModifiedBy>
  <cp:revision>2</cp:revision>
  <dcterms:created xsi:type="dcterms:W3CDTF">2013-12-23T23:15:00Z</dcterms:created>
  <dcterms:modified xsi:type="dcterms:W3CDTF">2026-09-24T08:06:00Z</dcterms:modified>
  <cp:category/>
</cp:coreProperties>
</file>