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1F4E79"/>
          <w:sz w:val="40"/>
        </w:rPr>
        <w:t>Section A: Concept Application (Theoretical – Scenario Based)</w:t>
      </w:r>
    </w:p>
    <w:p>
      <w:pPr>
        <w:spacing w:before="0" w:after="480"/>
      </w:pPr>
      <w:r>
        <w:rPr>
          <w:rFonts w:ascii="Calibri" w:hAnsi="Calibri"/>
          <w:i/>
          <w:color w:val="595959"/>
          <w:sz w:val="24"/>
        </w:rPr>
        <w:t>Computer Science Fundamentals &amp; Software Design Solutions</w:t>
      </w:r>
    </w:p>
    <w:p>
      <w:pPr>
        <w:keepNext/>
        <w:spacing w:before="0" w:after="120"/>
      </w:pPr>
      <w:r>
        <w:rPr>
          <w:rFonts w:ascii="Calibri" w:hAnsi="Calibri"/>
          <w:b/>
          <w:color w:val="1F4E79"/>
          <w:sz w:val="28"/>
        </w:rPr>
        <w:t>1. Compiler vs. Interpreter in a Food Delivery Application Context</w:t>
      </w:r>
    </w:p>
    <w:p>
      <w:pPr>
        <w:spacing w:after="160" w:line="276" w:lineRule="auto"/>
      </w:pPr>
      <w:r>
        <w:t>In a commercial food delivery application ecosystem, both compilation and interpretation serve critical architectural roles depending on the lifecycle phase. However, a compiled approach is strictly preferred for the core, production-deployed system architecture rather than an interpreted workflow.</w:t>
      </w:r>
    </w:p>
    <w:p>
      <w:pPr>
        <w:spacing w:after="80"/>
        <w:ind w:left="360"/>
      </w:pPr>
      <w:r>
        <w:rPr>
          <w:b/>
        </w:rPr>
        <w:t xml:space="preserve">• Execution Speed (Production Deployment): </w:t>
      </w:r>
      <w:r>
        <w:t>A food delivery application handles highly concurrent, real-time dynamic requests such as live GPS courier tracking, payment gateway Handshakes, and instant notification routing. A compiler translates the source code directly into optimized machine/native code prior to execution. This eliminates interpretation overhead at runtime, maximizing execution speed and minimizing server response latencies under heavy transaction loads.</w:t>
      </w:r>
    </w:p>
    <w:p>
      <w:pPr>
        <w:spacing w:after="80"/>
        <w:ind w:left="360"/>
      </w:pPr>
      <w:r>
        <w:rPr>
          <w:b/>
        </w:rPr>
        <w:t xml:space="preserve">• Error Detection: </w:t>
      </w:r>
      <w:r>
        <w:t>Compilers perform exhaustive static analysis and type checking during the build pipeline, flagging syntax and structural anomalies before the program ever runs. In a high-stakes financial domain like order processing, a runtime failure due to a preventable syntax branch error can lead to severe data corruption or direct revenue loss. An interpreter executes code line-by-line and only catches bugs when it hits that specific line, introducing unacceptable operational risk.</w:t>
      </w:r>
    </w:p>
    <w:p>
      <w:pPr>
        <w:spacing w:after="240"/>
        <w:ind w:left="360"/>
      </w:pPr>
      <w:r>
        <w:rPr>
          <w:b/>
        </w:rPr>
        <w:t xml:space="preserve">• Deployment: </w:t>
      </w:r>
      <w:r>
        <w:t>Deploying a compiled application generates a standalone, platform-optimized binary package. This protects internal proprietary routing algorithms from source-code exposure and streamlines containerization (e.g., Docker) without needing full source tooling environments installed on target cloud instances. Interpreted deployments require distributing original source text alongside targeted interpreter environments, complicating patch dependencies and escalating security attack surfaces.</w:t>
      </w:r>
    </w:p>
    <w:tbl>
      <w:tblPr>
        <w:tblW w:type="auto" w:w="0"/>
        <w:jc w:val="center"/>
        <w:tblLayout w:type="fixed"/>
        <w:tblLook w:firstColumn="1" w:firstRow="1" w:lastColumn="0" w:lastRow="0" w:noHBand="0" w:noVBand="1" w:val="04A0"/>
      </w:tblPr>
      <w:tblGrid>
        <w:gridCol w:w="9360"/>
      </w:tblGrid>
      <w:tr>
        <w:tc>
          <w:tcPr>
            <w:tcW w:type="dxa" w:w="9360"/>
            <w:shd w:val="clear" w:color="auto" w:fill="F2F5F8"/>
            <w:tcMar>
              <w:top w:w="140" w:type="dxa"/>
              <w:bottom w:w="140" w:type="dxa"/>
              <w:left w:w="200" w:type="dxa"/>
              <w:right w:w="200" w:type="dxa"/>
            </w:tcMar>
            <w:tcBorders>
              <w:left w:val="single" w:sz="24" w:space="0" w:color="1F4E79"/>
              <w:top w:val="none"/>
              <w:bottom w:val="none"/>
              <w:right w:val="none"/>
            </w:tcBorders>
          </w:tcPr>
          <w:p>
            <w:pPr>
              <w:spacing w:before="0" w:after="80" w:line="276" w:lineRule="auto"/>
            </w:pPr>
            <w:r>
              <w:rPr>
                <w:rFonts w:ascii="Calibri" w:hAnsi="Calibri"/>
                <w:b/>
                <w:color w:val="1F4E79"/>
                <w:sz w:val="22"/>
              </w:rPr>
              <w:t>Development Lifecycle Insight</w:t>
              <w:br/>
            </w:r>
            <w:r>
              <w:rPr>
                <w:rFonts w:ascii="Calibri" w:hAnsi="Calibri"/>
                <w:i/>
                <w:color w:val="333333"/>
                <w:sz w:val="21"/>
              </w:rPr>
              <w:t>Architectural Rule of Thumb: Use interpreters (or JIT-compiled dynamic engines) during early iterative rapid prototyping and frontend scripting, but enforce static, ahead-of-time (AOT) compilation for mission-critical, backend production pipelines.</w:t>
            </w:r>
          </w:p>
        </w:tc>
      </w:tr>
    </w:tbl>
    <w:p>
      <w:pPr>
        <w:keepNext/>
        <w:spacing w:before="320" w:after="120"/>
      </w:pPr>
      <w:r>
        <w:rPr>
          <w:rFonts w:ascii="Calibri" w:hAnsi="Calibri"/>
          <w:b/>
          <w:color w:val="1F4E79"/>
          <w:sz w:val="28"/>
        </w:rPr>
        <w:t>2. Programming Constructs for Dynamic Employee Salary Computation</w:t>
      </w:r>
    </w:p>
    <w:p>
      <w:pPr>
        <w:spacing w:after="120"/>
      </w:pPr>
      <w:r>
        <w:t>Designing an enterprise salary processor requiring distinct conditional computations (base pay, variable overtime, tiered tax brackets, performance bonuses) necessitates cascading a structured combination of fundamental control flows:</w:t>
      </w:r>
    </w:p>
    <w:p>
      <w:pPr>
        <w:spacing w:after="80"/>
        <w:ind w:left="360"/>
      </w:pPr>
      <w:r>
        <w:rPr>
          <w:b/>
        </w:rPr>
        <w:t xml:space="preserve">1. Sequential Execution Construct: </w:t>
      </w:r>
      <w:r>
        <w:t>Used to systematically establish initial tracking variables, aggregate raw logging hours, and ingest employee foundational master metadata values linearly.</w:t>
      </w:r>
    </w:p>
    <w:p>
      <w:pPr>
        <w:spacing w:after="80"/>
        <w:ind w:left="360"/>
      </w:pPr>
      <w:r>
        <w:rPr>
          <w:b/>
        </w:rPr>
        <w:t xml:space="preserve">2. Relational and Multi-Way Selection Constructs (if-else if-else): </w:t>
      </w:r>
      <w:r>
        <w:t>Crucial for managing mutually exclusive business parameters. For instance, computing progressive tax regulations requires mapping specific salary figures across precise, logical thresholds:</w:t>
      </w:r>
    </w:p>
    <w:p>
      <w:pPr>
        <w:spacing w:after="80"/>
        <w:ind w:left="720"/>
      </w:pPr>
      <w:r>
        <w:rPr>
          <w:rFonts w:ascii="Consolas" w:hAnsi="Consolas"/>
          <w:color w:val="006600"/>
          <w:sz w:val="19"/>
        </w:rPr>
        <w:t>if (grossSalary &gt; 100000) { taxRate = 0.30; }</w:t>
        <w:br/>
        <w:t>else if (grossSalary &gt; 50000) { taxRate = 0.20; }</w:t>
        <w:br/>
        <w:t>else { taxRate = 0.10; }</w:t>
      </w:r>
    </w:p>
    <w:p>
      <w:pPr>
        <w:spacing w:after="240"/>
        <w:ind w:left="360"/>
      </w:pPr>
      <w:r>
        <w:rPr>
          <w:b/>
        </w:rPr>
        <w:t xml:space="preserve">3. Iterative Loops (Bounded Repetition): </w:t>
      </w:r>
      <w:r>
        <w:t>Encloses the selection blocks inside a fixed 'for' loop or an iterator pattern to scale execution across an entire corporate ledger, ensuring individual logic handles thousands of distinct profiles seamlessly.</w:t>
      </w:r>
    </w:p>
    <w:p>
      <w:pPr>
        <w:keepNext/>
        <w:spacing w:before="320" w:after="120"/>
      </w:pPr>
      <w:r>
        <w:rPr>
          <w:rFonts w:ascii="Calibri" w:hAnsi="Calibri"/>
          <w:b/>
          <w:color w:val="1F4E79"/>
          <w:sz w:val="28"/>
        </w:rPr>
        <w:t>3. Loop Optimization Strategies for Menu-Driven Console Applications</w:t>
      </w:r>
    </w:p>
    <w:p>
      <w:pPr>
        <w:spacing w:after="120"/>
      </w:pPr>
      <w:r>
        <w:t>Menu-driven console interfaces require persistent runtime execution until an explicit terminal condition is met. Loops are infinitely preferred over recursive conditional functions (conditional repetition via jumping/recursion) for several critical reasons:</w:t>
      </w:r>
    </w:p>
    <w:p>
      <w:pPr>
        <w:spacing w:after="80"/>
        <w:ind w:left="360"/>
      </w:pPr>
      <w:r>
        <w:rPr>
          <w:b/>
        </w:rPr>
        <w:t xml:space="preserve">• Memory Footprint Optimization: </w:t>
      </w:r>
      <w:r>
        <w:t>Enforcing repetition through iterative structures reuses a constant stack allocation frame. Implementing conditional repetition via self-calling conditional functions (recursion) forces a new stack allocation frame block for every menu selection cycle, inevitably triggering a critical stack overflow crash during extended usage sessions.</w:t>
      </w:r>
    </w:p>
    <w:p>
      <w:pPr>
        <w:spacing w:after="120"/>
        <w:ind w:left="360"/>
      </w:pPr>
      <w:r>
        <w:rPr>
          <w:b/>
        </w:rPr>
        <w:t xml:space="preserve">• Architectural Selection: </w:t>
      </w:r>
      <w:r>
        <w:t xml:space="preserve">The ideal construct for this scenario is a </w:t>
      </w:r>
      <w:r>
        <w:rPr>
          <w:b/>
        </w:rPr>
        <w:t>do-while loop</w:t>
      </w:r>
      <w:r>
        <w:t xml:space="preserve">. This loop structure natively guarantees that the statement block executes </w:t>
      </w:r>
      <w:r>
        <w:rPr>
          <w:i/>
        </w:rPr>
        <w:t>at least once</w:t>
      </w:r>
      <w:r>
        <w:t xml:space="preserve"> before evaluating the exit criteria condition. This aligns perfectly with menu UI logic, where the console must display choices to the user before assessing if they selected the exit parameter.</w:t>
      </w:r>
    </w:p>
    <w:p>
      <w:pPr>
        <w:keepNext/>
        <w:spacing w:before="320" w:after="120"/>
      </w:pPr>
      <w:r>
        <w:rPr>
          <w:rFonts w:ascii="Calibri" w:hAnsi="Calibri"/>
          <w:b/>
          <w:color w:val="1F4E79"/>
          <w:sz w:val="28"/>
        </w:rPr>
        <w:t>4. Precision Data Type Miscalculations in Mathematical Averages</w:t>
      </w:r>
    </w:p>
    <w:p>
      <w:pPr>
        <w:spacing w:after="120"/>
      </w:pPr>
      <w:r>
        <w:t>The student's issue stems from a classic logical error known as Integer Division truncation. When dividing two integer primitives in many languages (like C, C++, or Java), the runtime drops the decimal fraction to keep the value an integer, even if assigned to a floating-point target variable afterwards.</w:t>
      </w:r>
    </w:p>
    <w:p>
      <w:pPr>
        <w:spacing w:after="120"/>
        <w:ind w:left="360"/>
      </w:pPr>
      <w:r>
        <w:rPr>
          <w:b/>
        </w:rPr>
        <w:t>Example Scenario Breakdown:</w:t>
        <w:br/>
      </w:r>
      <w:r>
        <w:t xml:space="preserve">Given three integer parameters (Marks = 85, 90, 82; Sum = 257). Dividing by 3 yields a mathematical value of 85.6667. However, the expression </w:t>
      </w:r>
      <w:r>
        <w:rPr>
          <w:rFonts w:ascii="Consolas" w:hAnsi="Consolas"/>
        </w:rPr>
        <w:t>257 / 3</w:t>
      </w:r>
      <w:r>
        <w:t xml:space="preserve"> evaluates strictly to </w:t>
      </w:r>
      <w:r>
        <w:rPr>
          <w:b/>
        </w:rPr>
        <w:t>85</w:t>
      </w:r>
      <w:r>
        <w:t>, truncating the highly vital fractional data component.</w:t>
      </w:r>
    </w:p>
    <w:p>
      <w:pPr>
        <w:spacing w:after="120"/>
      </w:pPr>
      <w:r>
        <w:rPr>
          <w:b/>
        </w:rPr>
        <w:t xml:space="preserve">Resolution Strategy: </w:t>
      </w:r>
      <w:r>
        <w:t xml:space="preserve">To fix this, declare the cumulative tracking variables or count constraints using floating-point types (like </w:t>
      </w:r>
      <w:r>
        <w:rPr>
          <w:rFonts w:ascii="Consolas" w:hAnsi="Consolas"/>
        </w:rPr>
        <w:t>double</w:t>
      </w:r>
      <w:r>
        <w:t xml:space="preserve"> or </w:t>
      </w:r>
      <w:r>
        <w:rPr>
          <w:rFonts w:ascii="Consolas" w:hAnsi="Consolas"/>
        </w:rPr>
        <w:t>float</w:t>
      </w:r>
      <w:r>
        <w:t>), or use an explicit type cast during evaluation:</w:t>
      </w:r>
    </w:p>
    <w:p>
      <w:pPr>
        <w:spacing w:after="240"/>
        <w:ind w:left="720"/>
      </w:pPr>
      <w:r>
        <w:rPr>
          <w:rFonts w:ascii="Consolas" w:hAnsi="Consolas"/>
          <w:color w:val="006600"/>
          <w:sz w:val="19"/>
        </w:rPr>
        <w:t>double average = static_cast&lt;double&gt;(totalSum) / count;</w:t>
      </w:r>
    </w:p>
    <w:p>
      <w:pPr>
        <w:keepNext/>
        <w:spacing w:before="320" w:after="120"/>
      </w:pPr>
      <w:r>
        <w:rPr>
          <w:rFonts w:ascii="Calibri" w:hAnsi="Calibri"/>
          <w:b/>
          <w:color w:val="1F4E79"/>
          <w:sz w:val="28"/>
        </w:rPr>
        <w:t>5. Runtime Exception Mitigation and Modern Debugging Standards</w:t>
      </w:r>
    </w:p>
    <w:p>
      <w:pPr>
        <w:spacing w:after="120"/>
      </w:pPr>
      <w:r>
        <w:t>An anomaly where an executable builds successfully but fails catastrophically during operation is classified as a Runtime Error (or Exception). Common triggers include out-of-bounds memory access, null pointer dereferences, or unexpected divisions by zero.</w:t>
      </w:r>
    </w:p>
    <w:p>
      <w:pPr>
        <w:spacing w:after="120"/>
      </w:pPr>
      <w:r>
        <w:rPr>
          <w:b/>
        </w:rPr>
        <w:t>Industry Standard Resolution Practices:</w:t>
      </w:r>
    </w:p>
    <w:p>
      <w:pPr>
        <w:spacing w:after="80"/>
        <w:ind w:left="360"/>
      </w:pPr>
      <w:r>
        <w:rPr>
          <w:b/>
        </w:rPr>
        <w:t xml:space="preserve">1. Interactive Breakpoint Analysis via IDE Debugger: </w:t>
      </w:r>
      <w:r>
        <w:t>Step line-by-line through the codebase during active execution. This lets developers inspect local memory registers, variable allocations, and variable states right before the crash occurs, isolating the exact point of failure.</w:t>
      </w:r>
    </w:p>
    <w:p>
      <w:pPr>
        <w:spacing w:after="240"/>
        <w:ind w:left="360"/>
      </w:pPr>
      <w:r>
        <w:rPr>
          <w:b/>
        </w:rPr>
        <w:t xml:space="preserve">2. Strategic Insertion of Defensive Guard Clauses: </w:t>
      </w:r>
      <w:r>
        <w:t>Enforce conditional assertions and automated data-input validation protocols to proactively catch corrupt inputs before processing begins:</w:t>
      </w:r>
    </w:p>
    <w:p>
      <w:pPr>
        <w:spacing w:after="240"/>
        <w:ind w:left="720"/>
      </w:pPr>
      <w:r>
        <w:rPr>
          <w:rFonts w:ascii="Consolas" w:hAnsi="Consolas"/>
          <w:color w:val="006600"/>
          <w:sz w:val="19"/>
        </w:rPr>
        <w:t>if (denominator == 0) { throw std::invalid_argument("Division by zero prevented"); }</w:t>
      </w:r>
    </w:p>
    <w:p>
      <w:pPr>
        <w:keepNext/>
        <w:spacing w:before="320" w:after="120"/>
      </w:pPr>
      <w:r>
        <w:rPr>
          <w:rFonts w:ascii="Calibri" w:hAnsi="Calibri"/>
          <w:b/>
          <w:color w:val="1F4E79"/>
          <w:sz w:val="28"/>
        </w:rPr>
        <w:t>6. Structural Encapsulation (Structures) vs. Parallel Primitive Arrays</w:t>
      </w:r>
    </w:p>
    <w:p>
      <w:pPr>
        <w:spacing w:after="120"/>
      </w:pPr>
      <w:r>
        <w:t>When managing multi-attribute composite profiles (such as student metrics combining string names, floating-point marks, and single-character grades), using a custom Record Structure (struct) is far superior to maintaining separate, parallel arrays for several reasons:</w:t>
      </w:r>
    </w:p>
    <w:p>
      <w:pPr>
        <w:spacing w:after="80"/>
        <w:ind w:left="360"/>
      </w:pPr>
      <w:r>
        <w:rPr>
          <w:b/>
        </w:rPr>
        <w:t xml:space="preserve">• Conceptual Cohesion &amp; Conceptual Integrity: </w:t>
      </w:r>
      <w:r>
        <w:t>A structure creates a cohesive user-defined data type that treats related data fields as a single logical entity. Parallel arrays keep fields completely detached, forcing developers to manually sync up matching elements across multiple distinct structures via matching indices.</w:t>
      </w:r>
    </w:p>
    <w:p>
      <w:pPr>
        <w:spacing w:after="80"/>
        <w:ind w:left="360"/>
      </w:pPr>
      <w:r>
        <w:rPr>
          <w:b/>
        </w:rPr>
        <w:t xml:space="preserve">• Maintenance and Operational Stability: </w:t>
      </w:r>
      <w:r>
        <w:t>Operations like sorting, filtering, or deleting records are highly error-prone with parallel arrays. For example, sorting names without simultaneously and perfectly mirroring those changes across the marks and grades arrays corrupts the entire dataset. In contrast, sorting an array of structures safely shifts the entire encapsulated record as a single unit, guaranteeing total data integrity.</w:t>
      </w:r>
    </w:p>
    <w:p>
      <w:pPr>
        <w:spacing w:after="240"/>
        <w:ind w:left="360"/>
      </w:pPr>
      <w:r>
        <w:rPr>
          <w:b/>
        </w:rPr>
        <w:t xml:space="preserve">• Data Locality &amp; Cache Efficiency: </w:t>
      </w:r>
      <w:r>
        <w:t>Grouping related items together in memory inside a structure significantly improves hardware cache performance. When the CPU loads a student record, it pulls all associated attributes into high-speed cache memory at once, avoiding the staggered, fragmented memory lookups required by parallel arrays.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