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Domain Shortlist: REDDAR, Climato, Post Swap</w:t>
      </w:r>
    </w:p>
    <w:p>
      <w:pPr>
        <w:spacing w:after="140"/>
      </w:pPr>
      <w:r>
        <w:rPr>
          <w:i/>
          <w:iCs/>
          <w:sz w:val="20"/>
          <w:szCs w:val="20"/>
        </w:rPr>
        <w:t xml:space="preserve">Cloudflare Registrar, TLD choice, naming pattern, and verified availability</w:t>
      </w:r>
    </w:p>
    <w:p>
      <w:pPr>
        <w:spacing w:after="140"/>
      </w:pPr>
      <w:r>
        <w:rPr>
          <w:i/>
          <w:iCs/>
          <w:sz w:val="20"/>
          <w:szCs w:val="20"/>
        </w:rPr>
        <w:t xml:space="preserve">Date: July 23, 2026    Prepared for: Ayana, Faircode</w:t>
      </w:r>
    </w:p>
    <w:p>
      <w:pPr>
        <w:pStyle w:val="Heading1"/>
        <w:spacing w:after="140" w:before="280"/>
      </w:pPr>
      <w:r>
        <w:t xml:space="preserve">Registrar: Cloudflare, and the .in Problem</w:t>
      </w:r>
    </w:p>
    <w:p>
      <w:pPr>
        <w:spacing w:after="140"/>
      </w:pPr>
      <w:r>
        <w:t xml:space="preserve">Cloudflare Registrar sells at cost with no markup, and every domain gets Cloudflare's CDN and DDoS protection by default, so it is a reasonable choice for all three landing pages. One fact changes the TLD decision though: Cloudflare Registrar does not sell .in domains. Its supported-TLD list (confirmed directly against Cloudflare's own TLD policy page) includes .com (Verisign registry) and .app (Google registry), both with dedicated Cloudflare purchase pages, but .in does not appear on that list at all. If Cloudflare is the registrar, .in is not an option regardless of how it ranks otherwise, the real choice is between .com and .app.</w:t>
      </w:r>
    </w:p>
    <w:p>
      <w:pPr>
        <w:pStyle w:val="Heading1"/>
        <w:spacing w:after="140" w:before="280"/>
      </w:pPr>
      <w:r>
        <w:t xml:space="preserve">Why .com Is Off the Table Here</w:t>
      </w:r>
    </w:p>
    <w:p>
      <w:pPr>
        <w:spacing w:after="140"/>
      </w:pPr>
      <w:r>
        <w:t xml:space="preserve">The exact-match .com for all three names is already owned by someone else and sitting on the resale market: reddar.com is listed at $1,995, climato.com is held by a broker, postswap.com is listed at $1,088. None of these are available at normal registration price, buying any of them means paying a private seller, not Cloudflare, and at 70 to 140 times normal renewal cost. That rules out plain-name .com for all three.</w:t>
      </w:r>
    </w:p>
    <w:p>
      <w:pPr>
        <w:pStyle w:val="Heading1"/>
        <w:spacing w:after="140" w:before="280"/>
      </w:pPr>
      <w:r>
        <w:t xml:space="preserve">Recommended TLD: .app</w:t>
      </w:r>
    </w:p>
    <w:p>
      <w:pPr>
        <w:spacing w:after="140"/>
      </w:pPr>
      <w:r>
        <w:t xml:space="preserve">.app is available at the exact name for two of three (reddar.app, postswap.app) and only blocked for climato.app. It is Google-owned and forces HTTPS by design (built-in HSTS preload, no insecure version is even possible), which lines up directly with the CDN and security reasoning already behind choosing Cloudflare. It also plainly signals "this is an app," which fits all three products being App Store and Play Store listings with a promotional landing page, better than a generic .com would.</w:t>
      </w:r>
    </w:p>
    <w:p>
      <w:pPr>
        <w:pStyle w:val="Heading1"/>
        <w:spacing w:after="140" w:before="280"/>
      </w:pPr>
      <w:r>
        <w:t xml:space="preserve">Verified Availability</w:t>
      </w:r>
    </w:p>
    <w:p>
      <w:pPr>
        <w:pStyle w:val="Heading2"/>
        <w:spacing w:after="100" w:before="200"/>
      </w:pPr>
      <w:r>
        <w:t xml:space="preserve">REDDAR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3200"/>
      </w:tblGrid>
      <w:tr>
        <w:trPr>
          <w:tblHeader/>
        </w:trPr>
        <w:tc>
          <w:tcPr>
            <w:tcW w:type="dxa" w:w="2600"/>
            <w:shd w:fill="111111" w:color="auto" w:val="clear"/>
            <w:tcMar>
              <w:top w:type="dxa" w:w="80"/>
              <w:left w:type="dxa" w:w="100"/>
              <w:bottom w:type="dxa" w:w="80"/>
              <w:right w:type="dxa" w:w="100"/>
            </w:tcMar>
            <w:vAlign w:val="center"/>
          </w:tcPr>
          <w:p>
            <w:r>
              <w:rPr>
                <w:b/>
                <w:bCs/>
                <w:color w:val="FFFFFF"/>
                <w:sz w:val="20"/>
                <w:szCs w:val="20"/>
              </w:rPr>
              <w:t xml:space="preserve">Domain</w:t>
            </w:r>
          </w:p>
        </w:tc>
        <w:tc>
          <w:tcPr>
            <w:tcW w:type="dxa" w:w="1600"/>
            <w:shd w:fill="111111" w:color="auto" w:val="clear"/>
            <w:tcMar>
              <w:top w:type="dxa" w:w="80"/>
              <w:left w:type="dxa" w:w="100"/>
              <w:bottom w:type="dxa" w:w="80"/>
              <w:right w:type="dxa" w:w="100"/>
            </w:tcMar>
            <w:vAlign w:val="center"/>
          </w:tcPr>
          <w:p>
            <w:r>
              <w:rPr>
                <w:b/>
                <w:bCs/>
                <w:color w:val="FFFFFF"/>
                <w:sz w:val="20"/>
                <w:szCs w:val="20"/>
              </w:rPr>
              <w:t xml:space="preserve">Status</w:t>
            </w:r>
          </w:p>
        </w:tc>
        <w:tc>
          <w:tcPr>
            <w:tcW w:type="dxa" w:w="2400"/>
            <w:shd w:fill="111111" w:color="auto" w:val="clear"/>
            <w:tcMar>
              <w:top w:type="dxa" w:w="80"/>
              <w:left w:type="dxa" w:w="100"/>
              <w:bottom w:type="dxa" w:w="80"/>
              <w:right w:type="dxa" w:w="100"/>
            </w:tcMar>
            <w:vAlign w:val="center"/>
          </w:tcPr>
          <w:p>
            <w:r>
              <w:rPr>
                <w:b/>
                <w:bCs/>
                <w:color w:val="FFFFFF"/>
                <w:sz w:val="20"/>
                <w:szCs w:val="20"/>
              </w:rPr>
              <w:t xml:space="preserve">Detail</w:t>
            </w:r>
          </w:p>
        </w:tc>
        <w:tc>
          <w:tcPr>
            <w:tcW w:type="dxa" w:w="3200"/>
            <w:shd w:fill="111111" w:color="auto" w:val="clear"/>
            <w:tcMar>
              <w:top w:type="dxa" w:w="80"/>
              <w:left w:type="dxa" w:w="100"/>
              <w:bottom w:type="dxa" w:w="80"/>
              <w:right w:type="dxa" w:w="100"/>
            </w:tcMar>
            <w:vAlign w:val="center"/>
          </w:tcPr>
          <w:p>
            <w:r>
              <w:rPr>
                <w:b/>
                <w:bCs/>
                <w:color w:val="FFFFFF"/>
                <w:sz w:val="20"/>
                <w:szCs w:val="20"/>
              </w:rPr>
              <w:t xml:space="preserve">Notes</w:t>
            </w:r>
          </w:p>
        </w:tc>
      </w:tr>
      <w:tr>
        <w:tc>
          <w:tcPr>
            <w:tcW w:type="dxa" w:w="2600"/>
            <w:tcMar>
              <w:top w:type="dxa" w:w="80"/>
              <w:left w:type="dxa" w:w="100"/>
              <w:bottom w:type="dxa" w:w="80"/>
              <w:right w:type="dxa" w:w="100"/>
            </w:tcMar>
            <w:vAlign w:val="center"/>
          </w:tcPr>
          <w:p>
            <w:r>
              <w:rPr>
                <w:b/>
                <w:bCs/>
              </w:rPr>
              <w:t xml:space="preserve">reddar.com</w:t>
            </w:r>
          </w:p>
        </w:tc>
        <w:tc>
          <w:tcPr>
            <w:tcW w:type="dxa" w:w="1600"/>
            <w:tcMar>
              <w:top w:type="dxa" w:w="80"/>
              <w:left w:type="dxa" w:w="100"/>
              <w:bottom w:type="dxa" w:w="80"/>
              <w:right w:type="dxa" w:w="100"/>
            </w:tcMar>
            <w:vAlign w:val="center"/>
          </w:tcPr>
          <w:p>
            <w:r>
              <w:rPr>
                <w:b/>
                <w:bCs/>
                <w:color w:val="B3261E"/>
              </w:rPr>
              <w:t xml:space="preserve">Taken</w:t>
            </w:r>
          </w:p>
        </w:tc>
        <w:tc>
          <w:tcPr>
            <w:tcW w:type="dxa" w:w="2400"/>
            <w:tcMar>
              <w:top w:type="dxa" w:w="80"/>
              <w:left w:type="dxa" w:w="100"/>
              <w:bottom w:type="dxa" w:w="80"/>
              <w:right w:type="dxa" w:w="100"/>
            </w:tcMar>
            <w:vAlign w:val="center"/>
          </w:tcPr>
          <w:p>
            <w:r>
              <w:rPr>
                <w:sz w:val="19"/>
                <w:szCs w:val="19"/>
              </w:rPr>
              <w:t xml:space="preserve">Aftermarket, listed $1,995</w:t>
            </w:r>
          </w:p>
        </w:tc>
        <w:tc>
          <w:tcPr>
            <w:tcW w:type="dxa" w:w="3200"/>
            <w:tcMar>
              <w:top w:type="dxa" w:w="80"/>
              <w:left w:type="dxa" w:w="100"/>
              <w:bottom w:type="dxa" w:w="80"/>
              <w:right w:type="dxa" w:w="100"/>
            </w:tcMar>
            <w:vAlign w:val="center"/>
          </w:tcPr>
          <w:p>
            <w:r>
              <w:rPr>
                <w:sz w:val="19"/>
                <w:szCs w:val="19"/>
              </w:rPr>
              <w:t xml:space="preserve">Owned by a third party, would need to be bought on the resale market, not registered fresh.</w:t>
            </w:r>
          </w:p>
        </w:tc>
      </w:tr>
      <w:tr>
        <w:tc>
          <w:tcPr>
            <w:tcW w:type="dxa" w:w="2600"/>
            <w:tcMar>
              <w:top w:type="dxa" w:w="80"/>
              <w:left w:type="dxa" w:w="100"/>
              <w:bottom w:type="dxa" w:w="80"/>
              <w:right w:type="dxa" w:w="100"/>
            </w:tcMar>
            <w:vAlign w:val="center"/>
          </w:tcPr>
          <w:p>
            <w:r>
              <w:rPr>
                <w:b/>
                <w:bCs/>
              </w:rPr>
              <w:t xml:space="preserve">reddar.app</w:t>
            </w:r>
          </w:p>
        </w:tc>
        <w:tc>
          <w:tcPr>
            <w:tcW w:type="dxa" w:w="1600"/>
            <w:tcMar>
              <w:top w:type="dxa" w:w="80"/>
              <w:left w:type="dxa" w:w="100"/>
              <w:bottom w:type="dxa" w:w="80"/>
              <w:right w:type="dxa" w:w="100"/>
            </w:tcMar>
            <w:vAlign w:val="center"/>
          </w:tcPr>
          <w:p>
            <w:r>
              <w:rPr>
                <w:b/>
                <w:bCs/>
                <w:color w:val="1F7A3D"/>
              </w:rPr>
              <w:t xml:space="preserve">Available</w:t>
            </w:r>
          </w:p>
        </w:tc>
        <w:tc>
          <w:tcPr>
            <w:tcW w:type="dxa" w:w="2400"/>
            <w:tcMar>
              <w:top w:type="dxa" w:w="80"/>
              <w:left w:type="dxa" w:w="100"/>
              <w:bottom w:type="dxa" w:w="80"/>
              <w:right w:type="dxa" w:w="100"/>
            </w:tcMar>
            <w:vAlign w:val="center"/>
          </w:tcPr>
          <w:p>
            <w:r>
              <w:rPr>
                <w:sz w:val="19"/>
                <w:szCs w:val="19"/>
              </w:rPr>
              <w:t xml:space="preserve">Open for registration</w:t>
            </w:r>
          </w:p>
        </w:tc>
        <w:tc>
          <w:tcPr>
            <w:tcW w:type="dxa" w:w="3200"/>
            <w:tcMar>
              <w:top w:type="dxa" w:w="80"/>
              <w:left w:type="dxa" w:w="100"/>
              <w:bottom w:type="dxa" w:w="80"/>
              <w:right w:type="dxa" w:w="100"/>
            </w:tcMar>
            <w:vAlign w:val="center"/>
          </w:tcPr>
          <w:p>
            <w:r>
              <w:rPr>
                <w:sz w:val="19"/>
                <w:szCs w:val="19"/>
              </w:rPr>
              <w:t xml:space="preserve">Exact match, shortest option.</w:t>
            </w:r>
          </w:p>
        </w:tc>
      </w:tr>
      <w:tr>
        <w:tc>
          <w:tcPr>
            <w:tcW w:type="dxa" w:w="2600"/>
            <w:tcMar>
              <w:top w:type="dxa" w:w="80"/>
              <w:left w:type="dxa" w:w="100"/>
              <w:bottom w:type="dxa" w:w="80"/>
              <w:right w:type="dxa" w:w="100"/>
            </w:tcMar>
            <w:vAlign w:val="center"/>
          </w:tcPr>
          <w:p>
            <w:r>
              <w:rPr>
                <w:b/>
                <w:bCs/>
              </w:rPr>
              <w:t xml:space="preserve">getreddar.com</w:t>
            </w:r>
          </w:p>
        </w:tc>
        <w:tc>
          <w:tcPr>
            <w:tcW w:type="dxa" w:w="1600"/>
            <w:tcMar>
              <w:top w:type="dxa" w:w="80"/>
              <w:left w:type="dxa" w:w="100"/>
              <w:bottom w:type="dxa" w:w="80"/>
              <w:right w:type="dxa" w:w="100"/>
            </w:tcMar>
            <w:vAlign w:val="center"/>
          </w:tcPr>
          <w:p>
            <w:r>
              <w:rPr>
                <w:b/>
                <w:bCs/>
                <w:color w:val="1F7A3D"/>
              </w:rPr>
              <w:t xml:space="preserve">Available</w:t>
            </w:r>
          </w:p>
        </w:tc>
        <w:tc>
          <w:tcPr>
            <w:tcW w:type="dxa" w:w="2400"/>
            <w:tcMar>
              <w:top w:type="dxa" w:w="80"/>
              <w:left w:type="dxa" w:w="100"/>
              <w:bottom w:type="dxa" w:w="80"/>
              <w:right w:type="dxa" w:w="100"/>
            </w:tcMar>
            <w:vAlign w:val="center"/>
          </w:tcPr>
          <w:p>
            <w:r>
              <w:rPr>
                <w:sz w:val="19"/>
                <w:szCs w:val="19"/>
              </w:rPr>
              <w:t xml:space="preserve">Open for registration</w:t>
            </w:r>
          </w:p>
        </w:tc>
        <w:tc>
          <w:tcPr>
            <w:tcW w:type="dxa" w:w="3200"/>
            <w:tcMar>
              <w:top w:type="dxa" w:w="80"/>
              <w:left w:type="dxa" w:w="100"/>
              <w:bottom w:type="dxa" w:w="80"/>
              <w:right w:type="dxa" w:w="100"/>
            </w:tcMar>
            <w:vAlign w:val="center"/>
          </w:tcPr>
          <w:p>
            <w:r>
              <w:rPr>
                <w:sz w:val="19"/>
                <w:szCs w:val="19"/>
              </w:rPr>
              <w:t xml:space="preserve"/>
            </w:r>
          </w:p>
        </w:tc>
      </w:tr>
      <w:tr>
        <w:tc>
          <w:tcPr>
            <w:tcW w:type="dxa" w:w="2600"/>
            <w:tcMar>
              <w:top w:type="dxa" w:w="80"/>
              <w:left w:type="dxa" w:w="100"/>
              <w:bottom w:type="dxa" w:w="80"/>
              <w:right w:type="dxa" w:w="100"/>
            </w:tcMar>
            <w:vAlign w:val="center"/>
          </w:tcPr>
          <w:p>
            <w:r>
              <w:rPr>
                <w:b/>
                <w:bCs/>
              </w:rPr>
              <w:t xml:space="preserve">getreddar.app</w:t>
            </w:r>
          </w:p>
        </w:tc>
        <w:tc>
          <w:tcPr>
            <w:tcW w:type="dxa" w:w="1600"/>
            <w:tcMar>
              <w:top w:type="dxa" w:w="80"/>
              <w:left w:type="dxa" w:w="100"/>
              <w:bottom w:type="dxa" w:w="80"/>
              <w:right w:type="dxa" w:w="100"/>
            </w:tcMar>
            <w:vAlign w:val="center"/>
          </w:tcPr>
          <w:p>
            <w:r>
              <w:rPr>
                <w:b/>
                <w:bCs/>
                <w:color w:val="1F7A3D"/>
              </w:rPr>
              <w:t xml:space="preserve">Available</w:t>
            </w:r>
          </w:p>
        </w:tc>
        <w:tc>
          <w:tcPr>
            <w:tcW w:type="dxa" w:w="2400"/>
            <w:tcMar>
              <w:top w:type="dxa" w:w="80"/>
              <w:left w:type="dxa" w:w="100"/>
              <w:bottom w:type="dxa" w:w="80"/>
              <w:right w:type="dxa" w:w="100"/>
            </w:tcMar>
            <w:vAlign w:val="center"/>
          </w:tcPr>
          <w:p>
            <w:r>
              <w:rPr>
                <w:sz w:val="19"/>
                <w:szCs w:val="19"/>
              </w:rPr>
              <w:t xml:space="preserve">Open for registration</w:t>
            </w:r>
          </w:p>
        </w:tc>
        <w:tc>
          <w:tcPr>
            <w:tcW w:type="dxa" w:w="3200"/>
            <w:tcMar>
              <w:top w:type="dxa" w:w="80"/>
              <w:left w:type="dxa" w:w="100"/>
              <w:bottom w:type="dxa" w:w="80"/>
              <w:right w:type="dxa" w:w="100"/>
            </w:tcMar>
            <w:vAlign w:val="center"/>
          </w:tcPr>
          <w:p>
            <w:r>
              <w:rPr>
                <w:sz w:val="19"/>
                <w:szCs w:val="19"/>
              </w:rPr>
              <w:t xml:space="preserve">Recommended pick, see below.</w:t>
            </w:r>
          </w:p>
        </w:tc>
      </w:tr>
      <w:tr>
        <w:tc>
          <w:tcPr>
            <w:tcW w:type="dxa" w:w="2600"/>
            <w:tcMar>
              <w:top w:type="dxa" w:w="80"/>
              <w:left w:type="dxa" w:w="100"/>
              <w:bottom w:type="dxa" w:w="80"/>
              <w:right w:type="dxa" w:w="100"/>
            </w:tcMar>
            <w:vAlign w:val="center"/>
          </w:tcPr>
          <w:p>
            <w:r>
              <w:rPr>
                <w:b/>
                <w:bCs/>
              </w:rPr>
              <w:t xml:space="preserve">usereddar.app</w:t>
            </w:r>
          </w:p>
        </w:tc>
        <w:tc>
          <w:tcPr>
            <w:tcW w:type="dxa" w:w="1600"/>
            <w:tcMar>
              <w:top w:type="dxa" w:w="80"/>
              <w:left w:type="dxa" w:w="100"/>
              <w:bottom w:type="dxa" w:w="80"/>
              <w:right w:type="dxa" w:w="100"/>
            </w:tcMar>
            <w:vAlign w:val="center"/>
          </w:tcPr>
          <w:p>
            <w:r>
              <w:rPr>
                <w:b/>
                <w:bCs/>
                <w:color w:val="1F7A3D"/>
              </w:rPr>
              <w:t xml:space="preserve">Available</w:t>
            </w:r>
          </w:p>
        </w:tc>
        <w:tc>
          <w:tcPr>
            <w:tcW w:type="dxa" w:w="2400"/>
            <w:tcMar>
              <w:top w:type="dxa" w:w="80"/>
              <w:left w:type="dxa" w:w="100"/>
              <w:bottom w:type="dxa" w:w="80"/>
              <w:right w:type="dxa" w:w="100"/>
            </w:tcMar>
            <w:vAlign w:val="center"/>
          </w:tcPr>
          <w:p>
            <w:r>
              <w:rPr>
                <w:sz w:val="19"/>
                <w:szCs w:val="19"/>
              </w:rPr>
              <w:t xml:space="preserve">Open for registration</w:t>
            </w:r>
          </w:p>
        </w:tc>
        <w:tc>
          <w:tcPr>
            <w:tcW w:type="dxa" w:w="3200"/>
            <w:tcMar>
              <w:top w:type="dxa" w:w="80"/>
              <w:left w:type="dxa" w:w="100"/>
              <w:bottom w:type="dxa" w:w="80"/>
              <w:right w:type="dxa" w:w="100"/>
            </w:tcMar>
            <w:vAlign w:val="center"/>
          </w:tcPr>
          <w:p>
            <w:r>
              <w:rPr>
                <w:sz w:val="19"/>
                <w:szCs w:val="19"/>
              </w:rPr>
              <w:t xml:space="preserve"/>
            </w:r>
          </w:p>
        </w:tc>
      </w:tr>
    </w:tbl>
    <w:p>
      <w:pPr>
        <w:pStyle w:val="Heading2"/>
        <w:spacing w:after="100" w:before="200"/>
      </w:pPr>
      <w:r>
        <w:t xml:space="preserve">Climato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3200"/>
      </w:tblGrid>
      <w:tr>
        <w:trPr>
          <w:tblHeader/>
        </w:trPr>
        <w:tc>
          <w:tcPr>
            <w:tcW w:type="dxa" w:w="2600"/>
            <w:shd w:fill="111111" w:color="auto" w:val="clear"/>
            <w:tcMar>
              <w:top w:type="dxa" w:w="80"/>
              <w:left w:type="dxa" w:w="100"/>
              <w:bottom w:type="dxa" w:w="80"/>
              <w:right w:type="dxa" w:w="100"/>
            </w:tcMar>
            <w:vAlign w:val="center"/>
          </w:tcPr>
          <w:p>
            <w:r>
              <w:rPr>
                <w:b/>
                <w:bCs/>
                <w:color w:val="FFFFFF"/>
                <w:sz w:val="20"/>
                <w:szCs w:val="20"/>
              </w:rPr>
              <w:t xml:space="preserve">Domain</w:t>
            </w:r>
          </w:p>
        </w:tc>
        <w:tc>
          <w:tcPr>
            <w:tcW w:type="dxa" w:w="1600"/>
            <w:shd w:fill="111111" w:color="auto" w:val="clear"/>
            <w:tcMar>
              <w:top w:type="dxa" w:w="80"/>
              <w:left w:type="dxa" w:w="100"/>
              <w:bottom w:type="dxa" w:w="80"/>
              <w:right w:type="dxa" w:w="100"/>
            </w:tcMar>
            <w:vAlign w:val="center"/>
          </w:tcPr>
          <w:p>
            <w:r>
              <w:rPr>
                <w:b/>
                <w:bCs/>
                <w:color w:val="FFFFFF"/>
                <w:sz w:val="20"/>
                <w:szCs w:val="20"/>
              </w:rPr>
              <w:t xml:space="preserve">Status</w:t>
            </w:r>
          </w:p>
        </w:tc>
        <w:tc>
          <w:tcPr>
            <w:tcW w:type="dxa" w:w="2400"/>
            <w:shd w:fill="111111" w:color="auto" w:val="clear"/>
            <w:tcMar>
              <w:top w:type="dxa" w:w="80"/>
              <w:left w:type="dxa" w:w="100"/>
              <w:bottom w:type="dxa" w:w="80"/>
              <w:right w:type="dxa" w:w="100"/>
            </w:tcMar>
            <w:vAlign w:val="center"/>
          </w:tcPr>
          <w:p>
            <w:r>
              <w:rPr>
                <w:b/>
                <w:bCs/>
                <w:color w:val="FFFFFF"/>
                <w:sz w:val="20"/>
                <w:szCs w:val="20"/>
              </w:rPr>
              <w:t xml:space="preserve">Detail</w:t>
            </w:r>
          </w:p>
        </w:tc>
        <w:tc>
          <w:tcPr>
            <w:tcW w:type="dxa" w:w="3200"/>
            <w:shd w:fill="111111" w:color="auto" w:val="clear"/>
            <w:tcMar>
              <w:top w:type="dxa" w:w="80"/>
              <w:left w:type="dxa" w:w="100"/>
              <w:bottom w:type="dxa" w:w="80"/>
              <w:right w:type="dxa" w:w="100"/>
            </w:tcMar>
            <w:vAlign w:val="center"/>
          </w:tcPr>
          <w:p>
            <w:r>
              <w:rPr>
                <w:b/>
                <w:bCs/>
                <w:color w:val="FFFFFF"/>
                <w:sz w:val="20"/>
                <w:szCs w:val="20"/>
              </w:rPr>
              <w:t xml:space="preserve">Notes</w:t>
            </w:r>
          </w:p>
        </w:tc>
      </w:tr>
      <w:tr>
        <w:tc>
          <w:tcPr>
            <w:tcW w:type="dxa" w:w="2600"/>
            <w:tcMar>
              <w:top w:type="dxa" w:w="80"/>
              <w:left w:type="dxa" w:w="100"/>
              <w:bottom w:type="dxa" w:w="80"/>
              <w:right w:type="dxa" w:w="100"/>
            </w:tcMar>
            <w:vAlign w:val="center"/>
          </w:tcPr>
          <w:p>
            <w:r>
              <w:rPr>
                <w:b/>
                <w:bCs/>
              </w:rPr>
              <w:t xml:space="preserve">climato.com</w:t>
            </w:r>
          </w:p>
        </w:tc>
        <w:tc>
          <w:tcPr>
            <w:tcW w:type="dxa" w:w="1600"/>
            <w:tcMar>
              <w:top w:type="dxa" w:w="80"/>
              <w:left w:type="dxa" w:w="100"/>
              <w:bottom w:type="dxa" w:w="80"/>
              <w:right w:type="dxa" w:w="100"/>
            </w:tcMar>
            <w:vAlign w:val="center"/>
          </w:tcPr>
          <w:p>
            <w:r>
              <w:rPr>
                <w:b/>
                <w:bCs/>
                <w:color w:val="B3261E"/>
              </w:rPr>
              <w:t xml:space="preserve">Taken</w:t>
            </w:r>
          </w:p>
        </w:tc>
        <w:tc>
          <w:tcPr>
            <w:tcW w:type="dxa" w:w="2400"/>
            <w:tcMar>
              <w:top w:type="dxa" w:w="80"/>
              <w:left w:type="dxa" w:w="100"/>
              <w:bottom w:type="dxa" w:w="80"/>
              <w:right w:type="dxa" w:w="100"/>
            </w:tcMar>
            <w:vAlign w:val="center"/>
          </w:tcPr>
          <w:p>
            <w:r>
              <w:rPr>
                <w:sz w:val="19"/>
                <w:szCs w:val="19"/>
              </w:rPr>
              <w:t xml:space="preserve">Held by a domain broker</w:t>
            </w:r>
          </w:p>
        </w:tc>
        <w:tc>
          <w:tcPr>
            <w:tcW w:type="dxa" w:w="3200"/>
            <w:tcMar>
              <w:top w:type="dxa" w:w="80"/>
              <w:left w:type="dxa" w:w="100"/>
              <w:bottom w:type="dxa" w:w="80"/>
              <w:right w:type="dxa" w:w="100"/>
            </w:tcMar>
            <w:vAlign w:val="center"/>
          </w:tcPr>
          <w:p>
            <w:r>
              <w:rPr>
                <w:sz w:val="19"/>
                <w:szCs w:val="19"/>
              </w:rPr>
              <w:t xml:space="preserve">Not available at standard registration price.</w:t>
            </w:r>
          </w:p>
        </w:tc>
      </w:tr>
      <w:tr>
        <w:tc>
          <w:tcPr>
            <w:tcW w:type="dxa" w:w="2600"/>
            <w:tcMar>
              <w:top w:type="dxa" w:w="80"/>
              <w:left w:type="dxa" w:w="100"/>
              <w:bottom w:type="dxa" w:w="80"/>
              <w:right w:type="dxa" w:w="100"/>
            </w:tcMar>
            <w:vAlign w:val="center"/>
          </w:tcPr>
          <w:p>
            <w:r>
              <w:rPr>
                <w:b/>
                <w:bCs/>
              </w:rPr>
              <w:t xml:space="preserve">climato.app</w:t>
            </w:r>
          </w:p>
        </w:tc>
        <w:tc>
          <w:tcPr>
            <w:tcW w:type="dxa" w:w="1600"/>
            <w:tcMar>
              <w:top w:type="dxa" w:w="80"/>
              <w:left w:type="dxa" w:w="100"/>
              <w:bottom w:type="dxa" w:w="80"/>
              <w:right w:type="dxa" w:w="100"/>
            </w:tcMar>
            <w:vAlign w:val="center"/>
          </w:tcPr>
          <w:p>
            <w:r>
              <w:rPr>
                <w:b/>
                <w:bCs/>
                <w:color w:val="B3261E"/>
              </w:rPr>
              <w:t xml:space="preserve">Taken</w:t>
            </w:r>
          </w:p>
        </w:tc>
        <w:tc>
          <w:tcPr>
            <w:tcW w:type="dxa" w:w="2400"/>
            <w:tcMar>
              <w:top w:type="dxa" w:w="80"/>
              <w:left w:type="dxa" w:w="100"/>
              <w:bottom w:type="dxa" w:w="80"/>
              <w:right w:type="dxa" w:w="100"/>
            </w:tcMar>
            <w:vAlign w:val="center"/>
          </w:tcPr>
          <w:p>
            <w:r>
              <w:rPr>
                <w:sz w:val="19"/>
                <w:szCs w:val="19"/>
              </w:rPr>
              <w:t xml:space="preserve">Registered</w:t>
            </w:r>
          </w:p>
        </w:tc>
        <w:tc>
          <w:tcPr>
            <w:tcW w:type="dxa" w:w="3200"/>
            <w:tcMar>
              <w:top w:type="dxa" w:w="80"/>
              <w:left w:type="dxa" w:w="100"/>
              <w:bottom w:type="dxa" w:w="80"/>
              <w:right w:type="dxa" w:w="100"/>
            </w:tcMar>
            <w:vAlign w:val="center"/>
          </w:tcPr>
          <w:p>
            <w:r>
              <w:rPr>
                <w:sz w:val="19"/>
                <w:szCs w:val="19"/>
              </w:rPr>
              <w:t xml:space="preserve"/>
            </w:r>
          </w:p>
        </w:tc>
      </w:tr>
      <w:tr>
        <w:tc>
          <w:tcPr>
            <w:tcW w:type="dxa" w:w="2600"/>
            <w:tcMar>
              <w:top w:type="dxa" w:w="80"/>
              <w:left w:type="dxa" w:w="100"/>
              <w:bottom w:type="dxa" w:w="80"/>
              <w:right w:type="dxa" w:w="100"/>
            </w:tcMar>
            <w:vAlign w:val="center"/>
          </w:tcPr>
          <w:p>
            <w:r>
              <w:rPr>
                <w:b/>
                <w:bCs/>
              </w:rPr>
              <w:t xml:space="preserve">climato.in</w:t>
            </w:r>
          </w:p>
        </w:tc>
        <w:tc>
          <w:tcPr>
            <w:tcW w:type="dxa" w:w="1600"/>
            <w:tcMar>
              <w:top w:type="dxa" w:w="80"/>
              <w:left w:type="dxa" w:w="100"/>
              <w:bottom w:type="dxa" w:w="80"/>
              <w:right w:type="dxa" w:w="100"/>
            </w:tcMar>
            <w:vAlign w:val="center"/>
          </w:tcPr>
          <w:p>
            <w:r>
              <w:rPr>
                <w:b/>
                <w:bCs/>
                <w:color w:val="B3261E"/>
              </w:rPr>
              <w:t xml:space="preserve">Taken</w:t>
            </w:r>
          </w:p>
        </w:tc>
        <w:tc>
          <w:tcPr>
            <w:tcW w:type="dxa" w:w="2400"/>
            <w:tcMar>
              <w:top w:type="dxa" w:w="80"/>
              <w:left w:type="dxa" w:w="100"/>
              <w:bottom w:type="dxa" w:w="80"/>
              <w:right w:type="dxa" w:w="100"/>
            </w:tcMar>
            <w:vAlign w:val="center"/>
          </w:tcPr>
          <w:p>
            <w:r>
              <w:rPr>
                <w:sz w:val="19"/>
                <w:szCs w:val="19"/>
              </w:rPr>
              <w:t xml:space="preserve">Registered</w:t>
            </w:r>
          </w:p>
        </w:tc>
        <w:tc>
          <w:tcPr>
            <w:tcW w:type="dxa" w:w="3200"/>
            <w:tcMar>
              <w:top w:type="dxa" w:w="80"/>
              <w:left w:type="dxa" w:w="100"/>
              <w:bottom w:type="dxa" w:w="80"/>
              <w:right w:type="dxa" w:w="100"/>
            </w:tcMar>
            <w:vAlign w:val="center"/>
          </w:tcPr>
          <w:p>
            <w:r>
              <w:rPr>
                <w:sz w:val="19"/>
                <w:szCs w:val="19"/>
              </w:rPr>
              <w:t xml:space="preserve">Moot either way, Cloudflare does not sell .in.</w:t>
            </w:r>
          </w:p>
        </w:tc>
      </w:tr>
      <w:tr>
        <w:tc>
          <w:tcPr>
            <w:tcW w:type="dxa" w:w="2600"/>
            <w:tcMar>
              <w:top w:type="dxa" w:w="80"/>
              <w:left w:type="dxa" w:w="100"/>
              <w:bottom w:type="dxa" w:w="80"/>
              <w:right w:type="dxa" w:w="100"/>
            </w:tcMar>
            <w:vAlign w:val="center"/>
          </w:tcPr>
          <w:p>
            <w:r>
              <w:rPr>
                <w:b/>
                <w:bCs/>
              </w:rPr>
              <w:t xml:space="preserve">climato.org</w:t>
            </w:r>
          </w:p>
        </w:tc>
        <w:tc>
          <w:tcPr>
            <w:tcW w:type="dxa" w:w="1600"/>
            <w:tcMar>
              <w:top w:type="dxa" w:w="80"/>
              <w:left w:type="dxa" w:w="100"/>
              <w:bottom w:type="dxa" w:w="80"/>
              <w:right w:type="dxa" w:w="100"/>
            </w:tcMar>
            <w:vAlign w:val="center"/>
          </w:tcPr>
          <w:p>
            <w:r>
              <w:rPr>
                <w:b/>
                <w:bCs/>
                <w:color w:val="B3261E"/>
              </w:rPr>
              <w:t xml:space="preserve">Taken</w:t>
            </w:r>
          </w:p>
        </w:tc>
        <w:tc>
          <w:tcPr>
            <w:tcW w:type="dxa" w:w="2400"/>
            <w:tcMar>
              <w:top w:type="dxa" w:w="80"/>
              <w:left w:type="dxa" w:w="100"/>
              <w:bottom w:type="dxa" w:w="80"/>
              <w:right w:type="dxa" w:w="100"/>
            </w:tcMar>
            <w:vAlign w:val="center"/>
          </w:tcPr>
          <w:p>
            <w:r>
              <w:rPr>
                <w:sz w:val="19"/>
                <w:szCs w:val="19"/>
              </w:rPr>
              <w:t xml:space="preserve">Aftermarket, listed $3,950</w:t>
            </w:r>
          </w:p>
        </w:tc>
        <w:tc>
          <w:tcPr>
            <w:tcW w:type="dxa" w:w="3200"/>
            <w:tcMar>
              <w:top w:type="dxa" w:w="80"/>
              <w:left w:type="dxa" w:w="100"/>
              <w:bottom w:type="dxa" w:w="80"/>
              <w:right w:type="dxa" w:w="100"/>
            </w:tcMar>
            <w:vAlign w:val="center"/>
          </w:tcPr>
          <w:p>
            <w:r>
              <w:rPr>
                <w:sz w:val="19"/>
                <w:szCs w:val="19"/>
              </w:rPr>
              <w:t xml:space="preserve"/>
            </w:r>
          </w:p>
        </w:tc>
      </w:tr>
      <w:tr>
        <w:tc>
          <w:tcPr>
            <w:tcW w:type="dxa" w:w="2600"/>
            <w:tcMar>
              <w:top w:type="dxa" w:w="80"/>
              <w:left w:type="dxa" w:w="100"/>
              <w:bottom w:type="dxa" w:w="80"/>
              <w:right w:type="dxa" w:w="100"/>
            </w:tcMar>
            <w:vAlign w:val="center"/>
          </w:tcPr>
          <w:p>
            <w:r>
              <w:rPr>
                <w:b/>
                <w:bCs/>
              </w:rPr>
              <w:t xml:space="preserve">climato.xyz / climato.co</w:t>
            </w:r>
          </w:p>
        </w:tc>
        <w:tc>
          <w:tcPr>
            <w:tcW w:type="dxa" w:w="1600"/>
            <w:tcMar>
              <w:top w:type="dxa" w:w="80"/>
              <w:left w:type="dxa" w:w="100"/>
              <w:bottom w:type="dxa" w:w="80"/>
              <w:right w:type="dxa" w:w="100"/>
            </w:tcMar>
            <w:vAlign w:val="center"/>
          </w:tcPr>
          <w:p>
            <w:r>
              <w:rPr>
                <w:b/>
                <w:bCs/>
                <w:color w:val="B3261E"/>
              </w:rPr>
              <w:t xml:space="preserve">Taken</w:t>
            </w:r>
          </w:p>
        </w:tc>
        <w:tc>
          <w:tcPr>
            <w:tcW w:type="dxa" w:w="2400"/>
            <w:tcMar>
              <w:top w:type="dxa" w:w="80"/>
              <w:left w:type="dxa" w:w="100"/>
              <w:bottom w:type="dxa" w:w="80"/>
              <w:right w:type="dxa" w:w="100"/>
            </w:tcMar>
            <w:vAlign w:val="center"/>
          </w:tcPr>
          <w:p>
            <w:r>
              <w:rPr>
                <w:sz w:val="19"/>
                <w:szCs w:val="19"/>
              </w:rPr>
              <w:t xml:space="preserve">Aftermarket, listed ~$1,450 each</w:t>
            </w:r>
          </w:p>
        </w:tc>
        <w:tc>
          <w:tcPr>
            <w:tcW w:type="dxa" w:w="3200"/>
            <w:tcMar>
              <w:top w:type="dxa" w:w="80"/>
              <w:left w:type="dxa" w:w="100"/>
              <w:bottom w:type="dxa" w:w="80"/>
              <w:right w:type="dxa" w:w="100"/>
            </w:tcMar>
            <w:vAlign w:val="center"/>
          </w:tcPr>
          <w:p>
            <w:r>
              <w:rPr>
                <w:sz w:val="19"/>
                <w:szCs w:val="19"/>
              </w:rPr>
              <w:t xml:space="preserve"/>
            </w:r>
          </w:p>
        </w:tc>
      </w:tr>
      <w:tr>
        <w:tc>
          <w:tcPr>
            <w:tcW w:type="dxa" w:w="2600"/>
            <w:tcMar>
              <w:top w:type="dxa" w:w="80"/>
              <w:left w:type="dxa" w:w="100"/>
              <w:bottom w:type="dxa" w:w="80"/>
              <w:right w:type="dxa" w:w="100"/>
            </w:tcMar>
            <w:vAlign w:val="center"/>
          </w:tcPr>
          <w:p>
            <w:r>
              <w:rPr>
                <w:b/>
                <w:bCs/>
              </w:rPr>
              <w:t xml:space="preserve">getclimato.app</w:t>
            </w:r>
          </w:p>
        </w:tc>
        <w:tc>
          <w:tcPr>
            <w:tcW w:type="dxa" w:w="1600"/>
            <w:tcMar>
              <w:top w:type="dxa" w:w="80"/>
              <w:left w:type="dxa" w:w="100"/>
              <w:bottom w:type="dxa" w:w="80"/>
              <w:right w:type="dxa" w:w="100"/>
            </w:tcMar>
            <w:vAlign w:val="center"/>
          </w:tcPr>
          <w:p>
            <w:r>
              <w:rPr>
                <w:b/>
                <w:bCs/>
                <w:color w:val="1F7A3D"/>
              </w:rPr>
              <w:t xml:space="preserve">Available</w:t>
            </w:r>
          </w:p>
        </w:tc>
        <w:tc>
          <w:tcPr>
            <w:tcW w:type="dxa" w:w="2400"/>
            <w:tcMar>
              <w:top w:type="dxa" w:w="80"/>
              <w:left w:type="dxa" w:w="100"/>
              <w:bottom w:type="dxa" w:w="80"/>
              <w:right w:type="dxa" w:w="100"/>
            </w:tcMar>
            <w:vAlign w:val="center"/>
          </w:tcPr>
          <w:p>
            <w:r>
              <w:rPr>
                <w:sz w:val="19"/>
                <w:szCs w:val="19"/>
              </w:rPr>
              <w:t xml:space="preserve">Open for registration</w:t>
            </w:r>
          </w:p>
        </w:tc>
        <w:tc>
          <w:tcPr>
            <w:tcW w:type="dxa" w:w="3200"/>
            <w:tcMar>
              <w:top w:type="dxa" w:w="80"/>
              <w:left w:type="dxa" w:w="100"/>
              <w:bottom w:type="dxa" w:w="80"/>
              <w:right w:type="dxa" w:w="100"/>
            </w:tcMar>
            <w:vAlign w:val="center"/>
          </w:tcPr>
          <w:p>
            <w:r>
              <w:rPr>
                <w:sz w:val="19"/>
                <w:szCs w:val="19"/>
              </w:rPr>
              <w:t xml:space="preserve">Recommended pick, see below.</w:t>
            </w:r>
          </w:p>
        </w:tc>
      </w:tr>
      <w:tr>
        <w:tc>
          <w:tcPr>
            <w:tcW w:type="dxa" w:w="2600"/>
            <w:tcMar>
              <w:top w:type="dxa" w:w="80"/>
              <w:left w:type="dxa" w:w="100"/>
              <w:bottom w:type="dxa" w:w="80"/>
              <w:right w:type="dxa" w:w="100"/>
            </w:tcMar>
            <w:vAlign w:val="center"/>
          </w:tcPr>
          <w:p>
            <w:r>
              <w:rPr>
                <w:b/>
                <w:bCs/>
              </w:rPr>
              <w:t xml:space="preserve">getclimato.com</w:t>
            </w:r>
          </w:p>
        </w:tc>
        <w:tc>
          <w:tcPr>
            <w:tcW w:type="dxa" w:w="1600"/>
            <w:tcMar>
              <w:top w:type="dxa" w:w="80"/>
              <w:left w:type="dxa" w:w="100"/>
              <w:bottom w:type="dxa" w:w="80"/>
              <w:right w:type="dxa" w:w="100"/>
            </w:tcMar>
            <w:vAlign w:val="center"/>
          </w:tcPr>
          <w:p>
            <w:r>
              <w:rPr>
                <w:b/>
                <w:bCs/>
                <w:color w:val="1F7A3D"/>
              </w:rPr>
              <w:t xml:space="preserve">Available</w:t>
            </w:r>
          </w:p>
        </w:tc>
        <w:tc>
          <w:tcPr>
            <w:tcW w:type="dxa" w:w="2400"/>
            <w:tcMar>
              <w:top w:type="dxa" w:w="80"/>
              <w:left w:type="dxa" w:w="100"/>
              <w:bottom w:type="dxa" w:w="80"/>
              <w:right w:type="dxa" w:w="100"/>
            </w:tcMar>
            <w:vAlign w:val="center"/>
          </w:tcPr>
          <w:p>
            <w:r>
              <w:rPr>
                <w:sz w:val="19"/>
                <w:szCs w:val="19"/>
              </w:rPr>
              <w:t xml:space="preserve">Open for registration</w:t>
            </w:r>
          </w:p>
        </w:tc>
        <w:tc>
          <w:tcPr>
            <w:tcW w:type="dxa" w:w="3200"/>
            <w:tcMar>
              <w:top w:type="dxa" w:w="80"/>
              <w:left w:type="dxa" w:w="100"/>
              <w:bottom w:type="dxa" w:w="80"/>
              <w:right w:type="dxa" w:w="100"/>
            </w:tcMar>
            <w:vAlign w:val="center"/>
          </w:tcPr>
          <w:p>
            <w:r>
              <w:rPr>
                <w:sz w:val="19"/>
                <w:szCs w:val="19"/>
              </w:rPr>
              <w:t xml:space="preserve"/>
            </w:r>
          </w:p>
        </w:tc>
      </w:tr>
      <w:tr>
        <w:tc>
          <w:tcPr>
            <w:tcW w:type="dxa" w:w="2600"/>
            <w:tcMar>
              <w:top w:type="dxa" w:w="80"/>
              <w:left w:type="dxa" w:w="100"/>
              <w:bottom w:type="dxa" w:w="80"/>
              <w:right w:type="dxa" w:w="100"/>
            </w:tcMar>
            <w:vAlign w:val="center"/>
          </w:tcPr>
          <w:p>
            <w:r>
              <w:rPr>
                <w:b/>
                <w:bCs/>
              </w:rPr>
              <w:t xml:space="preserve">tryclimato.app / joinclimato.app</w:t>
            </w:r>
          </w:p>
        </w:tc>
        <w:tc>
          <w:tcPr>
            <w:tcW w:type="dxa" w:w="1600"/>
            <w:tcMar>
              <w:top w:type="dxa" w:w="80"/>
              <w:left w:type="dxa" w:w="100"/>
              <w:bottom w:type="dxa" w:w="80"/>
              <w:right w:type="dxa" w:w="100"/>
            </w:tcMar>
            <w:vAlign w:val="center"/>
          </w:tcPr>
          <w:p>
            <w:r>
              <w:rPr>
                <w:b/>
                <w:bCs/>
                <w:color w:val="1F7A3D"/>
              </w:rPr>
              <w:t xml:space="preserve">Available</w:t>
            </w:r>
          </w:p>
        </w:tc>
        <w:tc>
          <w:tcPr>
            <w:tcW w:type="dxa" w:w="2400"/>
            <w:tcMar>
              <w:top w:type="dxa" w:w="80"/>
              <w:left w:type="dxa" w:w="100"/>
              <w:bottom w:type="dxa" w:w="80"/>
              <w:right w:type="dxa" w:w="100"/>
            </w:tcMar>
            <w:vAlign w:val="center"/>
          </w:tcPr>
          <w:p>
            <w:r>
              <w:rPr>
                <w:sz w:val="19"/>
                <w:szCs w:val="19"/>
              </w:rPr>
              <w:t xml:space="preserve">Open for registration</w:t>
            </w:r>
          </w:p>
        </w:tc>
        <w:tc>
          <w:tcPr>
            <w:tcW w:type="dxa" w:w="3200"/>
            <w:tcMar>
              <w:top w:type="dxa" w:w="80"/>
              <w:left w:type="dxa" w:w="100"/>
              <w:bottom w:type="dxa" w:w="80"/>
              <w:right w:type="dxa" w:w="100"/>
            </w:tcMar>
            <w:vAlign w:val="center"/>
          </w:tcPr>
          <w:p>
            <w:r>
              <w:rPr>
                <w:sz w:val="19"/>
                <w:szCs w:val="19"/>
              </w:rPr>
              <w:t xml:space="preserve">Backup naming options.</w:t>
            </w:r>
          </w:p>
        </w:tc>
      </w:tr>
    </w:tbl>
    <w:p>
      <w:pPr>
        <w:pStyle w:val="Heading2"/>
        <w:spacing w:after="100" w:before="200"/>
      </w:pPr>
      <w:r>
        <w:t xml:space="preserve">Post Swap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3200"/>
      </w:tblGrid>
      <w:tr>
        <w:trPr>
          <w:tblHeader/>
        </w:trPr>
        <w:tc>
          <w:tcPr>
            <w:tcW w:type="dxa" w:w="2600"/>
            <w:shd w:fill="111111" w:color="auto" w:val="clear"/>
            <w:tcMar>
              <w:top w:type="dxa" w:w="80"/>
              <w:left w:type="dxa" w:w="100"/>
              <w:bottom w:type="dxa" w:w="80"/>
              <w:right w:type="dxa" w:w="100"/>
            </w:tcMar>
            <w:vAlign w:val="center"/>
          </w:tcPr>
          <w:p>
            <w:r>
              <w:rPr>
                <w:b/>
                <w:bCs/>
                <w:color w:val="FFFFFF"/>
                <w:sz w:val="20"/>
                <w:szCs w:val="20"/>
              </w:rPr>
              <w:t xml:space="preserve">Domain</w:t>
            </w:r>
          </w:p>
        </w:tc>
        <w:tc>
          <w:tcPr>
            <w:tcW w:type="dxa" w:w="1600"/>
            <w:shd w:fill="111111" w:color="auto" w:val="clear"/>
            <w:tcMar>
              <w:top w:type="dxa" w:w="80"/>
              <w:left w:type="dxa" w:w="100"/>
              <w:bottom w:type="dxa" w:w="80"/>
              <w:right w:type="dxa" w:w="100"/>
            </w:tcMar>
            <w:vAlign w:val="center"/>
          </w:tcPr>
          <w:p>
            <w:r>
              <w:rPr>
                <w:b/>
                <w:bCs/>
                <w:color w:val="FFFFFF"/>
                <w:sz w:val="20"/>
                <w:szCs w:val="20"/>
              </w:rPr>
              <w:t xml:space="preserve">Status</w:t>
            </w:r>
          </w:p>
        </w:tc>
        <w:tc>
          <w:tcPr>
            <w:tcW w:type="dxa" w:w="2400"/>
            <w:shd w:fill="111111" w:color="auto" w:val="clear"/>
            <w:tcMar>
              <w:top w:type="dxa" w:w="80"/>
              <w:left w:type="dxa" w:w="100"/>
              <w:bottom w:type="dxa" w:w="80"/>
              <w:right w:type="dxa" w:w="100"/>
            </w:tcMar>
            <w:vAlign w:val="center"/>
          </w:tcPr>
          <w:p>
            <w:r>
              <w:rPr>
                <w:b/>
                <w:bCs/>
                <w:color w:val="FFFFFF"/>
                <w:sz w:val="20"/>
                <w:szCs w:val="20"/>
              </w:rPr>
              <w:t xml:space="preserve">Detail</w:t>
            </w:r>
          </w:p>
        </w:tc>
        <w:tc>
          <w:tcPr>
            <w:tcW w:type="dxa" w:w="3200"/>
            <w:shd w:fill="111111" w:color="auto" w:val="clear"/>
            <w:tcMar>
              <w:top w:type="dxa" w:w="80"/>
              <w:left w:type="dxa" w:w="100"/>
              <w:bottom w:type="dxa" w:w="80"/>
              <w:right w:type="dxa" w:w="100"/>
            </w:tcMar>
            <w:vAlign w:val="center"/>
          </w:tcPr>
          <w:p>
            <w:r>
              <w:rPr>
                <w:b/>
                <w:bCs/>
                <w:color w:val="FFFFFF"/>
                <w:sz w:val="20"/>
                <w:szCs w:val="20"/>
              </w:rPr>
              <w:t xml:space="preserve">Notes</w:t>
            </w:r>
          </w:p>
        </w:tc>
      </w:tr>
      <w:tr>
        <w:tc>
          <w:tcPr>
            <w:tcW w:type="dxa" w:w="2600"/>
            <w:tcMar>
              <w:top w:type="dxa" w:w="80"/>
              <w:left w:type="dxa" w:w="100"/>
              <w:bottom w:type="dxa" w:w="80"/>
              <w:right w:type="dxa" w:w="100"/>
            </w:tcMar>
            <w:vAlign w:val="center"/>
          </w:tcPr>
          <w:p>
            <w:r>
              <w:rPr>
                <w:b/>
                <w:bCs/>
              </w:rPr>
              <w:t xml:space="preserve">postswap.com</w:t>
            </w:r>
          </w:p>
        </w:tc>
        <w:tc>
          <w:tcPr>
            <w:tcW w:type="dxa" w:w="1600"/>
            <w:tcMar>
              <w:top w:type="dxa" w:w="80"/>
              <w:left w:type="dxa" w:w="100"/>
              <w:bottom w:type="dxa" w:w="80"/>
              <w:right w:type="dxa" w:w="100"/>
            </w:tcMar>
            <w:vAlign w:val="center"/>
          </w:tcPr>
          <w:p>
            <w:r>
              <w:rPr>
                <w:b/>
                <w:bCs/>
                <w:color w:val="B3261E"/>
              </w:rPr>
              <w:t xml:space="preserve">Taken</w:t>
            </w:r>
          </w:p>
        </w:tc>
        <w:tc>
          <w:tcPr>
            <w:tcW w:type="dxa" w:w="2400"/>
            <w:tcMar>
              <w:top w:type="dxa" w:w="80"/>
              <w:left w:type="dxa" w:w="100"/>
              <w:bottom w:type="dxa" w:w="80"/>
              <w:right w:type="dxa" w:w="100"/>
            </w:tcMar>
            <w:vAlign w:val="center"/>
          </w:tcPr>
          <w:p>
            <w:r>
              <w:rPr>
                <w:sz w:val="19"/>
                <w:szCs w:val="19"/>
              </w:rPr>
              <w:t xml:space="preserve">Aftermarket, listed $1,088</w:t>
            </w:r>
          </w:p>
        </w:tc>
        <w:tc>
          <w:tcPr>
            <w:tcW w:type="dxa" w:w="3200"/>
            <w:tcMar>
              <w:top w:type="dxa" w:w="80"/>
              <w:left w:type="dxa" w:w="100"/>
              <w:bottom w:type="dxa" w:w="80"/>
              <w:right w:type="dxa" w:w="100"/>
            </w:tcMar>
            <w:vAlign w:val="center"/>
          </w:tcPr>
          <w:p>
            <w:r>
              <w:rPr>
                <w:sz w:val="19"/>
                <w:szCs w:val="19"/>
              </w:rPr>
              <w:t xml:space="preserve"/>
            </w:r>
          </w:p>
        </w:tc>
      </w:tr>
      <w:tr>
        <w:tc>
          <w:tcPr>
            <w:tcW w:type="dxa" w:w="2600"/>
            <w:tcMar>
              <w:top w:type="dxa" w:w="80"/>
              <w:left w:type="dxa" w:w="100"/>
              <w:bottom w:type="dxa" w:w="80"/>
              <w:right w:type="dxa" w:w="100"/>
            </w:tcMar>
            <w:vAlign w:val="center"/>
          </w:tcPr>
          <w:p>
            <w:r>
              <w:rPr>
                <w:b/>
                <w:bCs/>
              </w:rPr>
              <w:t xml:space="preserve">postswap.app</w:t>
            </w:r>
          </w:p>
        </w:tc>
        <w:tc>
          <w:tcPr>
            <w:tcW w:type="dxa" w:w="1600"/>
            <w:tcMar>
              <w:top w:type="dxa" w:w="80"/>
              <w:left w:type="dxa" w:w="100"/>
              <w:bottom w:type="dxa" w:w="80"/>
              <w:right w:type="dxa" w:w="100"/>
            </w:tcMar>
            <w:vAlign w:val="center"/>
          </w:tcPr>
          <w:p>
            <w:r>
              <w:rPr>
                <w:b/>
                <w:bCs/>
                <w:color w:val="1F7A3D"/>
              </w:rPr>
              <w:t xml:space="preserve">Available</w:t>
            </w:r>
          </w:p>
        </w:tc>
        <w:tc>
          <w:tcPr>
            <w:tcW w:type="dxa" w:w="2400"/>
            <w:tcMar>
              <w:top w:type="dxa" w:w="80"/>
              <w:left w:type="dxa" w:w="100"/>
              <w:bottom w:type="dxa" w:w="80"/>
              <w:right w:type="dxa" w:w="100"/>
            </w:tcMar>
            <w:vAlign w:val="center"/>
          </w:tcPr>
          <w:p>
            <w:r>
              <w:rPr>
                <w:sz w:val="19"/>
                <w:szCs w:val="19"/>
              </w:rPr>
              <w:t xml:space="preserve">Open for registration</w:t>
            </w:r>
          </w:p>
        </w:tc>
        <w:tc>
          <w:tcPr>
            <w:tcW w:type="dxa" w:w="3200"/>
            <w:tcMar>
              <w:top w:type="dxa" w:w="80"/>
              <w:left w:type="dxa" w:w="100"/>
              <w:bottom w:type="dxa" w:w="80"/>
              <w:right w:type="dxa" w:w="100"/>
            </w:tcMar>
            <w:vAlign w:val="center"/>
          </w:tcPr>
          <w:p>
            <w:r>
              <w:rPr>
                <w:sz w:val="19"/>
                <w:szCs w:val="19"/>
              </w:rPr>
              <w:t xml:space="preserve">Exact match, shortest option.</w:t>
            </w:r>
          </w:p>
        </w:tc>
      </w:tr>
      <w:tr>
        <w:tc>
          <w:tcPr>
            <w:tcW w:type="dxa" w:w="2600"/>
            <w:tcMar>
              <w:top w:type="dxa" w:w="80"/>
              <w:left w:type="dxa" w:w="100"/>
              <w:bottom w:type="dxa" w:w="80"/>
              <w:right w:type="dxa" w:w="100"/>
            </w:tcMar>
            <w:vAlign w:val="center"/>
          </w:tcPr>
          <w:p>
            <w:r>
              <w:rPr>
                <w:b/>
                <w:bCs/>
              </w:rPr>
              <w:t xml:space="preserve">getpostswap.app</w:t>
            </w:r>
          </w:p>
        </w:tc>
        <w:tc>
          <w:tcPr>
            <w:tcW w:type="dxa" w:w="1600"/>
            <w:tcMar>
              <w:top w:type="dxa" w:w="80"/>
              <w:left w:type="dxa" w:w="100"/>
              <w:bottom w:type="dxa" w:w="80"/>
              <w:right w:type="dxa" w:w="100"/>
            </w:tcMar>
            <w:vAlign w:val="center"/>
          </w:tcPr>
          <w:p>
            <w:r>
              <w:rPr>
                <w:b/>
                <w:bCs/>
                <w:color w:val="1F7A3D"/>
              </w:rPr>
              <w:t xml:space="preserve">Available</w:t>
            </w:r>
          </w:p>
        </w:tc>
        <w:tc>
          <w:tcPr>
            <w:tcW w:type="dxa" w:w="2400"/>
            <w:tcMar>
              <w:top w:type="dxa" w:w="80"/>
              <w:left w:type="dxa" w:w="100"/>
              <w:bottom w:type="dxa" w:w="80"/>
              <w:right w:type="dxa" w:w="100"/>
            </w:tcMar>
            <w:vAlign w:val="center"/>
          </w:tcPr>
          <w:p>
            <w:r>
              <w:rPr>
                <w:sz w:val="19"/>
                <w:szCs w:val="19"/>
              </w:rPr>
              <w:t xml:space="preserve">Open for registration</w:t>
            </w:r>
          </w:p>
        </w:tc>
        <w:tc>
          <w:tcPr>
            <w:tcW w:type="dxa" w:w="3200"/>
            <w:tcMar>
              <w:top w:type="dxa" w:w="80"/>
              <w:left w:type="dxa" w:w="100"/>
              <w:bottom w:type="dxa" w:w="80"/>
              <w:right w:type="dxa" w:w="100"/>
            </w:tcMar>
            <w:vAlign w:val="center"/>
          </w:tcPr>
          <w:p>
            <w:r>
              <w:rPr>
                <w:sz w:val="19"/>
                <w:szCs w:val="19"/>
              </w:rPr>
              <w:t xml:space="preserve">Recommended pick, see below.</w:t>
            </w:r>
          </w:p>
        </w:tc>
      </w:tr>
      <w:tr>
        <w:tc>
          <w:tcPr>
            <w:tcW w:type="dxa" w:w="2600"/>
            <w:tcMar>
              <w:top w:type="dxa" w:w="80"/>
              <w:left w:type="dxa" w:w="100"/>
              <w:bottom w:type="dxa" w:w="80"/>
              <w:right w:type="dxa" w:w="100"/>
            </w:tcMar>
            <w:vAlign w:val="center"/>
          </w:tcPr>
          <w:p>
            <w:r>
              <w:rPr>
                <w:b/>
                <w:bCs/>
              </w:rPr>
              <w:t xml:space="preserve">getpostswap.com</w:t>
            </w:r>
          </w:p>
        </w:tc>
        <w:tc>
          <w:tcPr>
            <w:tcW w:type="dxa" w:w="1600"/>
            <w:tcMar>
              <w:top w:type="dxa" w:w="80"/>
              <w:left w:type="dxa" w:w="100"/>
              <w:bottom w:type="dxa" w:w="80"/>
              <w:right w:type="dxa" w:w="100"/>
            </w:tcMar>
            <w:vAlign w:val="center"/>
          </w:tcPr>
          <w:p>
            <w:r>
              <w:rPr>
                <w:b/>
                <w:bCs/>
                <w:color w:val="1F7A3D"/>
              </w:rPr>
              <w:t xml:space="preserve">Available</w:t>
            </w:r>
          </w:p>
        </w:tc>
        <w:tc>
          <w:tcPr>
            <w:tcW w:type="dxa" w:w="2400"/>
            <w:tcMar>
              <w:top w:type="dxa" w:w="80"/>
              <w:left w:type="dxa" w:w="100"/>
              <w:bottom w:type="dxa" w:w="80"/>
              <w:right w:type="dxa" w:w="100"/>
            </w:tcMar>
            <w:vAlign w:val="center"/>
          </w:tcPr>
          <w:p>
            <w:r>
              <w:rPr>
                <w:sz w:val="19"/>
                <w:szCs w:val="19"/>
              </w:rPr>
              <w:t xml:space="preserve">Open for registration</w:t>
            </w:r>
          </w:p>
        </w:tc>
        <w:tc>
          <w:tcPr>
            <w:tcW w:type="dxa" w:w="3200"/>
            <w:tcMar>
              <w:top w:type="dxa" w:w="80"/>
              <w:left w:type="dxa" w:w="100"/>
              <w:bottom w:type="dxa" w:w="80"/>
              <w:right w:type="dxa" w:w="100"/>
            </w:tcMar>
            <w:vAlign w:val="center"/>
          </w:tcPr>
          <w:p>
            <w:r>
              <w:rPr>
                <w:sz w:val="19"/>
                <w:szCs w:val="19"/>
              </w:rPr>
              <w:t xml:space="preserve"/>
            </w:r>
          </w:p>
        </w:tc>
      </w:tr>
      <w:tr>
        <w:tc>
          <w:tcPr>
            <w:tcW w:type="dxa" w:w="2600"/>
            <w:tcMar>
              <w:top w:type="dxa" w:w="80"/>
              <w:left w:type="dxa" w:w="100"/>
              <w:bottom w:type="dxa" w:w="80"/>
              <w:right w:type="dxa" w:w="100"/>
            </w:tcMar>
            <w:vAlign w:val="center"/>
          </w:tcPr>
          <w:p>
            <w:r>
              <w:rPr>
                <w:b/>
                <w:bCs/>
              </w:rPr>
              <w:t xml:space="preserve">joinpostswap.app</w:t>
            </w:r>
          </w:p>
        </w:tc>
        <w:tc>
          <w:tcPr>
            <w:tcW w:type="dxa" w:w="1600"/>
            <w:tcMar>
              <w:top w:type="dxa" w:w="80"/>
              <w:left w:type="dxa" w:w="100"/>
              <w:bottom w:type="dxa" w:w="80"/>
              <w:right w:type="dxa" w:w="100"/>
            </w:tcMar>
            <w:vAlign w:val="center"/>
          </w:tcPr>
          <w:p>
            <w:r>
              <w:rPr>
                <w:b/>
                <w:bCs/>
                <w:color w:val="1F7A3D"/>
              </w:rPr>
              <w:t xml:space="preserve">Available</w:t>
            </w:r>
          </w:p>
        </w:tc>
        <w:tc>
          <w:tcPr>
            <w:tcW w:type="dxa" w:w="2400"/>
            <w:tcMar>
              <w:top w:type="dxa" w:w="80"/>
              <w:left w:type="dxa" w:w="100"/>
              <w:bottom w:type="dxa" w:w="80"/>
              <w:right w:type="dxa" w:w="100"/>
            </w:tcMar>
            <w:vAlign w:val="center"/>
          </w:tcPr>
          <w:p>
            <w:r>
              <w:rPr>
                <w:sz w:val="19"/>
                <w:szCs w:val="19"/>
              </w:rPr>
              <w:t xml:space="preserve">Open for registration</w:t>
            </w:r>
          </w:p>
        </w:tc>
        <w:tc>
          <w:tcPr>
            <w:tcW w:type="dxa" w:w="3200"/>
            <w:tcMar>
              <w:top w:type="dxa" w:w="80"/>
              <w:left w:type="dxa" w:w="100"/>
              <w:bottom w:type="dxa" w:w="80"/>
              <w:right w:type="dxa" w:w="100"/>
            </w:tcMar>
            <w:vAlign w:val="center"/>
          </w:tcPr>
          <w:p>
            <w:r>
              <w:rPr>
                <w:sz w:val="19"/>
                <w:szCs w:val="19"/>
              </w:rPr>
              <w:t xml:space="preserve"/>
            </w:r>
          </w:p>
        </w:tc>
      </w:tr>
    </w:tbl>
    <w:p>
      <w:pPr>
        <w:spacing w:after="140"/>
      </w:pPr>
      <w:r>
        <w:rPr>
          <w:i/>
          <w:iCs/>
          <w:sz w:val="19"/>
          <w:szCs w:val="19"/>
        </w:rPr>
        <w:t xml:space="preserve">Checked live against a registrar availability lookup on July 23, 2026. Aftermarket/broker prices shown are third-party asking prices, not Cloudflare's, and are included only to show the exact names are not available at normal registration cost.</w:t>
      </w:r>
    </w:p>
    <w:p>
      <w:pPr>
        <w:pStyle w:val="Heading1"/>
        <w:spacing w:after="140" w:before="280"/>
      </w:pPr>
      <w:r>
        <w:t xml:space="preserve">Naming Pattern: Prefix, Not Suffix</w:t>
      </w:r>
    </w:p>
    <w:p>
      <w:pPr>
        <w:spacing w:after="140"/>
      </w:pPr>
      <w:r>
        <w:t xml:space="preserve">Recommendation: prefix, specifically "get-" (getreddar.app, getclimato.app, getpostswap.app), used identically across all three rather than mixing patterns.</w:t>
      </w:r>
    </w:p>
    <w:p>
      <w:pPr>
        <w:spacing w:after="140"/>
      </w:pPr>
      <w:r>
        <w:t xml:space="preserve">Reasoning: climato's bare name is blocked in .com, .app, and .in alike, so a plain-name approach cannot work for all three under one shared pattern, only reddar and postswap have that luxury. "get-" is the one pattern verified available for all three, so it is what actually delivers "all three on the same kind of domain," not just the same TLD.</w:t>
      </w:r>
    </w:p>
    <w:p>
      <w:pPr>
        <w:spacing w:after="140"/>
      </w:pPr>
      <w:r>
        <w:t xml:space="preserve">Suffix patterns fare worse on .app specifically. A suffix like "-app" is redundant on a .app domain (climatoapp.app reads as "climato app app"), and other suffixes ("-hq", "-now") do not carry the same call-to-action clarity. "get-" is also an established landing-page convention (the same pattern behind names like getpocket.com), and for a promotional page whose entire job is to get someone to install an app, "Get Reddar", "Get Climato", "Get Post Swap" reads as an instruction, which a bare noun does not.</w:t>
      </w:r>
    </w:p>
    <w:p>
      <w:pPr>
        <w:pStyle w:val="Heading1"/>
        <w:spacing w:after="140" w:before="280"/>
      </w:pPr>
      <w:r>
        <w:t xml:space="preserve">Final Recommendation</w:t>
      </w:r>
    </w:p>
    <w:p>
      <w:pPr>
        <w:spacing w:after="140"/>
      </w:pPr>
      <w:r>
        <w:t xml:space="preserve">Register all three through Cloudflare Registrar on .app, using the prefix pattern:</w:t>
      </w:r>
    </w:p>
    <w:p>
      <w:pPr>
        <w:pStyle w:val="ListParagraph"/>
        <w:numPr>
          <w:ilvl w:val="0"/>
          <w:numId w:val="1"/>
        </w:numPr>
        <w:spacing w:after="80"/>
      </w:pPr>
      <w:r>
        <w:t xml:space="preserve">getreddar.app</w:t>
      </w:r>
    </w:p>
    <w:p>
      <w:pPr>
        <w:pStyle w:val="ListParagraph"/>
        <w:numPr>
          <w:ilvl w:val="0"/>
          <w:numId w:val="1"/>
        </w:numPr>
        <w:spacing w:after="80"/>
      </w:pPr>
      <w:r>
        <w:t xml:space="preserve">getclimato.app</w:t>
      </w:r>
    </w:p>
    <w:p>
      <w:pPr>
        <w:pStyle w:val="ListParagraph"/>
        <w:numPr>
          <w:ilvl w:val="0"/>
          <w:numId w:val="1"/>
        </w:numPr>
        <w:spacing w:after="80"/>
      </w:pPr>
      <w:r>
        <w:t xml:space="preserve">getpostswap.app</w:t>
      </w:r>
    </w:p>
    <w:p>
      <w:pPr>
        <w:spacing w:after="140"/>
      </w:pPr>
      <w:r>
        <w:t xml:space="preserve">All three confirmed available as of this check. This keeps the three landing pages on one consistent TLD and one consistent naming convention, avoids the $1,000 to $4,000 aftermarket cost of chasing the blocked exact-match names, and comes with Cloudflare's at-cost pricing plus built-in CDN and DDoS protection on all three.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2026-07-23T05:50:56.100Z</dcterms:created>
  <dcterms:modified xsi:type="dcterms:W3CDTF">2026-07-23T05:50:56.111Z</dcterms:modified>
</cp:coreProperties>
</file>

<file path=docProps/custom.xml><?xml version="1.0" encoding="utf-8"?>
<Properties xmlns="http://schemas.openxmlformats.org/officeDocument/2006/custom-properties" xmlns:vt="http://schemas.openxmlformats.org/officeDocument/2006/docPropsVTypes"/>
</file>